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pStyle w:val="6"/>
        <w:bidi w:val="0"/>
        <w:rPr>
          <w:rFonts w:hint="default"/>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和田地区卫生监督所2024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bookmarkStart w:id="0" w:name="_GoBack"/>
      <w:bookmarkEnd w:id="0"/>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16570E37">
      <w:r>
        <w:br w:type="page"/>
      </w:r>
    </w:p>
    <w:p w14:paraId="7DBB3F16">
      <w:pPr>
        <w:spacing w:line="640" w:lineRule="exact"/>
        <w:jc w:val="center"/>
        <w:outlineLvl w:val="1"/>
      </w:pPr>
      <w:r>
        <w:rPr>
          <w:rFonts w:ascii="黑体" w:hAnsi="黑体" w:eastAsia="黑体"/>
          <w:sz w:val="32"/>
        </w:rPr>
        <w:t>第一部分 单位概况</w:t>
      </w:r>
    </w:p>
    <w:p w14:paraId="56937169">
      <w:pPr>
        <w:spacing w:line="640" w:lineRule="exact"/>
        <w:ind w:firstLine="640"/>
        <w:jc w:val="both"/>
        <w:outlineLvl w:val="2"/>
      </w:pPr>
      <w:r>
        <w:rPr>
          <w:rFonts w:ascii="黑体" w:hAnsi="黑体" w:eastAsia="黑体"/>
          <w:sz w:val="32"/>
        </w:rPr>
        <w:t>一、主要职能</w:t>
      </w:r>
    </w:p>
    <w:p w14:paraId="2F783175">
      <w:pPr>
        <w:spacing w:line="580" w:lineRule="exact"/>
        <w:ind w:firstLine="640"/>
        <w:jc w:val="both"/>
      </w:pPr>
      <w:r>
        <w:rPr>
          <w:rFonts w:ascii="仿宋_GB2312" w:hAnsi="仿宋_GB2312" w:eastAsia="仿宋_GB2312"/>
          <w:sz w:val="32"/>
        </w:rPr>
        <w:t>（1）政策规划制定：组织拟订国民健康政策，拟订卫生健康事业发展政策、规划和标准并组织实施。统筹规划卫生健康资源配置，指导区域卫生健康规划的编制和实施，制定并组织实施推进卫生健康基本公共服务均等化政策措施。</w:t>
      </w:r>
    </w:p>
    <w:p w14:paraId="197003A4">
      <w:pPr>
        <w:spacing w:line="580" w:lineRule="exact"/>
        <w:ind w:firstLine="640"/>
        <w:jc w:val="both"/>
      </w:pPr>
      <w:r>
        <w:rPr>
          <w:rFonts w:ascii="仿宋_GB2312" w:hAnsi="仿宋_GB2312" w:eastAsia="仿宋_GB2312"/>
          <w:sz w:val="32"/>
        </w:rPr>
        <w:t>（2）医疗改革推进：指导医院监管等工作；负责医护人员资质认定、注册、变更、延续等工作；监督指导全地区医疗机构、评审评价工作；负责地区公立医院运行监管、绩效评价和考核制度；负责医疗纠纷调解等工作，推进深化医药卫生体制改革，研究提出深化医药卫生体制改革重大方针、政策、措施的建议。组织深化公立医院综合改革，推进管办分离，健全现代医院管理制度，制定并组织实施推动卫生健康公共服务提供主体多元化、提供方式多样化的政策措施，提出医疗服务和药品价格政策的建议。</w:t>
      </w:r>
    </w:p>
    <w:p w14:paraId="0A182483">
      <w:pPr>
        <w:spacing w:line="580" w:lineRule="exact"/>
        <w:ind w:firstLine="640"/>
        <w:jc w:val="both"/>
      </w:pPr>
      <w:r>
        <w:rPr>
          <w:rFonts w:ascii="仿宋_GB2312" w:hAnsi="仿宋_GB2312" w:eastAsia="仿宋_GB2312"/>
          <w:sz w:val="32"/>
        </w:rPr>
        <w:t>（3）疾病防控管理：组织实施国家扩大规划，负责疫苗针对传染病的防控管理；指导和督促地区疾病预防控制体系和队伍建设等工作，制定并组织落实疾病预防控制规划、免疫规划及严重危害人民健康的公共卫生问题的干预措施。执行国家检疫传染病和监测传染病目录，负责卫生应急工作，组织指导突发公共卫生事件的预防控制和各类突发公共事件的医疗卫生救援。</w:t>
      </w:r>
    </w:p>
    <w:p w14:paraId="426D021B">
      <w:pPr>
        <w:spacing w:line="640" w:lineRule="exact"/>
        <w:ind w:firstLine="640"/>
        <w:jc w:val="both"/>
        <w:outlineLvl w:val="2"/>
      </w:pPr>
      <w:r>
        <w:rPr>
          <w:rFonts w:ascii="黑体" w:hAnsi="黑体" w:eastAsia="黑体"/>
          <w:sz w:val="32"/>
        </w:rPr>
        <w:t>二、机构设置及人员情况</w:t>
      </w:r>
    </w:p>
    <w:p w14:paraId="0928B013">
      <w:pPr>
        <w:spacing w:line="580" w:lineRule="exact"/>
        <w:ind w:firstLine="640"/>
        <w:jc w:val="both"/>
      </w:pPr>
      <w:r>
        <w:rPr>
          <w:rFonts w:ascii="仿宋_GB2312" w:hAnsi="仿宋_GB2312" w:eastAsia="仿宋_GB2312"/>
          <w:sz w:val="32"/>
        </w:rPr>
        <w:t>和田地区卫生监督所2024年度，实有人数19人，其中：在职人员12人，减少1人；离休人员0人，增加0人；退休人员7人,增加1人。</w:t>
      </w:r>
    </w:p>
    <w:p w14:paraId="7EE2F924">
      <w:pPr>
        <w:spacing w:line="580" w:lineRule="exact"/>
        <w:ind w:firstLine="640"/>
        <w:jc w:val="both"/>
      </w:pPr>
      <w:r>
        <w:rPr>
          <w:rFonts w:ascii="仿宋_GB2312" w:hAnsi="仿宋_GB2312" w:eastAsia="仿宋_GB2312"/>
          <w:sz w:val="32"/>
        </w:rPr>
        <w:t>和田地区卫生监督所无下属预算单位，下设2个科室，分别是：办公室、医疗卫生监督科。</w:t>
      </w:r>
    </w:p>
    <w:p w14:paraId="5F73F3EC">
      <w:r>
        <w:br w:type="page"/>
      </w:r>
    </w:p>
    <w:p w14:paraId="291D373D">
      <w:pPr>
        <w:spacing w:line="240" w:lineRule="auto"/>
        <w:jc w:val="center"/>
        <w:outlineLvl w:val="1"/>
      </w:pPr>
      <w:r>
        <w:rPr>
          <w:rFonts w:ascii="黑体" w:hAnsi="黑体" w:eastAsia="黑体"/>
          <w:sz w:val="32"/>
        </w:rPr>
        <w:t>第二部分 部门决算情况说明</w:t>
      </w:r>
    </w:p>
    <w:p w14:paraId="69BB83FF">
      <w:pPr>
        <w:spacing w:line="640" w:lineRule="exact"/>
        <w:ind w:firstLine="640"/>
        <w:jc w:val="both"/>
        <w:outlineLvl w:val="2"/>
      </w:pPr>
      <w:r>
        <w:rPr>
          <w:rFonts w:ascii="黑体" w:hAnsi="黑体" w:eastAsia="黑体"/>
          <w:sz w:val="32"/>
        </w:rPr>
        <w:t>一、收入支出决算总体情况说明</w:t>
      </w:r>
    </w:p>
    <w:p w14:paraId="76007D99">
      <w:pPr>
        <w:spacing w:line="580" w:lineRule="exact"/>
        <w:ind w:firstLine="640"/>
        <w:jc w:val="both"/>
      </w:pPr>
      <w:r>
        <w:rPr>
          <w:rFonts w:ascii="仿宋_GB2312" w:hAnsi="仿宋_GB2312" w:eastAsia="仿宋_GB2312"/>
          <w:b/>
          <w:sz w:val="32"/>
        </w:rPr>
        <w:t>2024年度收入总计292.80万元，</w:t>
      </w:r>
      <w:r>
        <w:rPr>
          <w:rFonts w:ascii="仿宋_GB2312" w:hAnsi="仿宋_GB2312" w:eastAsia="仿宋_GB2312"/>
          <w:b w:val="0"/>
          <w:sz w:val="32"/>
        </w:rPr>
        <w:t>其中：本年收入合计291.36万元，使用非财政拨款结余（含专用结余）0.00万元，年初结转和结余1.44万元。</w:t>
      </w:r>
    </w:p>
    <w:p w14:paraId="59207D95">
      <w:pPr>
        <w:spacing w:line="580" w:lineRule="exact"/>
        <w:ind w:firstLine="640"/>
        <w:jc w:val="both"/>
      </w:pPr>
      <w:r>
        <w:rPr>
          <w:rFonts w:ascii="仿宋_GB2312" w:hAnsi="仿宋_GB2312" w:eastAsia="仿宋_GB2312"/>
          <w:b/>
          <w:sz w:val="32"/>
        </w:rPr>
        <w:t>2024年度支出总计292.80万元，</w:t>
      </w:r>
      <w:r>
        <w:rPr>
          <w:rFonts w:ascii="仿宋_GB2312" w:hAnsi="仿宋_GB2312" w:eastAsia="仿宋_GB2312"/>
          <w:b w:val="0"/>
          <w:sz w:val="32"/>
        </w:rPr>
        <w:t>其中：本年支出合计291.36万元，结余分配0.00万元，年末结转和结余1.44万元。</w:t>
      </w:r>
    </w:p>
    <w:p w14:paraId="1E20EBF1">
      <w:pPr>
        <w:spacing w:line="580" w:lineRule="exact"/>
        <w:ind w:firstLine="640"/>
        <w:jc w:val="both"/>
      </w:pPr>
      <w:r>
        <w:rPr>
          <w:rFonts w:ascii="仿宋_GB2312" w:hAnsi="仿宋_GB2312" w:eastAsia="仿宋_GB2312"/>
          <w:b w:val="0"/>
          <w:sz w:val="32"/>
        </w:rPr>
        <w:t>收入支出总体与上年相比，减少45.27万元，下降13.39%，主要原因是：本年在职人员减少，相关人员经费较上年减少，本年度基本公共卫生服务补助资金减少，导致经费较上年减少。</w:t>
      </w:r>
    </w:p>
    <w:p w14:paraId="3C686128">
      <w:pPr>
        <w:spacing w:line="640" w:lineRule="exact"/>
        <w:ind w:firstLine="640"/>
        <w:jc w:val="both"/>
        <w:outlineLvl w:val="2"/>
      </w:pPr>
      <w:r>
        <w:rPr>
          <w:rFonts w:ascii="黑体" w:hAnsi="黑体" w:eastAsia="黑体"/>
          <w:sz w:val="32"/>
        </w:rPr>
        <w:t>二、收入决算情况说明</w:t>
      </w:r>
    </w:p>
    <w:p w14:paraId="47204A78">
      <w:pPr>
        <w:spacing w:line="580" w:lineRule="exact"/>
        <w:ind w:firstLine="640"/>
        <w:jc w:val="both"/>
      </w:pPr>
      <w:r>
        <w:rPr>
          <w:rFonts w:ascii="仿宋_GB2312" w:hAnsi="仿宋_GB2312" w:eastAsia="仿宋_GB2312"/>
          <w:b/>
          <w:sz w:val="32"/>
        </w:rPr>
        <w:t>本年收入291.36万元，</w:t>
      </w:r>
      <w:r>
        <w:rPr>
          <w:rFonts w:ascii="仿宋_GB2312" w:hAnsi="仿宋_GB2312" w:eastAsia="仿宋_GB2312"/>
          <w:b w:val="0"/>
          <w:sz w:val="32"/>
        </w:rPr>
        <w:t>其中：财政拨款收入291.36万元，占100.00%；上级补助收入0.00万元，占0.00%；事业收入0.00万元，占0.00%；经营收入0.00万元，占0.00%；附属单位上缴收入0.00万元，占0.00%；其他收入0.00万元，占0.00%。</w:t>
      </w:r>
    </w:p>
    <w:p w14:paraId="058E920A">
      <w:pPr>
        <w:spacing w:line="640" w:lineRule="exact"/>
        <w:ind w:firstLine="640"/>
        <w:jc w:val="both"/>
        <w:outlineLvl w:val="2"/>
      </w:pPr>
      <w:r>
        <w:rPr>
          <w:rFonts w:ascii="黑体" w:hAnsi="黑体" w:eastAsia="黑体"/>
          <w:sz w:val="32"/>
        </w:rPr>
        <w:t>三、支出决算情况说明</w:t>
      </w:r>
    </w:p>
    <w:p w14:paraId="18239915">
      <w:pPr>
        <w:spacing w:line="580" w:lineRule="exact"/>
        <w:ind w:firstLine="640"/>
        <w:jc w:val="both"/>
      </w:pPr>
      <w:r>
        <w:rPr>
          <w:rFonts w:ascii="仿宋_GB2312" w:hAnsi="仿宋_GB2312" w:eastAsia="仿宋_GB2312"/>
          <w:b/>
          <w:sz w:val="32"/>
        </w:rPr>
        <w:t>本年支出291.36万元，</w:t>
      </w:r>
      <w:r>
        <w:rPr>
          <w:rFonts w:ascii="仿宋_GB2312" w:hAnsi="仿宋_GB2312" w:eastAsia="仿宋_GB2312"/>
          <w:b w:val="0"/>
          <w:sz w:val="32"/>
        </w:rPr>
        <w:t>其中：基本支出285.97万元，占98.15%；项目支出5.39万元，占1.85%；上缴上级支出0.00万元，占0.00%；经营支出0.00万元，占0.00%；对附属单位补助支出0.00万元，占0.00%。</w:t>
      </w:r>
    </w:p>
    <w:p w14:paraId="032861C4">
      <w:pPr>
        <w:spacing w:line="640" w:lineRule="exact"/>
        <w:ind w:firstLine="640"/>
        <w:jc w:val="both"/>
        <w:outlineLvl w:val="2"/>
      </w:pPr>
      <w:r>
        <w:rPr>
          <w:rFonts w:ascii="黑体" w:hAnsi="黑体" w:eastAsia="黑体"/>
          <w:sz w:val="32"/>
        </w:rPr>
        <w:t>四、财政拨款收入支出决算总体情况说明</w:t>
      </w:r>
    </w:p>
    <w:p w14:paraId="14858AF2">
      <w:pPr>
        <w:spacing w:line="580" w:lineRule="exact"/>
        <w:ind w:firstLine="640"/>
        <w:jc w:val="both"/>
      </w:pPr>
      <w:r>
        <w:rPr>
          <w:rFonts w:ascii="仿宋_GB2312" w:hAnsi="仿宋_GB2312" w:eastAsia="仿宋_GB2312"/>
          <w:b/>
          <w:sz w:val="32"/>
        </w:rPr>
        <w:t>2024年度财政拨款收入总计291.36万元，</w:t>
      </w:r>
      <w:r>
        <w:rPr>
          <w:rFonts w:ascii="仿宋_GB2312" w:hAnsi="仿宋_GB2312" w:eastAsia="仿宋_GB2312"/>
          <w:b w:val="0"/>
          <w:sz w:val="32"/>
        </w:rPr>
        <w:t>其中：年初财政拨款结转和结余0.00万元，本年财政拨款收入291.36万元。</w:t>
      </w:r>
      <w:r>
        <w:rPr>
          <w:rFonts w:ascii="仿宋_GB2312" w:hAnsi="仿宋_GB2312" w:eastAsia="仿宋_GB2312"/>
          <w:b/>
          <w:sz w:val="32"/>
        </w:rPr>
        <w:t>财政拨款支出总计291.36万元，</w:t>
      </w:r>
      <w:r>
        <w:rPr>
          <w:rFonts w:ascii="仿宋_GB2312" w:hAnsi="仿宋_GB2312" w:eastAsia="仿宋_GB2312"/>
          <w:b w:val="0"/>
          <w:sz w:val="32"/>
        </w:rPr>
        <w:t>其中：年末财政拨款结转和结余0.00万元，本年财政拨款支出291.36万元。</w:t>
      </w:r>
    </w:p>
    <w:p w14:paraId="089736DF">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减少28.39万元，下降8.88%，主要原因是：本年在职人员减少，相关人员经费较上年减少，本年度基本公共卫生服务补助资金减少，导致经费较上年减少。</w:t>
      </w:r>
      <w:r>
        <w:rPr>
          <w:rFonts w:ascii="仿宋_GB2312" w:hAnsi="仿宋_GB2312" w:eastAsia="仿宋_GB2312"/>
          <w:b/>
          <w:sz w:val="32"/>
        </w:rPr>
        <w:t>与年初预算相比，</w:t>
      </w:r>
      <w:r>
        <w:rPr>
          <w:rFonts w:ascii="仿宋_GB2312" w:hAnsi="仿宋_GB2312" w:eastAsia="仿宋_GB2312"/>
          <w:b w:val="0"/>
          <w:sz w:val="32"/>
        </w:rPr>
        <w:t>年初预算数309.91万元，决算数291.36万元，预决算差异率-5.99%，主要原因是：本年在职人员减少，年中调减人员经费；厉行节约，调减公用经费，导致预决算存在差异。</w:t>
      </w:r>
    </w:p>
    <w:p w14:paraId="4C2B999F">
      <w:pPr>
        <w:spacing w:line="640" w:lineRule="exact"/>
        <w:ind w:firstLine="640"/>
        <w:jc w:val="both"/>
        <w:outlineLvl w:val="2"/>
      </w:pPr>
      <w:r>
        <w:rPr>
          <w:rFonts w:ascii="黑体" w:hAnsi="黑体" w:eastAsia="黑体"/>
          <w:sz w:val="32"/>
        </w:rPr>
        <w:t>五、一般公共预算财政拨款支出决算情况说明</w:t>
      </w:r>
    </w:p>
    <w:p w14:paraId="0FD31E2B">
      <w:pPr>
        <w:spacing w:line="640" w:lineRule="exact"/>
        <w:ind w:firstLine="640"/>
        <w:jc w:val="both"/>
        <w:outlineLvl w:val="3"/>
      </w:pPr>
      <w:r>
        <w:rPr>
          <w:rFonts w:ascii="楷体_GB2312" w:hAnsi="楷体_GB2312" w:eastAsia="楷体_GB2312"/>
          <w:b/>
          <w:sz w:val="32"/>
        </w:rPr>
        <w:t>（一）一般公共预算财政拨款支出决算总体情况</w:t>
      </w:r>
    </w:p>
    <w:p w14:paraId="5FC15BF4">
      <w:pPr>
        <w:spacing w:line="580" w:lineRule="exact"/>
        <w:ind w:firstLine="640"/>
        <w:jc w:val="both"/>
      </w:pPr>
      <w:r>
        <w:rPr>
          <w:rFonts w:ascii="仿宋_GB2312" w:hAnsi="仿宋_GB2312" w:eastAsia="仿宋_GB2312"/>
          <w:b/>
          <w:sz w:val="32"/>
        </w:rPr>
        <w:t>2024年度一般公共预算财政拨款支出291.36万元，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减少28.39万元，下降8.88%，主要原因是：本年在职人员减少，相关人员经费较上年减少，本年度基本公共卫生服务补助资金减少，导致经费较上年减少。</w:t>
      </w:r>
      <w:r>
        <w:rPr>
          <w:rFonts w:ascii="仿宋_GB2312" w:hAnsi="仿宋_GB2312" w:eastAsia="仿宋_GB2312"/>
          <w:b/>
          <w:sz w:val="32"/>
        </w:rPr>
        <w:t>与年初预算相比,</w:t>
      </w:r>
      <w:r>
        <w:rPr>
          <w:rFonts w:ascii="仿宋_GB2312" w:hAnsi="仿宋_GB2312" w:eastAsia="仿宋_GB2312"/>
          <w:b w:val="0"/>
          <w:sz w:val="32"/>
        </w:rPr>
        <w:t>年初预算数309.91万元，决算数291.36万元，预决算差异率-5.99%，主要原因是：本年在职人员减少，年中调减人员经费；厉行节约，调减公用经费，导致预决算存在差异。</w:t>
      </w:r>
    </w:p>
    <w:p w14:paraId="476C832C">
      <w:pPr>
        <w:spacing w:line="640" w:lineRule="exact"/>
        <w:ind w:firstLine="640"/>
        <w:jc w:val="both"/>
        <w:outlineLvl w:val="3"/>
      </w:pPr>
      <w:r>
        <w:rPr>
          <w:rFonts w:ascii="楷体_GB2312" w:hAnsi="楷体_GB2312" w:eastAsia="楷体_GB2312"/>
          <w:b/>
          <w:sz w:val="32"/>
        </w:rPr>
        <w:t>（二）一般公共预算财政拨款支出决算结构情况</w:t>
      </w:r>
    </w:p>
    <w:p w14:paraId="52648B40">
      <w:pPr>
        <w:spacing w:line="580" w:lineRule="exact"/>
        <w:ind w:firstLine="640"/>
        <w:jc w:val="both"/>
      </w:pPr>
      <w:r>
        <w:rPr>
          <w:rFonts w:ascii="仿宋_GB2312" w:hAnsi="仿宋_GB2312" w:eastAsia="仿宋_GB2312"/>
          <w:b w:val="0"/>
          <w:sz w:val="32"/>
        </w:rPr>
        <w:t>1.社会保障和就业支出(类)43.99万元,占15.10%。</w:t>
      </w:r>
    </w:p>
    <w:p w14:paraId="13208323">
      <w:pPr>
        <w:spacing w:line="580" w:lineRule="exact"/>
        <w:ind w:firstLine="640"/>
        <w:jc w:val="both"/>
      </w:pPr>
      <w:r>
        <w:rPr>
          <w:rFonts w:ascii="仿宋_GB2312" w:hAnsi="仿宋_GB2312" w:eastAsia="仿宋_GB2312"/>
          <w:b w:val="0"/>
          <w:sz w:val="32"/>
        </w:rPr>
        <w:t>2.卫生健康支出(类)226.97万元,占77.90%。</w:t>
      </w:r>
    </w:p>
    <w:p w14:paraId="6BCBE430">
      <w:pPr>
        <w:spacing w:line="580" w:lineRule="exact"/>
        <w:ind w:firstLine="640"/>
        <w:jc w:val="both"/>
      </w:pPr>
      <w:r>
        <w:rPr>
          <w:rFonts w:ascii="仿宋_GB2312" w:hAnsi="仿宋_GB2312" w:eastAsia="仿宋_GB2312"/>
          <w:b w:val="0"/>
          <w:sz w:val="32"/>
        </w:rPr>
        <w:t>3.住房保障支出(类)20.41万元,占7.01%。</w:t>
      </w:r>
    </w:p>
    <w:p w14:paraId="226DC1F4">
      <w:pPr>
        <w:spacing w:line="640" w:lineRule="exact"/>
        <w:ind w:firstLine="640"/>
        <w:jc w:val="both"/>
        <w:outlineLvl w:val="3"/>
      </w:pPr>
      <w:r>
        <w:rPr>
          <w:rFonts w:ascii="楷体_GB2312" w:hAnsi="楷体_GB2312" w:eastAsia="楷体_GB2312"/>
          <w:b/>
          <w:sz w:val="32"/>
        </w:rPr>
        <w:t>（三）一般公共预算财政拨款支出决算具体情况</w:t>
      </w:r>
    </w:p>
    <w:p w14:paraId="0D26986B">
      <w:pPr>
        <w:spacing w:line="580" w:lineRule="exact"/>
        <w:ind w:firstLine="640"/>
        <w:jc w:val="both"/>
      </w:pPr>
      <w:r>
        <w:rPr>
          <w:rFonts w:ascii="仿宋_GB2312" w:hAnsi="仿宋_GB2312" w:eastAsia="仿宋_GB2312"/>
          <w:b w:val="0"/>
          <w:sz w:val="32"/>
        </w:rPr>
        <w:t>1.社会保障和就业支出(类)行政事业单位养老支出(款)事业单位离退休(项):支出决算数为9.33万元，比上年决算增加9.33万元，增长100.00%,主要原因是：本年功能科目调整，事业单位离退休上年度在主科目列支，本年单独列支，导致经费较上年增加。</w:t>
      </w:r>
    </w:p>
    <w:p w14:paraId="3787AEF4">
      <w:pPr>
        <w:spacing w:line="580" w:lineRule="exact"/>
        <w:ind w:firstLine="640"/>
        <w:jc w:val="both"/>
      </w:pPr>
      <w:r>
        <w:rPr>
          <w:rFonts w:ascii="仿宋_GB2312" w:hAnsi="仿宋_GB2312" w:eastAsia="仿宋_GB2312"/>
          <w:b w:val="0"/>
          <w:sz w:val="32"/>
        </w:rPr>
        <w:t>2.社会保障和就业支出(类)行政事业单位养老支出(款)机关事业单位基本养老保险缴费支出(项):支出决算数为26.53万元，比上年决算增加0.44万元，增长1.69%,主要原因是：本年在职人员工资基数调增，养老缴费基数上涨，相应支出增加。</w:t>
      </w:r>
    </w:p>
    <w:p w14:paraId="22AC5EEC">
      <w:pPr>
        <w:spacing w:line="580" w:lineRule="exact"/>
        <w:ind w:firstLine="640"/>
        <w:jc w:val="both"/>
      </w:pPr>
      <w:r>
        <w:rPr>
          <w:rFonts w:ascii="仿宋_GB2312" w:hAnsi="仿宋_GB2312" w:eastAsia="仿宋_GB2312"/>
          <w:b w:val="0"/>
          <w:sz w:val="32"/>
        </w:rPr>
        <w:t>3.社会保障和就业支出(类)行政事业单位养老支出(款)机关事业单位职业年金缴费支出(项):支出决算数为8.13万元，比上年决算增加0.46万元，增长6.00%,主要原因是：本年新增退休人员，导致职业年金缴费支出增加。</w:t>
      </w:r>
    </w:p>
    <w:p w14:paraId="6B28A7FF">
      <w:pPr>
        <w:spacing w:line="580" w:lineRule="exact"/>
        <w:ind w:firstLine="640"/>
        <w:jc w:val="both"/>
      </w:pPr>
      <w:r>
        <w:rPr>
          <w:rFonts w:ascii="仿宋_GB2312" w:hAnsi="仿宋_GB2312" w:eastAsia="仿宋_GB2312"/>
          <w:b w:val="0"/>
          <w:sz w:val="32"/>
        </w:rPr>
        <w:t>4.卫生健康支出(类)公共卫生(款)卫生监督机构(项):支出决算数为204.33万元，比上年决算减少69.17万元，下降25.29%,主要原因是：本年功能科目调整，事业单位离退休、事业单位医疗、公务员医疗补助、住房公积金上年度在主科目列支，本年单独列支，导致经费较上年减少。</w:t>
      </w:r>
    </w:p>
    <w:p w14:paraId="5712AF63">
      <w:pPr>
        <w:spacing w:line="580" w:lineRule="exact"/>
        <w:ind w:firstLine="640"/>
        <w:jc w:val="both"/>
      </w:pPr>
      <w:r>
        <w:rPr>
          <w:rFonts w:ascii="仿宋_GB2312" w:hAnsi="仿宋_GB2312" w:eastAsia="仿宋_GB2312"/>
          <w:b w:val="0"/>
          <w:sz w:val="32"/>
        </w:rPr>
        <w:t>5.卫生健康支出(类)公共卫生(款)基本公共卫生服务(项):支出决算数为0.40万元，比上年决算减少7.10万元，下降94.67%,主要原因是：本年度减少基本公共卫生服务补助资金，导致经费较上年减少。</w:t>
      </w:r>
    </w:p>
    <w:p w14:paraId="53814743">
      <w:pPr>
        <w:spacing w:line="580" w:lineRule="exact"/>
        <w:ind w:firstLine="640"/>
        <w:jc w:val="both"/>
      </w:pPr>
      <w:r>
        <w:rPr>
          <w:rFonts w:ascii="仿宋_GB2312" w:hAnsi="仿宋_GB2312" w:eastAsia="仿宋_GB2312"/>
          <w:b w:val="0"/>
          <w:sz w:val="32"/>
        </w:rPr>
        <w:t>6.卫生健康支出(类)公共卫生(款)重大公共卫生服务(项):支出决算数为4.99万元，比上年决算减少0.01万元，下降0.20%,主要原因是：本年度自治区公共卫生服务补助资金减少，导致经费较上年减少。</w:t>
      </w:r>
    </w:p>
    <w:p w14:paraId="480CEACC">
      <w:pPr>
        <w:spacing w:line="580" w:lineRule="exact"/>
        <w:ind w:firstLine="640"/>
        <w:jc w:val="both"/>
      </w:pPr>
      <w:r>
        <w:rPr>
          <w:rFonts w:ascii="仿宋_GB2312" w:hAnsi="仿宋_GB2312" w:eastAsia="仿宋_GB2312"/>
          <w:b w:val="0"/>
          <w:sz w:val="32"/>
        </w:rPr>
        <w:t>7.卫生健康支出(类)行政事业单位医疗(款)事业单位医疗(项):支出决算数为10.68万元，比上年决算增加10.68万元，增长100.00%,主要原因是：本年功能科目调整，事业单位医疗支出上年度在主科目列支，本年单独列支，导致经费较上年增加。</w:t>
      </w:r>
    </w:p>
    <w:p w14:paraId="6BE58A71">
      <w:pPr>
        <w:spacing w:line="580" w:lineRule="exact"/>
        <w:ind w:firstLine="640"/>
        <w:jc w:val="both"/>
      </w:pPr>
      <w:r>
        <w:rPr>
          <w:rFonts w:ascii="仿宋_GB2312" w:hAnsi="仿宋_GB2312" w:eastAsia="仿宋_GB2312"/>
          <w:b w:val="0"/>
          <w:sz w:val="32"/>
        </w:rPr>
        <w:t>8.卫生健康支出(类)行政事业单位医疗(款)公务员医疗补助(项):支出决算数为6.56万元，比上年决算增加6.56万元，增长100.00%,主要原因是：本年功能科目调整，公务员医疗补助上年度在主科目列支，本年单独列支，导致经费较上年增加。</w:t>
      </w:r>
    </w:p>
    <w:p w14:paraId="397EC3A0">
      <w:pPr>
        <w:spacing w:line="580" w:lineRule="exact"/>
        <w:ind w:firstLine="640"/>
        <w:jc w:val="both"/>
      </w:pPr>
      <w:r>
        <w:rPr>
          <w:rFonts w:ascii="仿宋_GB2312" w:hAnsi="仿宋_GB2312" w:eastAsia="仿宋_GB2312"/>
          <w:b w:val="0"/>
          <w:sz w:val="32"/>
        </w:rPr>
        <w:t>9.住房保障支出(类)住房改革支出(款)住房公积金(项):支出决算数为20.41万元，比上年决算增加20.41万元，增长100.00%,主要原因是：本年功能科目调整，住房公积金上年度在主科目列支，本年单独列支，导致经费较上年增加。</w:t>
      </w:r>
    </w:p>
    <w:p w14:paraId="47BA4D47">
      <w:pPr>
        <w:spacing w:line="640" w:lineRule="exact"/>
        <w:ind w:firstLine="640"/>
        <w:jc w:val="both"/>
        <w:outlineLvl w:val="2"/>
      </w:pPr>
      <w:r>
        <w:rPr>
          <w:rFonts w:ascii="黑体" w:hAnsi="黑体" w:eastAsia="黑体"/>
          <w:sz w:val="32"/>
        </w:rPr>
        <w:t>六、一般公共预算财政拨款基本支出决算情况说明</w:t>
      </w:r>
    </w:p>
    <w:p w14:paraId="140EC180">
      <w:pPr>
        <w:spacing w:line="580" w:lineRule="exact"/>
        <w:ind w:firstLine="640"/>
        <w:jc w:val="both"/>
      </w:pPr>
      <w:r>
        <w:rPr>
          <w:rFonts w:ascii="仿宋_GB2312" w:hAnsi="仿宋_GB2312" w:eastAsia="仿宋_GB2312"/>
          <w:b w:val="0"/>
          <w:sz w:val="32"/>
        </w:rPr>
        <w:t>2024年度一般公共预算财政拨款基本支出285.97万元，其中：</w:t>
      </w:r>
      <w:r>
        <w:rPr>
          <w:rFonts w:ascii="仿宋_GB2312" w:hAnsi="仿宋_GB2312" w:eastAsia="仿宋_GB2312"/>
          <w:b/>
          <w:sz w:val="32"/>
        </w:rPr>
        <w:t>人员经费277.34万元，</w:t>
      </w:r>
      <w:r>
        <w:rPr>
          <w:rFonts w:ascii="仿宋_GB2312" w:hAnsi="仿宋_GB2312" w:eastAsia="仿宋_GB2312"/>
          <w:b w:val="0"/>
          <w:sz w:val="32"/>
        </w:rPr>
        <w:t>包括：基本工资、津贴补贴、奖金、机关事业单位基本养老保险缴费、职业年金缴费、职工基本医疗保险缴费、公务员医疗补助缴费、其他社会保障缴费、住房公积金、退休费、奖励金。</w:t>
      </w:r>
    </w:p>
    <w:p w14:paraId="78ABC59E">
      <w:pPr>
        <w:spacing w:line="580" w:lineRule="exact"/>
        <w:ind w:firstLine="640"/>
        <w:jc w:val="both"/>
      </w:pPr>
      <w:r>
        <w:rPr>
          <w:rFonts w:ascii="仿宋_GB2312" w:hAnsi="仿宋_GB2312" w:eastAsia="仿宋_GB2312"/>
          <w:b/>
          <w:sz w:val="32"/>
        </w:rPr>
        <w:t>公用经费8.63万元，</w:t>
      </w:r>
      <w:r>
        <w:rPr>
          <w:rFonts w:ascii="仿宋_GB2312" w:hAnsi="仿宋_GB2312" w:eastAsia="仿宋_GB2312"/>
          <w:b w:val="0"/>
          <w:sz w:val="32"/>
        </w:rPr>
        <w:t>包括：办公费、差旅费、工会经费、公务用车运行维护费。</w:t>
      </w:r>
    </w:p>
    <w:p w14:paraId="06561A9A">
      <w:pPr>
        <w:spacing w:line="640" w:lineRule="exact"/>
        <w:ind w:firstLine="640"/>
        <w:jc w:val="both"/>
        <w:outlineLvl w:val="2"/>
      </w:pPr>
      <w:r>
        <w:rPr>
          <w:rFonts w:ascii="黑体" w:hAnsi="黑体" w:eastAsia="黑体"/>
          <w:sz w:val="32"/>
        </w:rPr>
        <w:t>七、政府性基金预算财政拨款收入支出决算情况说明</w:t>
      </w:r>
    </w:p>
    <w:p w14:paraId="65533689">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64E273B2">
      <w:pPr>
        <w:spacing w:line="640" w:lineRule="exact"/>
        <w:ind w:firstLine="640"/>
        <w:jc w:val="both"/>
        <w:outlineLvl w:val="2"/>
      </w:pPr>
      <w:r>
        <w:rPr>
          <w:rFonts w:ascii="黑体" w:hAnsi="黑体" w:eastAsia="黑体"/>
          <w:sz w:val="32"/>
        </w:rPr>
        <w:t>八、国有资本经营预算财政拨款收入支出决算情况说明</w:t>
      </w:r>
    </w:p>
    <w:p w14:paraId="297F555B">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58F02801">
      <w:pPr>
        <w:spacing w:line="640" w:lineRule="exact"/>
        <w:ind w:firstLine="640"/>
        <w:jc w:val="both"/>
        <w:outlineLvl w:val="2"/>
      </w:pPr>
      <w:r>
        <w:rPr>
          <w:rFonts w:ascii="黑体" w:hAnsi="黑体" w:eastAsia="黑体"/>
          <w:sz w:val="32"/>
        </w:rPr>
        <w:t>九、财政拨款“三公”经费支出决算情况说明</w:t>
      </w:r>
    </w:p>
    <w:p w14:paraId="7FCF11F7">
      <w:pPr>
        <w:spacing w:line="580" w:lineRule="exact"/>
        <w:ind w:firstLine="640"/>
        <w:jc w:val="both"/>
      </w:pPr>
      <w:r>
        <w:rPr>
          <w:rFonts w:ascii="仿宋_GB2312" w:hAnsi="仿宋_GB2312" w:eastAsia="仿宋_GB2312"/>
          <w:b/>
          <w:sz w:val="32"/>
        </w:rPr>
        <w:t>2024年度财政拨款“三公”经费支出0.56万元，</w:t>
      </w:r>
      <w:r>
        <w:rPr>
          <w:rFonts w:ascii="仿宋_GB2312" w:hAnsi="仿宋_GB2312" w:eastAsia="仿宋_GB2312"/>
          <w:b w:val="0"/>
          <w:sz w:val="32"/>
        </w:rPr>
        <w:t>比上年减少2.44万元，下降81.33%，主要原因是：严格落实中央八项规定精神，厉行节约，减少公务用车使用频次，加油费、维修费、过路费减少，导致经费较上年减少。其中：因公出国（境）费支出0.00万元，占0.00%，比上年增加0.00万元，增长0.00%，主要原因是：2023年与2024年均未安排因公出国（境）费支出。公务用车购置及运行维护费支出0.56万元，占100.00%，比上年减少2.44万元，下降81.33%，主要原因是：严格落实中央八项规定精神，厉行节约，减少公务用车使用频次，加油费、维修费、过路费减少，导致经费较上年减少。公务接待费支出0.00万元，占0.00%，比上年增加0.00万元，增长0.00%，主要原因是：2023年与2024年均未安排公务接待费支出。</w:t>
      </w:r>
    </w:p>
    <w:p w14:paraId="280DD15B">
      <w:pPr>
        <w:spacing w:line="580" w:lineRule="exact"/>
        <w:ind w:firstLine="640"/>
        <w:jc w:val="both"/>
      </w:pPr>
      <w:r>
        <w:rPr>
          <w:rFonts w:ascii="仿宋_GB2312" w:hAnsi="仿宋_GB2312" w:eastAsia="仿宋_GB2312"/>
          <w:b/>
          <w:sz w:val="32"/>
        </w:rPr>
        <w:t>具体情况如下：</w:t>
      </w:r>
    </w:p>
    <w:p w14:paraId="5ABD434B">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77CFE38D">
      <w:pPr>
        <w:spacing w:line="580" w:lineRule="exact"/>
        <w:ind w:firstLine="640"/>
        <w:jc w:val="both"/>
      </w:pPr>
      <w:r>
        <w:rPr>
          <w:rFonts w:ascii="仿宋_GB2312" w:hAnsi="仿宋_GB2312" w:eastAsia="仿宋_GB2312"/>
          <w:b w:val="0"/>
          <w:sz w:val="32"/>
        </w:rPr>
        <w:t>公务用车购置及运行维护费0.56万元，其中：公务用车购置费0.00万元，公务用车运行维护费0.56万元。公务用车运行维护费开支内容包括车辆加油费、维修费、保险费、审车费、过路费。公务用车购置数0辆，公务用车保有量2辆。国有资产占用情况中固定资产车辆0辆，与公务用车保有量差异原因是：借用其他单位车辆，车辆费用由本单位支付。</w:t>
      </w:r>
    </w:p>
    <w:p w14:paraId="32AC7C2B">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3D485DFE">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0.56万元，决算数0.56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0.56万元，决算数0.56万元，预决算差异率0.00%，主要原因是：严格按照预算执行，预决算无差异。公务接待费全年预算数0.00万元，决算数0.00万元，预决算差异率0.00%，主要原因是：本单位无公务接待费。</w:t>
      </w:r>
    </w:p>
    <w:p w14:paraId="570C4C12">
      <w:pPr>
        <w:spacing w:line="640" w:lineRule="exact"/>
        <w:ind w:firstLine="640"/>
        <w:jc w:val="both"/>
        <w:outlineLvl w:val="2"/>
      </w:pPr>
      <w:r>
        <w:rPr>
          <w:rFonts w:ascii="黑体" w:hAnsi="黑体" w:eastAsia="黑体"/>
          <w:sz w:val="32"/>
        </w:rPr>
        <w:t>十、其他重要事项的情况说明</w:t>
      </w:r>
    </w:p>
    <w:p w14:paraId="7D62926B">
      <w:pPr>
        <w:spacing w:line="640" w:lineRule="exact"/>
        <w:ind w:firstLine="640"/>
        <w:jc w:val="both"/>
        <w:outlineLvl w:val="3"/>
      </w:pPr>
      <w:r>
        <w:rPr>
          <w:rFonts w:ascii="楷体_GB2312" w:hAnsi="楷体_GB2312" w:eastAsia="楷体_GB2312"/>
          <w:b/>
          <w:sz w:val="32"/>
        </w:rPr>
        <w:t>（一）机关运行经费及公用经费支出情况</w:t>
      </w:r>
    </w:p>
    <w:p w14:paraId="6AFCB1C3">
      <w:pPr>
        <w:spacing w:line="580" w:lineRule="exact"/>
        <w:ind w:firstLine="640"/>
        <w:jc w:val="both"/>
      </w:pPr>
      <w:r>
        <w:rPr>
          <w:rFonts w:ascii="仿宋_GB2312" w:hAnsi="仿宋_GB2312" w:eastAsia="仿宋_GB2312"/>
          <w:b w:val="0"/>
          <w:sz w:val="32"/>
        </w:rPr>
        <w:t>2024年度和田地区卫生监督所（行政单位和参照公务员法管理事业单位）机关运行经费支出8.63万元，比上年减少7.58万元，下降46.76%，主要原因是：本年减少劳务费、福利费、邮电费、维修（护）费、导致机关运行经费较上年减少。</w:t>
      </w:r>
    </w:p>
    <w:p w14:paraId="22234F16">
      <w:pPr>
        <w:spacing w:line="640" w:lineRule="exact"/>
        <w:ind w:firstLine="640"/>
        <w:jc w:val="both"/>
        <w:outlineLvl w:val="3"/>
      </w:pPr>
      <w:r>
        <w:rPr>
          <w:rFonts w:ascii="楷体_GB2312" w:hAnsi="楷体_GB2312" w:eastAsia="楷体_GB2312"/>
          <w:b/>
          <w:sz w:val="32"/>
        </w:rPr>
        <w:t>（二）政府采购情况</w:t>
      </w:r>
    </w:p>
    <w:p w14:paraId="12C57FC7">
      <w:pPr>
        <w:spacing w:line="580" w:lineRule="exact"/>
        <w:ind w:firstLine="640"/>
        <w:jc w:val="both"/>
      </w:pPr>
      <w:r>
        <w:rPr>
          <w:rFonts w:ascii="仿宋_GB2312" w:hAnsi="仿宋_GB2312" w:eastAsia="仿宋_GB2312"/>
          <w:b w:val="0"/>
          <w:sz w:val="32"/>
        </w:rPr>
        <w:t>2024年度政府采购支出总额0.00万元，其中：政府采购货物支出0.00万元、政府采购工程支出0.00万元、政府采购服务支出0.00万元。</w:t>
      </w:r>
    </w:p>
    <w:p w14:paraId="49FA00E9">
      <w:pPr>
        <w:spacing w:line="580" w:lineRule="exact"/>
        <w:ind w:firstLine="640"/>
        <w:jc w:val="both"/>
      </w:pPr>
      <w:r>
        <w:rPr>
          <w:rFonts w:ascii="仿宋_GB2312" w:hAnsi="仿宋_GB2312" w:eastAsia="仿宋_GB2312"/>
          <w:b w:val="0"/>
          <w:sz w:val="32"/>
        </w:rPr>
        <w:t>授予中小企业合同金额0.00万元，占政府采购支出总额的0.00%，其中：授予小微企业合同金额0.00万元，占政府采购支出总额的0.00%。</w:t>
      </w:r>
    </w:p>
    <w:p w14:paraId="7A1644CD">
      <w:pPr>
        <w:spacing w:line="640" w:lineRule="exact"/>
        <w:ind w:firstLine="640"/>
        <w:jc w:val="both"/>
        <w:outlineLvl w:val="3"/>
      </w:pPr>
      <w:r>
        <w:rPr>
          <w:rFonts w:ascii="楷体_GB2312" w:hAnsi="楷体_GB2312" w:eastAsia="楷体_GB2312"/>
          <w:b/>
          <w:sz w:val="32"/>
        </w:rPr>
        <w:t>（三）国有资产占用情况说明</w:t>
      </w:r>
    </w:p>
    <w:p w14:paraId="52C9B1ED">
      <w:pPr>
        <w:spacing w:line="580" w:lineRule="exact"/>
        <w:ind w:firstLine="640"/>
        <w:jc w:val="both"/>
      </w:pPr>
      <w:r>
        <w:rPr>
          <w:rFonts w:ascii="仿宋_GB2312" w:hAnsi="仿宋_GB2312" w:eastAsia="仿宋_GB2312"/>
          <w:b w:val="0"/>
          <w:sz w:val="32"/>
        </w:rPr>
        <w:t>截至2024年12月31日，房屋0.00平方米，价值0.00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0台（套）。</w:t>
      </w:r>
    </w:p>
    <w:p w14:paraId="350259FD">
      <w:pPr>
        <w:spacing w:line="640" w:lineRule="exact"/>
        <w:ind w:firstLine="640"/>
        <w:jc w:val="both"/>
        <w:outlineLvl w:val="2"/>
      </w:pPr>
      <w:r>
        <w:rPr>
          <w:rFonts w:ascii="黑体" w:hAnsi="黑体" w:eastAsia="黑体"/>
          <w:sz w:val="32"/>
        </w:rPr>
        <w:t>十一、预算绩效的情况说明</w:t>
      </w:r>
    </w:p>
    <w:p w14:paraId="54AEB236">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292.80万元，实际执行总额291.36万元；预算绩效评价项目1个，全年预算数5.40万元，全年执行数5.39万元。预算绩效管理取得的成效：一是实现了资源的优化配置。通过对预算资金的科学管理，将资金精准投入到关键的卫生健康项目中，如基层医疗设施建设、公共卫生服务等，提升了资源的使用效益。二是提高了医疗服务质量。以绩效目标为指引，促使医疗机构加强管理、提升医护人员专业水平，优化服务流程，为民众提供更优质的医疗服务，患者满意度明显提高。三是强化了成本控制。严格的预算绩效管理有效约束了不必要的开支，做到精打细算，减少浪费，确保每一分钱都发挥出最大价值。同时，也增强了工作人员的责任意识，推动和田地区卫生健康事业稳步发展。发现的问题及原因：1.部分项目资金使用效率不高。可能出现设备闲置、物资积压等情况，导致资源浪费。2.绩效指标评估不够全面。一些关键绩效指标未能充分反映卫生健康工作的实际效果，影响了对工作成果的准确评价。3.预算调整较为频繁。实际执行与预算计划存在较大偏差，增加了管理成本和不确定性。下一步改进措施：一是强化目标设定科学性。组织专业培训，提升工作人员对绩效目标的理解和设定能力。深入基层调研，结合实际需求确定具体、可量化的目标，确保目标切实可行且与卫生健康重点工作紧密关联。二是严格预算执行监管。建立动态监督机制，实时跟踪资金使用和项目进度。对执行缓慢的项目及时督促，合理调整资源分配，确保预算执行均衡高效，杜绝资金闲置和浪费。三是优化绩效指标体系。根据卫生健康</w:t>
      </w:r>
      <w:r>
        <w:rPr>
          <w:rFonts w:hint="eastAsia" w:ascii="仿宋_GB2312" w:hAnsi="仿宋_GB2312" w:eastAsia="仿宋_GB2312"/>
          <w:b w:val="0"/>
          <w:sz w:val="32"/>
          <w:lang w:eastAsia="zh-CN"/>
        </w:rPr>
        <w:t>工作的开展</w:t>
      </w:r>
      <w:r>
        <w:rPr>
          <w:rFonts w:ascii="仿宋_GB2312" w:hAnsi="仿宋_GB2312" w:eastAsia="仿宋_GB2312"/>
          <w:b w:val="0"/>
          <w:sz w:val="32"/>
        </w:rPr>
        <w:t>变化，定期评估和完善绩效指标。增加关键指标的权重，突出重点工作成效，提高指标的针对性和有效性。具体附整体支出绩效自评表，项目支出绩效自评表和评价报告。</w:t>
      </w:r>
    </w:p>
    <w:p w14:paraId="234BB425">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20A042D6">
        <w:tblPrEx>
          <w:tblCellMar>
            <w:top w:w="0" w:type="dxa"/>
            <w:left w:w="108" w:type="dxa"/>
            <w:bottom w:w="0" w:type="dxa"/>
            <w:right w:w="108" w:type="dxa"/>
          </w:tblCellMar>
        </w:tblPrEx>
        <w:tc>
          <w:tcPr>
            <w:tcW w:w="8847" w:type="dxa"/>
            <w:gridSpan w:val="9"/>
            <w:vAlign w:val="center"/>
          </w:tcPr>
          <w:p w14:paraId="30499577">
            <w:pPr>
              <w:jc w:val="center"/>
            </w:pPr>
            <w:r>
              <w:rPr>
                <w:rFonts w:ascii="宋体" w:hAnsi="宋体" w:eastAsia="宋体"/>
                <w:sz w:val="24"/>
              </w:rPr>
              <w:t>单位整体支出绩效自评表</w:t>
            </w:r>
          </w:p>
        </w:tc>
      </w:tr>
      <w:tr w14:paraId="31630891">
        <w:tblPrEx>
          <w:tblCellMar>
            <w:top w:w="0" w:type="dxa"/>
            <w:left w:w="108" w:type="dxa"/>
            <w:bottom w:w="0" w:type="dxa"/>
            <w:right w:w="108" w:type="dxa"/>
          </w:tblCellMar>
        </w:tblPrEx>
        <w:tc>
          <w:tcPr>
            <w:tcW w:w="8847" w:type="dxa"/>
            <w:gridSpan w:val="9"/>
            <w:vAlign w:val="center"/>
          </w:tcPr>
          <w:p w14:paraId="27E03129">
            <w:pPr>
              <w:jc w:val="center"/>
            </w:pPr>
            <w:r>
              <w:rPr>
                <w:rFonts w:ascii="宋体" w:hAnsi="宋体" w:eastAsia="宋体"/>
                <w:sz w:val="24"/>
              </w:rPr>
              <w:t>（2024年度）</w:t>
            </w:r>
          </w:p>
        </w:tc>
      </w:tr>
      <w:tr w14:paraId="18DAA79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165F21">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4711D8E5">
            <w:pPr>
              <w:jc w:val="center"/>
            </w:pPr>
            <w:r>
              <w:rPr>
                <w:rFonts w:ascii="宋体" w:hAnsi="宋体" w:eastAsia="宋体"/>
                <w:sz w:val="16"/>
              </w:rPr>
              <w:t>和田地区卫生监督所</w:t>
            </w:r>
          </w:p>
        </w:tc>
      </w:tr>
      <w:tr w14:paraId="418C07F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E147FD">
            <w:pPr>
              <w:jc w:val="center"/>
            </w:pPr>
            <w:r>
              <w:rPr>
                <w:rFonts w:ascii="宋体" w:hAnsi="宋体" w:eastAsia="宋体"/>
                <w:sz w:val="16"/>
              </w:rPr>
              <w:t>部门资金（万元）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BD246F">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CA56F4">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B5C0F6">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52F083">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353E1F">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BA420B">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3E96D4">
            <w:pPr>
              <w:jc w:val="center"/>
            </w:pPr>
            <w:r>
              <w:rPr>
                <w:rFonts w:ascii="宋体" w:hAnsi="宋体" w:eastAsia="宋体"/>
                <w:sz w:val="16"/>
              </w:rPr>
              <w:t>得分</w:t>
            </w:r>
          </w:p>
        </w:tc>
      </w:tr>
      <w:tr w14:paraId="2DB79BD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C05D43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D0C755">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CC40C1">
            <w:pPr>
              <w:jc w:val="center"/>
            </w:pPr>
            <w:r>
              <w:rPr>
                <w:rFonts w:ascii="宋体" w:hAnsi="宋体" w:eastAsia="宋体"/>
                <w:sz w:val="16"/>
              </w:rPr>
              <w:t>309.91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9FEE0D">
            <w:pPr>
              <w:jc w:val="center"/>
            </w:pPr>
            <w:r>
              <w:rPr>
                <w:rFonts w:ascii="宋体" w:hAnsi="宋体" w:eastAsia="宋体"/>
                <w:sz w:val="16"/>
              </w:rPr>
              <w:t>292.80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92241C">
            <w:pPr>
              <w:jc w:val="center"/>
            </w:pPr>
            <w:r>
              <w:rPr>
                <w:rFonts w:ascii="宋体" w:hAnsi="宋体" w:eastAsia="宋体"/>
                <w:sz w:val="16"/>
              </w:rPr>
              <w:t>291.36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434D0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79A05C">
            <w:pPr>
              <w:jc w:val="center"/>
            </w:pPr>
            <w:r>
              <w:rPr>
                <w:rFonts w:ascii="宋体" w:hAnsi="宋体" w:eastAsia="宋体"/>
                <w:sz w:val="16"/>
              </w:rPr>
              <w:t>99.51%</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8A4E5D">
            <w:pPr>
              <w:jc w:val="center"/>
            </w:pPr>
            <w:r>
              <w:rPr>
                <w:rFonts w:ascii="宋体" w:hAnsi="宋体" w:eastAsia="宋体"/>
                <w:sz w:val="16"/>
              </w:rPr>
              <w:t>9.95</w:t>
            </w:r>
          </w:p>
        </w:tc>
      </w:tr>
      <w:tr w14:paraId="5151EEF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B0EF20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6BB77E">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719A9C">
            <w:pPr>
              <w:jc w:val="center"/>
            </w:pPr>
            <w:r>
              <w:rPr>
                <w:rFonts w:ascii="宋体" w:hAnsi="宋体" w:eastAsia="宋体"/>
                <w:sz w:val="16"/>
              </w:rPr>
              <w:t>5.40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A71982">
            <w:pPr>
              <w:jc w:val="center"/>
            </w:pPr>
            <w:r>
              <w:rPr>
                <w:rFonts w:ascii="宋体" w:hAnsi="宋体" w:eastAsia="宋体"/>
                <w:sz w:val="16"/>
              </w:rPr>
              <w:t>5.40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A503FC">
            <w:pPr>
              <w:jc w:val="center"/>
            </w:pPr>
            <w:r>
              <w:rPr>
                <w:rFonts w:ascii="宋体" w:hAnsi="宋体" w:eastAsia="宋体"/>
                <w:sz w:val="16"/>
              </w:rPr>
              <w:t>5.40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67E7F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A4463C">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59AD2E">
            <w:pPr>
              <w:jc w:val="center"/>
            </w:pPr>
            <w:r>
              <w:rPr>
                <w:rFonts w:ascii="宋体" w:hAnsi="宋体" w:eastAsia="宋体"/>
                <w:sz w:val="16"/>
              </w:rPr>
              <w:t>—</w:t>
            </w:r>
          </w:p>
        </w:tc>
      </w:tr>
      <w:tr w14:paraId="5F1335C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235B04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F52CFA">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6864A4">
            <w:pPr>
              <w:jc w:val="center"/>
            </w:pPr>
            <w:r>
              <w:rPr>
                <w:rFonts w:ascii="宋体" w:hAnsi="宋体" w:eastAsia="宋体"/>
                <w:sz w:val="16"/>
              </w:rPr>
              <w:t>304.51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B48F16">
            <w:pPr>
              <w:jc w:val="center"/>
            </w:pPr>
            <w:r>
              <w:rPr>
                <w:rFonts w:ascii="宋体" w:hAnsi="宋体" w:eastAsia="宋体"/>
                <w:sz w:val="16"/>
              </w:rPr>
              <w:t>287.40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E83BD4">
            <w:pPr>
              <w:jc w:val="center"/>
            </w:pPr>
            <w:r>
              <w:rPr>
                <w:rFonts w:ascii="宋体" w:hAnsi="宋体" w:eastAsia="宋体"/>
                <w:sz w:val="16"/>
              </w:rPr>
              <w:t>285.96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390F3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4B6EE8">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B378C9">
            <w:pPr>
              <w:jc w:val="center"/>
            </w:pPr>
            <w:r>
              <w:rPr>
                <w:rFonts w:ascii="宋体" w:hAnsi="宋体" w:eastAsia="宋体"/>
                <w:sz w:val="16"/>
              </w:rPr>
              <w:t>—</w:t>
            </w:r>
          </w:p>
        </w:tc>
      </w:tr>
      <w:tr w14:paraId="089F705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B89C57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8408F7">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72F67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E5AB8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C799D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783F8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B06179">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E24359">
            <w:pPr>
              <w:jc w:val="center"/>
            </w:pPr>
            <w:r>
              <w:rPr>
                <w:rFonts w:ascii="宋体" w:hAnsi="宋体" w:eastAsia="宋体"/>
                <w:sz w:val="16"/>
              </w:rPr>
              <w:t>—</w:t>
            </w:r>
          </w:p>
        </w:tc>
      </w:tr>
      <w:tr w14:paraId="3EF921F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0204F0">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F4F4485">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413443F">
            <w:pPr>
              <w:jc w:val="center"/>
            </w:pPr>
            <w:r>
              <w:rPr>
                <w:rFonts w:ascii="宋体" w:hAnsi="宋体" w:eastAsia="宋体"/>
                <w:sz w:val="16"/>
              </w:rPr>
              <w:t>实际完成目标</w:t>
            </w:r>
          </w:p>
        </w:tc>
      </w:tr>
      <w:tr w14:paraId="19C16E0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49FEDD5"/>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1C27592">
            <w:pPr>
              <w:jc w:val="both"/>
            </w:pPr>
            <w:r>
              <w:rPr>
                <w:rFonts w:ascii="宋体" w:hAnsi="宋体" w:eastAsia="宋体"/>
                <w:sz w:val="16"/>
              </w:rPr>
              <w:t>目标1：统筹安排规范管理，严格控制各项财政支出，为确保各项工作的正常开展，保障在职</w:t>
            </w:r>
            <w:r>
              <w:rPr>
                <w:rFonts w:hint="eastAsia" w:ascii="宋体" w:hAnsi="宋体"/>
                <w:sz w:val="16"/>
                <w:lang w:eastAsia="zh-CN"/>
              </w:rPr>
              <w:t>人员</w:t>
            </w:r>
            <w:r>
              <w:rPr>
                <w:rFonts w:ascii="宋体" w:hAnsi="宋体" w:eastAsia="宋体"/>
                <w:sz w:val="16"/>
              </w:rPr>
              <w:t xml:space="preserve">12人，退休人员7人，养老、医疗及社保待遇发放。保证本单位机构正常运行，把有限的资金用在刀刃上，在资金管理上严格落实预算管理体制，严格按照年初财政预算报告执行，推行零基预算和部门预算，保障各项工作正常运行100%。 </w:t>
            </w:r>
            <w:r>
              <w:rPr>
                <w:rFonts w:ascii="宋体" w:hAnsi="宋体" w:eastAsia="宋体"/>
                <w:sz w:val="16"/>
              </w:rPr>
              <w:br w:type="textWrapping"/>
            </w:r>
            <w:r>
              <w:rPr>
                <w:rFonts w:ascii="宋体" w:hAnsi="宋体" w:eastAsia="宋体"/>
                <w:sz w:val="16"/>
              </w:rPr>
              <w:t xml:space="preserve">目标2：加强各项卫生行政法律法规的贯彻落实及普法宣传≥3次，规范卫生行政执法的合法性，约束全地区监管单位和从业人员及监督人员的行为规范，人员考核率100%。                                                                                     </w:t>
            </w:r>
            <w:r>
              <w:rPr>
                <w:rFonts w:ascii="宋体" w:hAnsi="宋体" w:eastAsia="宋体"/>
                <w:sz w:val="16"/>
              </w:rPr>
              <w:br w:type="textWrapping"/>
            </w:r>
            <w:r>
              <w:rPr>
                <w:rFonts w:ascii="宋体" w:hAnsi="宋体" w:eastAsia="宋体"/>
                <w:sz w:val="16"/>
              </w:rPr>
              <w:t>目标3：加强管理，提高卫生监督检查执法力度，全年按规定完成日常性监督检查任务完成率达到预定指标100%；全年计划对县市监督机构完成重点监督检查任务≥3次，保证监督执法的有效落实，保障人民的生活水平，</w:t>
            </w:r>
            <w:r>
              <w:rPr>
                <w:rFonts w:hint="eastAsia" w:ascii="宋体" w:hAnsi="宋体"/>
                <w:sz w:val="16"/>
                <w:lang w:eastAsia="zh-CN"/>
              </w:rPr>
              <w:t>群众</w:t>
            </w:r>
            <w:r>
              <w:rPr>
                <w:rFonts w:ascii="宋体" w:hAnsi="宋体" w:eastAsia="宋体"/>
                <w:sz w:val="16"/>
              </w:rPr>
              <w:t>满意度指标≥95%。</w:t>
            </w:r>
            <w:r>
              <w:rPr>
                <w:rFonts w:ascii="宋体" w:hAnsi="宋体" w:eastAsia="宋体"/>
                <w:sz w:val="16"/>
              </w:rPr>
              <w:br w:type="textWrapping"/>
            </w:r>
            <w:r>
              <w:rPr>
                <w:rFonts w:ascii="宋体" w:hAnsi="宋体" w:eastAsia="宋体"/>
                <w:sz w:val="16"/>
              </w:rPr>
              <w:t>目标4：保证单位的正常运行，保障各项制度落实，圆满完成上级赋予的各项工作任务。</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A1E87D0">
            <w:pPr>
              <w:jc w:val="both"/>
            </w:pPr>
            <w:r>
              <w:rPr>
                <w:rFonts w:hint="eastAsia" w:ascii="宋体" w:hAnsi="宋体"/>
                <w:sz w:val="16"/>
                <w:lang w:eastAsia="zh-CN"/>
              </w:rPr>
              <w:t>截至</w:t>
            </w:r>
            <w:r>
              <w:rPr>
                <w:rFonts w:ascii="宋体" w:hAnsi="宋体" w:eastAsia="宋体"/>
                <w:sz w:val="16"/>
              </w:rPr>
              <w:t>2024年12月31日，本单位实际完成统筹安排规范管理，严格控制各项财政支出</w:t>
            </w:r>
            <w:r>
              <w:rPr>
                <w:rFonts w:hint="eastAsia" w:ascii="宋体" w:hAnsi="宋体"/>
                <w:sz w:val="16"/>
                <w:lang w:eastAsia="zh-CN"/>
              </w:rPr>
              <w:t>，确保</w:t>
            </w:r>
            <w:r>
              <w:rPr>
                <w:rFonts w:ascii="宋体" w:hAnsi="宋体" w:eastAsia="宋体"/>
                <w:sz w:val="16"/>
              </w:rPr>
              <w:t>各项工作的正常开展，保障了在职</w:t>
            </w:r>
            <w:r>
              <w:rPr>
                <w:rFonts w:hint="eastAsia" w:ascii="宋体" w:hAnsi="宋体"/>
                <w:sz w:val="16"/>
                <w:lang w:eastAsia="zh-CN"/>
              </w:rPr>
              <w:t>人员</w:t>
            </w:r>
            <w:r>
              <w:rPr>
                <w:rFonts w:ascii="宋体" w:hAnsi="宋体" w:eastAsia="宋体"/>
                <w:sz w:val="16"/>
              </w:rPr>
              <w:t>12人，退休人员6人，养老、医疗及社保待遇发放。保证了本单位机构正常运行，把有限的资金用在刀刃上，在资金管理上严格落实预算管理体制，严格按照年初财政预算报告执行，推行零基预算和部门预算，保障了各项工作正常运行100%。 各项卫生行政法律法规的贯彻落实及普法宣传3次，规范卫生行政执法的合法性，约束全地区监管单位和从业人员及监督人员的行为规范，人员考核率100%。管理、提高卫生监督检查执法力度，全年按规定完成日常性监督检查任务完成率达到指标100%。实际形成支出291.36万元，通过完成以上工作，保证监督执法的有效落实，保障了人民的生活水平。</w:t>
            </w:r>
          </w:p>
        </w:tc>
      </w:tr>
      <w:tr w14:paraId="37F38D65">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4DFD49">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102E4E">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968FBF">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EB963E">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3AE1F8">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1225D0">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7FD809">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7F1538">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6B715C">
            <w:pPr>
              <w:jc w:val="center"/>
            </w:pPr>
            <w:r>
              <w:rPr>
                <w:rFonts w:ascii="宋体" w:hAnsi="宋体" w:eastAsia="宋体"/>
                <w:sz w:val="16"/>
              </w:rPr>
              <w:t>得分</w:t>
            </w:r>
          </w:p>
        </w:tc>
      </w:tr>
      <w:tr w14:paraId="4011976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94BCF8">
            <w:pPr>
              <w:jc w:val="center"/>
            </w:pPr>
            <w:r>
              <w:rPr>
                <w:rFonts w:ascii="宋体" w:hAnsi="宋体" w:eastAsia="宋体"/>
                <w:sz w:val="16"/>
              </w:rPr>
              <w:t>运行成本</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43AED0">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437779">
            <w:pPr>
              <w:jc w:val="center"/>
            </w:pPr>
            <w:r>
              <w:rPr>
                <w:rFonts w:hint="eastAsia" w:ascii="宋体" w:hAnsi="宋体"/>
                <w:sz w:val="16"/>
                <w:lang w:eastAsia="zh-CN"/>
              </w:rPr>
              <w:t>“三公”经费</w:t>
            </w:r>
            <w:r>
              <w:rPr>
                <w:rFonts w:ascii="宋体" w:hAnsi="宋体" w:eastAsia="宋体"/>
                <w:sz w:val="16"/>
              </w:rPr>
              <w:t>控制率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05F44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646851">
            <w:pPr>
              <w:jc w:val="center"/>
            </w:pPr>
            <w:r>
              <w:rPr>
                <w:rFonts w:ascii="宋体" w:hAnsi="宋体" w:eastAsia="宋体"/>
                <w:sz w:val="16"/>
              </w:rPr>
              <w:t>《关于加强</w:t>
            </w:r>
            <w:r>
              <w:rPr>
                <w:rFonts w:hint="eastAsia" w:ascii="宋体" w:hAnsi="宋体"/>
                <w:sz w:val="16"/>
                <w:lang w:eastAsia="zh-CN"/>
              </w:rPr>
              <w:t>“三公”经费</w:t>
            </w:r>
            <w:r>
              <w:rPr>
                <w:rFonts w:ascii="宋体" w:hAnsi="宋体" w:eastAsia="宋体"/>
                <w:sz w:val="16"/>
              </w:rPr>
              <w:t>管理严控一般性支出的通知》财预（2022）126号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66ABD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59677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A96FB3">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FFCA8E">
            <w:pPr>
              <w:jc w:val="center"/>
            </w:pPr>
            <w:r>
              <w:rPr>
                <w:rFonts w:ascii="宋体" w:hAnsi="宋体" w:eastAsia="宋体"/>
                <w:sz w:val="16"/>
              </w:rPr>
              <w:t>10</w:t>
            </w:r>
          </w:p>
        </w:tc>
      </w:tr>
      <w:tr w14:paraId="1FF96A6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331256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EA7B50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C8633D">
            <w:pPr>
              <w:jc w:val="center"/>
            </w:pPr>
            <w:r>
              <w:rPr>
                <w:rFonts w:ascii="宋体" w:hAnsi="宋体" w:eastAsia="宋体"/>
                <w:sz w:val="16"/>
              </w:rPr>
              <w:t>日常公用经费控制率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F0B9F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1B6604">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8FB499">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938C9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A36CDD">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23C10C">
            <w:pPr>
              <w:jc w:val="center"/>
            </w:pPr>
            <w:r>
              <w:rPr>
                <w:rFonts w:ascii="宋体" w:hAnsi="宋体" w:eastAsia="宋体"/>
                <w:sz w:val="16"/>
              </w:rPr>
              <w:t>5</w:t>
            </w:r>
          </w:p>
        </w:tc>
      </w:tr>
      <w:tr w14:paraId="4B53D17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208CEF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6BC68D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8462E3">
            <w:pPr>
              <w:jc w:val="center"/>
            </w:pPr>
            <w:r>
              <w:rPr>
                <w:rFonts w:ascii="宋体" w:hAnsi="宋体" w:eastAsia="宋体"/>
                <w:sz w:val="16"/>
              </w:rPr>
              <w:t>保障在职(退休)职工人数（人）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F3F085">
            <w:pPr>
              <w:jc w:val="center"/>
            </w:pPr>
            <w:r>
              <w:rPr>
                <w:rFonts w:hint="eastAsia" w:ascii="宋体" w:hAnsi="宋体"/>
                <w:sz w:val="16"/>
                <w:lang w:eastAsia="zh-CN"/>
              </w:rPr>
              <w:t>≥</w:t>
            </w:r>
            <w:r>
              <w:rPr>
                <w:rFonts w:ascii="宋体" w:hAnsi="宋体" w:eastAsia="宋体"/>
                <w:sz w:val="16"/>
              </w:rPr>
              <w:t>18人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0D26DB">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516680">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C7EE4E">
            <w:pPr>
              <w:jc w:val="center"/>
            </w:pPr>
            <w:r>
              <w:rPr>
                <w:rFonts w:ascii="宋体" w:hAnsi="宋体" w:eastAsia="宋体"/>
                <w:sz w:val="16"/>
              </w:rPr>
              <w:tab/>
            </w:r>
            <w:r>
              <w:rPr>
                <w:rFonts w:ascii="宋体" w:hAnsi="宋体" w:eastAsia="宋体"/>
                <w:sz w:val="16"/>
              </w:rPr>
              <w:t>18人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C10E14">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B96820">
            <w:pPr>
              <w:jc w:val="center"/>
            </w:pPr>
            <w:r>
              <w:rPr>
                <w:rFonts w:ascii="宋体" w:hAnsi="宋体" w:eastAsia="宋体"/>
                <w:sz w:val="16"/>
              </w:rPr>
              <w:t>5</w:t>
            </w:r>
          </w:p>
        </w:tc>
      </w:tr>
      <w:tr w14:paraId="130B96A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A62978">
            <w:pPr>
              <w:jc w:val="center"/>
            </w:pPr>
            <w:r>
              <w:rPr>
                <w:rFonts w:ascii="宋体" w:hAnsi="宋体" w:eastAsia="宋体"/>
                <w:sz w:val="16"/>
              </w:rPr>
              <w:t>管理效率</w:t>
            </w: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F7AE5D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9762E8">
            <w:pPr>
              <w:jc w:val="center"/>
            </w:pPr>
            <w:r>
              <w:rPr>
                <w:rFonts w:ascii="宋体" w:hAnsi="宋体" w:eastAsia="宋体"/>
                <w:sz w:val="16"/>
              </w:rPr>
              <w:t>重点工作完成率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504783">
            <w:pPr>
              <w:jc w:val="center"/>
            </w:pPr>
            <w:r>
              <w:rPr>
                <w:rFonts w:hint="eastAsia" w:ascii="宋体" w:hAnsi="宋体"/>
                <w:sz w:val="16"/>
                <w:lang w:eastAsia="zh-CN"/>
              </w:rPr>
              <w:t>≥</w:t>
            </w: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C24875">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1F9AD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19ABF0">
            <w:pPr>
              <w:jc w:val="center"/>
            </w:pPr>
            <w:r>
              <w:rPr>
                <w:rFonts w:ascii="宋体" w:hAnsi="宋体" w:eastAsia="宋体"/>
                <w:sz w:val="16"/>
              </w:rPr>
              <w:tab/>
            </w: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B49B90">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85FD9F">
            <w:pPr>
              <w:jc w:val="center"/>
            </w:pPr>
            <w:r>
              <w:rPr>
                <w:rFonts w:ascii="宋体" w:hAnsi="宋体" w:eastAsia="宋体"/>
                <w:sz w:val="16"/>
              </w:rPr>
              <w:t>10</w:t>
            </w:r>
          </w:p>
        </w:tc>
      </w:tr>
      <w:tr w14:paraId="4065842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A37490D"/>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685D81">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D75D53">
            <w:pPr>
              <w:jc w:val="center"/>
            </w:pPr>
            <w:r>
              <w:rPr>
                <w:rFonts w:ascii="宋体" w:hAnsi="宋体" w:eastAsia="宋体"/>
                <w:sz w:val="16"/>
              </w:rPr>
              <w:t>管理制度健全性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B9334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49B7FB">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C9A65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181DE5">
            <w:pPr>
              <w:jc w:val="center"/>
            </w:pPr>
            <w:r>
              <w:rPr>
                <w:rFonts w:ascii="宋体" w:hAnsi="宋体" w:eastAsia="宋体"/>
                <w:sz w:val="16"/>
              </w:rPr>
              <w:tab/>
            </w: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F59A28">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48E9CF">
            <w:pPr>
              <w:jc w:val="center"/>
            </w:pPr>
            <w:r>
              <w:rPr>
                <w:rFonts w:ascii="宋体" w:hAnsi="宋体" w:eastAsia="宋体"/>
                <w:sz w:val="16"/>
              </w:rPr>
              <w:t>10</w:t>
            </w:r>
          </w:p>
        </w:tc>
      </w:tr>
      <w:tr w14:paraId="04131A7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3599C6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A98640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8CD506">
            <w:pPr>
              <w:jc w:val="center"/>
            </w:pPr>
            <w:r>
              <w:rPr>
                <w:rFonts w:ascii="宋体" w:hAnsi="宋体" w:eastAsia="宋体"/>
                <w:sz w:val="16"/>
              </w:rPr>
              <w:t>预决算信息公开率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430E0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33452C">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E0EB5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6092D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261E65">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CDE872">
            <w:pPr>
              <w:jc w:val="center"/>
            </w:pPr>
            <w:r>
              <w:rPr>
                <w:rFonts w:ascii="宋体" w:hAnsi="宋体" w:eastAsia="宋体"/>
                <w:sz w:val="16"/>
              </w:rPr>
              <w:t>10</w:t>
            </w:r>
          </w:p>
        </w:tc>
      </w:tr>
      <w:tr w14:paraId="035674E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407C97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04E84D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729021">
            <w:pPr>
              <w:jc w:val="center"/>
            </w:pPr>
            <w:r>
              <w:rPr>
                <w:rFonts w:ascii="宋体" w:hAnsi="宋体" w:eastAsia="宋体"/>
                <w:sz w:val="16"/>
              </w:rPr>
              <w:t>制度执行有效性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DBB63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601C5B">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75412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EEEB7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DB25C5">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2AAEEF">
            <w:pPr>
              <w:jc w:val="center"/>
            </w:pPr>
            <w:r>
              <w:rPr>
                <w:rFonts w:ascii="宋体" w:hAnsi="宋体" w:eastAsia="宋体"/>
                <w:sz w:val="16"/>
              </w:rPr>
              <w:t>10</w:t>
            </w:r>
          </w:p>
        </w:tc>
      </w:tr>
      <w:tr w14:paraId="3BF14A7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A87C92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BDE87A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752868">
            <w:pPr>
              <w:jc w:val="center"/>
            </w:pPr>
            <w:r>
              <w:rPr>
                <w:rFonts w:ascii="宋体" w:hAnsi="宋体" w:eastAsia="宋体"/>
                <w:sz w:val="16"/>
              </w:rPr>
              <w:t>资金使用合规性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9FB59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1A3457">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26DFB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2E8F4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CEB0EB">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AF66B2">
            <w:pPr>
              <w:jc w:val="center"/>
            </w:pPr>
            <w:r>
              <w:rPr>
                <w:rFonts w:ascii="宋体" w:hAnsi="宋体" w:eastAsia="宋体"/>
                <w:sz w:val="16"/>
              </w:rPr>
              <w:t>10</w:t>
            </w:r>
          </w:p>
        </w:tc>
      </w:tr>
      <w:tr w14:paraId="5D4202A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C2F1D9">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606F4B">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6661F4">
            <w:pPr>
              <w:jc w:val="center"/>
            </w:pPr>
            <w:r>
              <w:rPr>
                <w:rFonts w:ascii="宋体" w:hAnsi="宋体" w:eastAsia="宋体"/>
                <w:sz w:val="16"/>
              </w:rPr>
              <w:t>卫生监督工作完成及时率（%）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BA9D0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9F29FD">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280C12">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61A70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A89E25">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9F6684">
            <w:pPr>
              <w:jc w:val="center"/>
            </w:pPr>
            <w:r>
              <w:rPr>
                <w:rFonts w:ascii="宋体" w:hAnsi="宋体" w:eastAsia="宋体"/>
                <w:sz w:val="16"/>
              </w:rPr>
              <w:t>5</w:t>
            </w:r>
          </w:p>
        </w:tc>
      </w:tr>
      <w:tr w14:paraId="7A7FE0C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F9291E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8311D5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53E48D">
            <w:pPr>
              <w:jc w:val="center"/>
            </w:pPr>
            <w:r>
              <w:rPr>
                <w:rFonts w:ascii="宋体" w:hAnsi="宋体" w:eastAsia="宋体"/>
                <w:sz w:val="16"/>
              </w:rPr>
              <w:t>保障督导、监督检查任务的完成率（%）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769E6B">
            <w:pPr>
              <w:jc w:val="center"/>
            </w:pPr>
            <w:r>
              <w:rPr>
                <w:rFonts w:hint="eastAsia" w:ascii="宋体" w:hAnsi="宋体"/>
                <w:sz w:val="16"/>
                <w:lang w:eastAsia="zh-CN"/>
              </w:rPr>
              <w:t>≥</w:t>
            </w: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56C6EE">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DBE407">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EE78DC">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D831A7">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C6148A">
            <w:pPr>
              <w:jc w:val="center"/>
            </w:pPr>
            <w:r>
              <w:rPr>
                <w:rFonts w:ascii="宋体" w:hAnsi="宋体" w:eastAsia="宋体"/>
                <w:sz w:val="16"/>
              </w:rPr>
              <w:t>5</w:t>
            </w:r>
          </w:p>
        </w:tc>
      </w:tr>
      <w:tr w14:paraId="2CFBBDE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CA5B92">
            <w:pPr>
              <w:jc w:val="center"/>
            </w:pPr>
            <w:r>
              <w:rPr>
                <w:rFonts w:ascii="宋体" w:hAnsi="宋体" w:eastAsia="宋体"/>
                <w:sz w:val="16"/>
              </w:rPr>
              <w:t>服务对象满意度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F46BED">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A41C95">
            <w:pPr>
              <w:jc w:val="center"/>
            </w:pPr>
            <w:r>
              <w:rPr>
                <w:rFonts w:ascii="宋体" w:hAnsi="宋体" w:eastAsia="宋体"/>
                <w:sz w:val="16"/>
              </w:rPr>
              <w:t>公众对部门履职效果满意度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FE7E6C">
            <w:pPr>
              <w:jc w:val="center"/>
            </w:pPr>
            <w:r>
              <w:rPr>
                <w:rFonts w:hint="eastAsia" w:ascii="宋体" w:hAnsi="宋体"/>
                <w:sz w:val="16"/>
                <w:lang w:eastAsia="zh-CN"/>
              </w:rPr>
              <w:t>≥</w:t>
            </w: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E8342D">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BB04C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ABEDF4">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544857">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5CCAA7">
            <w:pPr>
              <w:jc w:val="center"/>
            </w:pPr>
            <w:r>
              <w:rPr>
                <w:rFonts w:ascii="宋体" w:hAnsi="宋体" w:eastAsia="宋体"/>
                <w:sz w:val="16"/>
              </w:rPr>
              <w:t>10</w:t>
            </w:r>
          </w:p>
        </w:tc>
      </w:tr>
    </w:tbl>
    <w:p w14:paraId="7A8101E1">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7648DA9B">
        <w:tblPrEx>
          <w:tblCellMar>
            <w:top w:w="0" w:type="dxa"/>
            <w:left w:w="108" w:type="dxa"/>
            <w:bottom w:w="0" w:type="dxa"/>
            <w:right w:w="108" w:type="dxa"/>
          </w:tblCellMar>
        </w:tblPrEx>
        <w:tc>
          <w:tcPr>
            <w:tcW w:w="8847" w:type="dxa"/>
            <w:gridSpan w:val="9"/>
            <w:vAlign w:val="center"/>
          </w:tcPr>
          <w:p w14:paraId="2098F9CE">
            <w:pPr>
              <w:jc w:val="center"/>
            </w:pPr>
            <w:r>
              <w:rPr>
                <w:rFonts w:ascii="宋体" w:hAnsi="宋体" w:eastAsia="宋体"/>
                <w:sz w:val="24"/>
              </w:rPr>
              <w:t>项目支出绩效自评表</w:t>
            </w:r>
          </w:p>
        </w:tc>
      </w:tr>
      <w:tr w14:paraId="7B8EA3B8">
        <w:tblPrEx>
          <w:tblCellMar>
            <w:top w:w="0" w:type="dxa"/>
            <w:left w:w="108" w:type="dxa"/>
            <w:bottom w:w="0" w:type="dxa"/>
            <w:right w:w="108" w:type="dxa"/>
          </w:tblCellMar>
        </w:tblPrEx>
        <w:tc>
          <w:tcPr>
            <w:tcW w:w="8847" w:type="dxa"/>
            <w:gridSpan w:val="9"/>
            <w:vAlign w:val="center"/>
          </w:tcPr>
          <w:p w14:paraId="229999F0">
            <w:pPr>
              <w:jc w:val="center"/>
            </w:pPr>
            <w:r>
              <w:rPr>
                <w:rFonts w:ascii="宋体" w:hAnsi="宋体" w:eastAsia="宋体"/>
                <w:sz w:val="24"/>
              </w:rPr>
              <w:t>(2024年度)</w:t>
            </w:r>
          </w:p>
        </w:tc>
      </w:tr>
      <w:tr w14:paraId="0428441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3C9989">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0E6FF12C">
            <w:pPr>
              <w:jc w:val="center"/>
            </w:pPr>
            <w:r>
              <w:rPr>
                <w:rFonts w:ascii="宋体" w:hAnsi="宋体" w:eastAsia="宋体"/>
                <w:sz w:val="16"/>
              </w:rPr>
              <w:t>基本公共卫生服务补助资金项目</w:t>
            </w:r>
          </w:p>
        </w:tc>
      </w:tr>
      <w:tr w14:paraId="6BCE5E3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B62610">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D3B97BB">
            <w:pPr>
              <w:jc w:val="center"/>
            </w:pPr>
            <w:r>
              <w:rPr>
                <w:rFonts w:ascii="宋体" w:hAnsi="宋体" w:eastAsia="宋体"/>
                <w:sz w:val="16"/>
              </w:rPr>
              <w:t>和田地区卫生监督所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D7676D">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4423552">
            <w:pPr>
              <w:jc w:val="center"/>
            </w:pPr>
            <w:r>
              <w:rPr>
                <w:rFonts w:ascii="宋体" w:hAnsi="宋体" w:eastAsia="宋体"/>
                <w:sz w:val="16"/>
              </w:rPr>
              <w:t>和田地区卫生监督所</w:t>
            </w:r>
          </w:p>
        </w:tc>
      </w:tr>
      <w:tr w14:paraId="2B7ED1D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C4E0B8">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0FC138">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176920">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4392E9">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FD75D1">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3E7002">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4ACBCB">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6C13D3">
            <w:pPr>
              <w:jc w:val="center"/>
            </w:pPr>
            <w:r>
              <w:rPr>
                <w:rFonts w:ascii="宋体" w:hAnsi="宋体" w:eastAsia="宋体"/>
                <w:sz w:val="16"/>
              </w:rPr>
              <w:t>得分</w:t>
            </w:r>
          </w:p>
        </w:tc>
      </w:tr>
      <w:tr w14:paraId="3394F8F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6932DC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DBA9EB">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547A40">
            <w:pPr>
              <w:jc w:val="center"/>
            </w:pPr>
            <w:r>
              <w:rPr>
                <w:rFonts w:ascii="宋体" w:hAnsi="宋体" w:eastAsia="宋体"/>
                <w:sz w:val="16"/>
              </w:rPr>
              <w:t>5.40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06B7CD">
            <w:pPr>
              <w:jc w:val="center"/>
            </w:pPr>
            <w:r>
              <w:rPr>
                <w:rFonts w:ascii="宋体" w:hAnsi="宋体" w:eastAsia="宋体"/>
                <w:sz w:val="16"/>
              </w:rPr>
              <w:t>5.40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D4E1C9">
            <w:pPr>
              <w:jc w:val="center"/>
            </w:pPr>
            <w:r>
              <w:rPr>
                <w:rFonts w:ascii="宋体" w:hAnsi="宋体" w:eastAsia="宋体"/>
                <w:sz w:val="16"/>
              </w:rPr>
              <w:t>5.39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5D974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731A46">
            <w:pPr>
              <w:jc w:val="center"/>
            </w:pPr>
            <w:r>
              <w:rPr>
                <w:rFonts w:ascii="宋体" w:hAnsi="宋体" w:eastAsia="宋体"/>
                <w:sz w:val="16"/>
              </w:rPr>
              <w:t xml:space="preserve">99.81%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CC9FBD">
            <w:pPr>
              <w:jc w:val="center"/>
            </w:pPr>
            <w:r>
              <w:rPr>
                <w:rFonts w:ascii="宋体" w:hAnsi="宋体" w:eastAsia="宋体"/>
                <w:sz w:val="16"/>
              </w:rPr>
              <w:t>9.95分</w:t>
            </w:r>
          </w:p>
        </w:tc>
      </w:tr>
      <w:tr w14:paraId="13F9898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4F161C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DD992D">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BD1D54">
            <w:pPr>
              <w:jc w:val="center"/>
            </w:pPr>
            <w:r>
              <w:rPr>
                <w:rFonts w:ascii="宋体" w:hAnsi="宋体" w:eastAsia="宋体"/>
                <w:sz w:val="16"/>
              </w:rPr>
              <w:t>5.40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0E0818">
            <w:pPr>
              <w:jc w:val="center"/>
            </w:pPr>
            <w:r>
              <w:rPr>
                <w:rFonts w:ascii="宋体" w:hAnsi="宋体" w:eastAsia="宋体"/>
                <w:sz w:val="16"/>
              </w:rPr>
              <w:t>5.40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B8191E">
            <w:pPr>
              <w:jc w:val="center"/>
            </w:pPr>
            <w:r>
              <w:rPr>
                <w:rFonts w:ascii="宋体" w:hAnsi="宋体" w:eastAsia="宋体"/>
                <w:sz w:val="16"/>
              </w:rPr>
              <w:t>5.39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8A895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588E4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A54319">
            <w:pPr>
              <w:jc w:val="center"/>
            </w:pPr>
            <w:r>
              <w:rPr>
                <w:rFonts w:ascii="宋体" w:hAnsi="宋体" w:eastAsia="宋体"/>
                <w:sz w:val="16"/>
              </w:rPr>
              <w:t>—</w:t>
            </w:r>
          </w:p>
        </w:tc>
      </w:tr>
      <w:tr w14:paraId="750EF13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0A39B5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0C55EA">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04521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5C0CB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6A025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D5B5B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6A93F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0BE11D">
            <w:pPr>
              <w:jc w:val="center"/>
            </w:pPr>
            <w:r>
              <w:rPr>
                <w:rFonts w:ascii="宋体" w:hAnsi="宋体" w:eastAsia="宋体"/>
                <w:sz w:val="16"/>
              </w:rPr>
              <w:t>—</w:t>
            </w:r>
          </w:p>
        </w:tc>
      </w:tr>
      <w:tr w14:paraId="3345251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AB0E22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78A6D3">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9495A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6CBE9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34CA0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D63B5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A1160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3618CA">
            <w:pPr>
              <w:jc w:val="center"/>
            </w:pPr>
            <w:r>
              <w:rPr>
                <w:rFonts w:ascii="宋体" w:hAnsi="宋体" w:eastAsia="宋体"/>
                <w:sz w:val="16"/>
              </w:rPr>
              <w:t>—</w:t>
            </w:r>
          </w:p>
        </w:tc>
      </w:tr>
      <w:tr w14:paraId="13358A5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A1DDEE">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6B087B0">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B3B5562">
            <w:pPr>
              <w:jc w:val="center"/>
            </w:pPr>
            <w:r>
              <w:rPr>
                <w:rFonts w:ascii="宋体" w:hAnsi="宋体" w:eastAsia="宋体"/>
                <w:sz w:val="16"/>
              </w:rPr>
              <w:t>实际完成情况</w:t>
            </w:r>
          </w:p>
        </w:tc>
      </w:tr>
      <w:tr w14:paraId="655F642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6894EE5"/>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DEE42C2">
            <w:pPr>
              <w:jc w:val="both"/>
            </w:pPr>
            <w:r>
              <w:rPr>
                <w:rFonts w:ascii="宋体" w:hAnsi="宋体" w:eastAsia="宋体"/>
                <w:sz w:val="16"/>
              </w:rPr>
              <w:t>本项目主要实施内容为：对全地区卫生监督员能力建设培训人数15人，对全地区下发的“双随机、一公开”抽检检查数150家，对全地区食品安全风险监测和食品安全标准跟踪评价15家，项目总投资为5.4万元，项目计划于2024年12月完成。通过本项目的实施，可有效降低医疗废弃物对环境保护的危害，可持续进一步提高从业机构和从业人员的法律法规意识，待项目实施完成，争取使受益人群满意度不低于95%。</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42D6740">
            <w:pPr>
              <w:jc w:val="both"/>
            </w:pPr>
            <w:r>
              <w:rPr>
                <w:rFonts w:ascii="宋体" w:hAnsi="宋体" w:eastAsia="宋体"/>
                <w:sz w:val="16"/>
              </w:rPr>
              <w:t>截至2024年12月31日，项目实际形成支出5.39万元，已完成对全地区卫生监督员能力建设培训15人、对全地区下发的公开抽检检查150家、对全地区食品安全风险监测和食品安全标准跟踪评价15家的任务；使受益人群满意度达到了98%。</w:t>
            </w:r>
          </w:p>
        </w:tc>
      </w:tr>
      <w:tr w14:paraId="4D1247C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030D28B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57F4CC">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94D0C6">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E4964A">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E636BC">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AABE13">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472843">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04DF10">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F163EC">
            <w:pPr>
              <w:jc w:val="center"/>
            </w:pPr>
            <w:r>
              <w:rPr>
                <w:rFonts w:ascii="宋体" w:hAnsi="宋体" w:eastAsia="宋体"/>
                <w:sz w:val="16"/>
              </w:rPr>
              <w:t>偏差原因分析及改进措施</w:t>
            </w:r>
          </w:p>
        </w:tc>
      </w:tr>
      <w:tr w14:paraId="1E09EAF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389FE1">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93AE05">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E76E56">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84FA27">
            <w:pPr>
              <w:jc w:val="center"/>
            </w:pPr>
            <w:r>
              <w:rPr>
                <w:rFonts w:ascii="宋体" w:hAnsi="宋体" w:eastAsia="宋体"/>
                <w:sz w:val="16"/>
              </w:rPr>
              <w:t>对全地区卫生监督员能力建设培训人数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FF8608">
            <w:pPr>
              <w:jc w:val="center"/>
            </w:pPr>
            <w:r>
              <w:rPr>
                <w:rFonts w:ascii="宋体" w:hAnsi="宋体" w:eastAsia="宋体"/>
                <w:sz w:val="16"/>
              </w:rPr>
              <w:t>≥15人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3C348B">
            <w:pPr>
              <w:jc w:val="center"/>
            </w:pPr>
            <w:r>
              <w:rPr>
                <w:rFonts w:ascii="宋体" w:hAnsi="宋体" w:eastAsia="宋体"/>
                <w:sz w:val="16"/>
              </w:rPr>
              <w:t>=15人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4E3B5F">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DEE1A8">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0A9375">
            <w:pPr>
              <w:jc w:val="center"/>
            </w:pPr>
          </w:p>
        </w:tc>
      </w:tr>
      <w:tr w14:paraId="122A894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6423C0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09C492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C777BD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DA264B">
            <w:pPr>
              <w:jc w:val="center"/>
            </w:pPr>
            <w:r>
              <w:rPr>
                <w:rFonts w:ascii="宋体" w:hAnsi="宋体" w:eastAsia="宋体"/>
                <w:sz w:val="16"/>
              </w:rPr>
              <w:t>对全地区下发的</w:t>
            </w:r>
            <w:r>
              <w:rPr>
                <w:rFonts w:hint="eastAsia" w:ascii="宋体" w:hAnsi="宋体"/>
                <w:sz w:val="16"/>
                <w:lang w:eastAsia="zh-CN"/>
              </w:rPr>
              <w:t>“双随机、一公开”</w:t>
            </w:r>
            <w:r>
              <w:rPr>
                <w:rFonts w:ascii="宋体" w:hAnsi="宋体" w:eastAsia="宋体"/>
                <w:sz w:val="16"/>
              </w:rPr>
              <w:t>抽检检查数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9A3056">
            <w:pPr>
              <w:jc w:val="center"/>
            </w:pPr>
            <w:r>
              <w:rPr>
                <w:rFonts w:ascii="宋体" w:hAnsi="宋体" w:eastAsia="宋体"/>
                <w:sz w:val="16"/>
              </w:rPr>
              <w:t>≥150家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0EE34C">
            <w:pPr>
              <w:jc w:val="center"/>
            </w:pPr>
            <w:r>
              <w:rPr>
                <w:rFonts w:ascii="宋体" w:hAnsi="宋体" w:eastAsia="宋体"/>
                <w:sz w:val="16"/>
              </w:rPr>
              <w:t>=150家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35FBC4">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80B4AC">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C1E049">
            <w:pPr>
              <w:jc w:val="center"/>
            </w:pPr>
          </w:p>
        </w:tc>
      </w:tr>
      <w:tr w14:paraId="571EF3C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2C15FE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87C46B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80168D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407348">
            <w:pPr>
              <w:jc w:val="center"/>
            </w:pPr>
            <w:r>
              <w:rPr>
                <w:rFonts w:ascii="宋体" w:hAnsi="宋体" w:eastAsia="宋体"/>
                <w:sz w:val="16"/>
              </w:rPr>
              <w:t>对全地区食品安全风险监测和食品安全标准跟踪评价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7545CA">
            <w:pPr>
              <w:jc w:val="center"/>
            </w:pPr>
            <w:r>
              <w:rPr>
                <w:rFonts w:ascii="宋体" w:hAnsi="宋体" w:eastAsia="宋体"/>
                <w:sz w:val="16"/>
              </w:rPr>
              <w:t>≥15家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4A72D7">
            <w:pPr>
              <w:jc w:val="center"/>
            </w:pPr>
            <w:r>
              <w:rPr>
                <w:rFonts w:ascii="宋体" w:hAnsi="宋体" w:eastAsia="宋体"/>
                <w:sz w:val="16"/>
              </w:rPr>
              <w:t>=15家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71FF79">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C873ED">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777625">
            <w:pPr>
              <w:jc w:val="center"/>
            </w:pPr>
          </w:p>
        </w:tc>
      </w:tr>
      <w:tr w14:paraId="3BAB007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F505DD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FA087CA"/>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8CE384">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1E32A4">
            <w:pPr>
              <w:jc w:val="center"/>
            </w:pPr>
            <w:r>
              <w:rPr>
                <w:rFonts w:ascii="宋体" w:hAnsi="宋体" w:eastAsia="宋体"/>
                <w:sz w:val="16"/>
              </w:rPr>
              <w:t>卫生监督人员参加培训完成率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5622A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8077F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0861CA">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DB8E6D">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FD91FE">
            <w:pPr>
              <w:jc w:val="center"/>
            </w:pPr>
          </w:p>
        </w:tc>
      </w:tr>
      <w:tr w14:paraId="296BC68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D07142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6CE247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E20398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03088E">
            <w:pPr>
              <w:jc w:val="center"/>
            </w:pPr>
            <w:r>
              <w:rPr>
                <w:rFonts w:ascii="宋体" w:hAnsi="宋体" w:eastAsia="宋体"/>
                <w:sz w:val="16"/>
              </w:rPr>
              <w:t>双随机监督抽检机构数完成率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1E651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F0DC6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1F023D">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F76A95">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0BA0E6">
            <w:pPr>
              <w:jc w:val="center"/>
            </w:pPr>
          </w:p>
        </w:tc>
      </w:tr>
      <w:tr w14:paraId="208829F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6A83A7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BA974C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48994B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C7103E">
            <w:pPr>
              <w:jc w:val="center"/>
            </w:pPr>
            <w:r>
              <w:rPr>
                <w:rFonts w:ascii="宋体" w:hAnsi="宋体" w:eastAsia="宋体"/>
                <w:sz w:val="16"/>
              </w:rPr>
              <w:t>食品安全风险监测和食品标准跟踪评价完成率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1A865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7F170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4C8C72">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B42A95">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09DAB0">
            <w:pPr>
              <w:jc w:val="center"/>
            </w:pPr>
          </w:p>
        </w:tc>
      </w:tr>
      <w:tr w14:paraId="6BF02E2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383E72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4B8F617"/>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EA774C">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3F1533">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303513">
            <w:pPr>
              <w:jc w:val="center"/>
            </w:pPr>
            <w:r>
              <w:rPr>
                <w:rFonts w:ascii="宋体" w:hAnsi="宋体" w:eastAsia="宋体"/>
                <w:sz w:val="16"/>
              </w:rPr>
              <w:t>2024年12月31日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F7C754">
            <w:pPr>
              <w:jc w:val="center"/>
            </w:pPr>
            <w:r>
              <w:rPr>
                <w:rFonts w:ascii="宋体" w:hAnsi="宋体" w:eastAsia="宋体"/>
                <w:sz w:val="16"/>
              </w:rPr>
              <w:t>=2024年12月31日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EB5BA0">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0C16C6">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E3A3E0">
            <w:pPr>
              <w:jc w:val="center"/>
            </w:pPr>
          </w:p>
        </w:tc>
      </w:tr>
      <w:tr w14:paraId="6723110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E14999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90FA6A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C787FC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D5CACC">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8127E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93D5D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99FF18">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76C5AE">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BF0D4A">
            <w:pPr>
              <w:jc w:val="center"/>
            </w:pPr>
          </w:p>
        </w:tc>
      </w:tr>
      <w:tr w14:paraId="5418D4B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AF4E7F8"/>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ECEF4B">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3EB811">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4B7081">
            <w:pPr>
              <w:jc w:val="center"/>
            </w:pPr>
            <w:r>
              <w:rPr>
                <w:rFonts w:ascii="宋体" w:hAnsi="宋体" w:eastAsia="宋体"/>
                <w:sz w:val="16"/>
              </w:rPr>
              <w:t>卫生监督所执法能力建设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355454">
            <w:pPr>
              <w:jc w:val="center"/>
            </w:pPr>
            <w:r>
              <w:rPr>
                <w:rFonts w:ascii="宋体" w:hAnsi="宋体" w:eastAsia="宋体"/>
                <w:sz w:val="16"/>
              </w:rPr>
              <w:t>≤1.50万元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DAE854">
            <w:pPr>
              <w:jc w:val="center"/>
            </w:pPr>
            <w:r>
              <w:rPr>
                <w:rFonts w:ascii="宋体" w:hAnsi="宋体" w:eastAsia="宋体"/>
                <w:sz w:val="16"/>
              </w:rPr>
              <w:t>=1.5万元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F29F0E">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FF63EA">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CCAA27">
            <w:pPr>
              <w:jc w:val="center"/>
            </w:pPr>
          </w:p>
        </w:tc>
      </w:tr>
      <w:tr w14:paraId="27767C0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61BF49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DEE471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092904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DF2F63">
            <w:pPr>
              <w:jc w:val="center"/>
            </w:pPr>
            <w:r>
              <w:rPr>
                <w:rFonts w:ascii="宋体" w:hAnsi="宋体" w:eastAsia="宋体"/>
                <w:sz w:val="16"/>
              </w:rPr>
              <w:t>完成国抽</w:t>
            </w:r>
            <w:r>
              <w:rPr>
                <w:rFonts w:hint="eastAsia" w:ascii="宋体" w:hAnsi="宋体"/>
                <w:sz w:val="16"/>
                <w:lang w:eastAsia="zh-CN"/>
              </w:rPr>
              <w:t>“双随机、一公开”</w:t>
            </w:r>
            <w:r>
              <w:rPr>
                <w:rFonts w:ascii="宋体" w:hAnsi="宋体" w:eastAsia="宋体"/>
                <w:sz w:val="16"/>
              </w:rPr>
              <w:t>任务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385135">
            <w:pPr>
              <w:jc w:val="center"/>
            </w:pPr>
            <w:r>
              <w:rPr>
                <w:rFonts w:ascii="宋体" w:hAnsi="宋体" w:eastAsia="宋体"/>
                <w:sz w:val="16"/>
              </w:rPr>
              <w:t>≤3.50万元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9C8B96">
            <w:pPr>
              <w:jc w:val="center"/>
            </w:pPr>
            <w:r>
              <w:rPr>
                <w:rFonts w:ascii="宋体" w:hAnsi="宋体" w:eastAsia="宋体"/>
                <w:sz w:val="16"/>
              </w:rPr>
              <w:t>=3.5万元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362FC1">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6E03E8">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ABD81D">
            <w:pPr>
              <w:jc w:val="center"/>
            </w:pPr>
          </w:p>
        </w:tc>
      </w:tr>
      <w:tr w14:paraId="5C96B26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5E880D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76CD37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42435E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3298EC">
            <w:pPr>
              <w:jc w:val="center"/>
            </w:pPr>
            <w:r>
              <w:rPr>
                <w:rFonts w:ascii="宋体" w:hAnsi="宋体" w:eastAsia="宋体"/>
                <w:sz w:val="16"/>
              </w:rPr>
              <w:t>完成食品安全跟踪评价项目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AB6130">
            <w:pPr>
              <w:jc w:val="center"/>
            </w:pPr>
            <w:r>
              <w:rPr>
                <w:rFonts w:ascii="宋体" w:hAnsi="宋体" w:eastAsia="宋体"/>
                <w:sz w:val="16"/>
              </w:rPr>
              <w:t>≤0.40万元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582610">
            <w:pPr>
              <w:jc w:val="center"/>
            </w:pPr>
            <w:r>
              <w:rPr>
                <w:rFonts w:ascii="宋体" w:hAnsi="宋体" w:eastAsia="宋体"/>
                <w:sz w:val="16"/>
              </w:rPr>
              <w:t>=0.39万元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0AE6F7">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A56EC5">
            <w:pPr>
              <w:jc w:val="center"/>
            </w:pPr>
            <w:r>
              <w:rPr>
                <w:rFonts w:ascii="宋体" w:hAnsi="宋体" w:eastAsia="宋体"/>
                <w:sz w:val="16"/>
              </w:rPr>
              <w:t>5.63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AE419E">
            <w:pPr>
              <w:jc w:val="center"/>
            </w:pPr>
            <w:r>
              <w:rPr>
                <w:rFonts w:ascii="宋体" w:hAnsi="宋体" w:eastAsia="宋体"/>
                <w:sz w:val="16"/>
              </w:rPr>
              <w:t>偏差原因：正在走支付审批流程，改进措施：加快支付进度</w:t>
            </w:r>
          </w:p>
        </w:tc>
      </w:tr>
      <w:tr w14:paraId="011A1AD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D175343"/>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A83CE4">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0D1740">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74468F">
            <w:pPr>
              <w:jc w:val="center"/>
            </w:pPr>
            <w:r>
              <w:rPr>
                <w:rFonts w:ascii="宋体" w:hAnsi="宋体" w:eastAsia="宋体"/>
                <w:sz w:val="16"/>
              </w:rPr>
              <w:t>进一步提高从业机构和从业人员的法律法规意识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22C4F5">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0442A3">
            <w:pPr>
              <w:jc w:val="center"/>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F55A5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B356B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77A10C">
            <w:pPr>
              <w:jc w:val="center"/>
            </w:pPr>
          </w:p>
        </w:tc>
      </w:tr>
      <w:tr w14:paraId="6C3174A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C93C75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DDF42E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F6D15C">
            <w:pPr>
              <w:jc w:val="center"/>
            </w:pPr>
            <w:r>
              <w:rPr>
                <w:rFonts w:ascii="宋体" w:hAnsi="宋体" w:eastAsia="宋体"/>
                <w:sz w:val="16"/>
              </w:rPr>
              <w:t>生态效益指标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28AC31">
            <w:pPr>
              <w:jc w:val="center"/>
            </w:pPr>
            <w:r>
              <w:rPr>
                <w:rFonts w:ascii="宋体" w:hAnsi="宋体" w:eastAsia="宋体"/>
                <w:sz w:val="16"/>
              </w:rPr>
              <w:t>降低医疗废弃物对环境保护的危害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9A4010">
            <w:pPr>
              <w:jc w:val="center"/>
            </w:pPr>
            <w:r>
              <w:rPr>
                <w:rFonts w:ascii="宋体" w:hAnsi="宋体" w:eastAsia="宋体"/>
                <w:sz w:val="16"/>
              </w:rPr>
              <w:t>有效降低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CEFA55">
            <w:pPr>
              <w:jc w:val="center"/>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B768E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90C6D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F0260C">
            <w:pPr>
              <w:jc w:val="center"/>
            </w:pPr>
          </w:p>
        </w:tc>
      </w:tr>
      <w:tr w14:paraId="763230B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EF7681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495730">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CD3783">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F3B651">
            <w:pPr>
              <w:jc w:val="center"/>
            </w:pPr>
            <w:r>
              <w:rPr>
                <w:rFonts w:ascii="宋体" w:hAnsi="宋体" w:eastAsia="宋体"/>
                <w:sz w:val="16"/>
              </w:rPr>
              <w:t>受益群众满意度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B46A9D">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39244D">
            <w:pPr>
              <w:jc w:val="center"/>
            </w:pPr>
            <w:r>
              <w:rPr>
                <w:rFonts w:ascii="宋体" w:hAnsi="宋体" w:eastAsia="宋体"/>
                <w:sz w:val="16"/>
              </w:rPr>
              <w:t>=98%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42FA3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A33C9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1EA3B9">
            <w:pPr>
              <w:jc w:val="center"/>
            </w:pPr>
          </w:p>
        </w:tc>
      </w:tr>
      <w:tr w14:paraId="6111B7F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95B2BC">
            <w:pPr>
              <w:jc w:val="center"/>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9E0A14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04C6DC">
            <w:pPr>
              <w:jc w:val="center"/>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921163D">
            <w:pPr>
              <w:jc w:val="center"/>
            </w:pPr>
            <w:r>
              <w:rPr>
                <w:rFonts w:ascii="宋体" w:hAnsi="宋体" w:eastAsia="宋体"/>
                <w:sz w:val="16"/>
              </w:rPr>
              <w:t>99.58分</w:t>
            </w:r>
          </w:p>
        </w:tc>
      </w:tr>
    </w:tbl>
    <w:p w14:paraId="6A018349">
      <w:r>
        <w:br w:type="page"/>
      </w:r>
    </w:p>
    <w:p w14:paraId="2E913C48">
      <w:pPr>
        <w:spacing w:line="640" w:lineRule="exact"/>
        <w:ind w:firstLine="640"/>
        <w:jc w:val="both"/>
        <w:outlineLvl w:val="2"/>
      </w:pPr>
      <w:r>
        <w:rPr>
          <w:rFonts w:ascii="黑体" w:hAnsi="黑体" w:eastAsia="黑体"/>
          <w:sz w:val="32"/>
        </w:rPr>
        <w:t>十二、其他需说明的事项</w:t>
      </w:r>
    </w:p>
    <w:p w14:paraId="7B8B88B0">
      <w:pPr>
        <w:spacing w:line="580" w:lineRule="exact"/>
        <w:ind w:firstLine="640"/>
        <w:jc w:val="both"/>
      </w:pPr>
      <w:r>
        <w:rPr>
          <w:rFonts w:ascii="仿宋_GB2312" w:hAnsi="仿宋_GB2312" w:eastAsia="仿宋_GB2312"/>
          <w:b w:val="0"/>
          <w:sz w:val="32"/>
        </w:rPr>
        <w:t>本单位2024年度无政府采购支出，授予中小企业合同金额0.00万元。</w:t>
      </w:r>
    </w:p>
    <w:p w14:paraId="71F429CC">
      <w:r>
        <w:br w:type="page"/>
      </w:r>
    </w:p>
    <w:p w14:paraId="68F24B8A">
      <w:pPr>
        <w:spacing w:line="240" w:lineRule="auto"/>
        <w:jc w:val="center"/>
        <w:outlineLvl w:val="1"/>
      </w:pPr>
      <w:r>
        <w:rPr>
          <w:rFonts w:ascii="黑体" w:hAnsi="黑体" w:eastAsia="黑体"/>
          <w:sz w:val="32"/>
        </w:rPr>
        <w:t>第三部分 专业名词解释</w:t>
      </w:r>
    </w:p>
    <w:p w14:paraId="31A93344">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57D724FD">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19C37CFE">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0D8E01E3">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18DBC4CD">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45C9709C">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2E85E504">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5B836CA5">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5E3A52F4">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46E4D99B">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553A63B7">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44022B5A">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3C5A5ED6">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725F5319">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55E390BF">
      <w:r>
        <w:br w:type="page"/>
      </w:r>
    </w:p>
    <w:p w14:paraId="4163FCD5">
      <w:pPr>
        <w:spacing w:line="240" w:lineRule="auto"/>
        <w:jc w:val="center"/>
        <w:outlineLvl w:val="1"/>
      </w:pPr>
      <w:r>
        <w:rPr>
          <w:rFonts w:ascii="黑体" w:hAnsi="黑体" w:eastAsia="黑体"/>
          <w:sz w:val="32"/>
        </w:rPr>
        <w:t>第四部分 部门决算报表（见附表）</w:t>
      </w:r>
    </w:p>
    <w:p w14:paraId="5156EBF3">
      <w:pPr>
        <w:spacing w:line="240" w:lineRule="auto"/>
        <w:ind w:firstLine="640"/>
        <w:jc w:val="both"/>
      </w:pPr>
      <w:r>
        <w:rPr>
          <w:rFonts w:ascii="仿宋_GB2312" w:hAnsi="仿宋_GB2312" w:eastAsia="仿宋_GB2312"/>
          <w:b w:val="0"/>
          <w:sz w:val="32"/>
        </w:rPr>
        <w:t>一、《收入支出决算总表》</w:t>
      </w:r>
    </w:p>
    <w:p w14:paraId="627379D8">
      <w:pPr>
        <w:spacing w:line="240" w:lineRule="auto"/>
        <w:ind w:firstLine="640"/>
        <w:jc w:val="both"/>
      </w:pPr>
      <w:r>
        <w:rPr>
          <w:rFonts w:ascii="仿宋_GB2312" w:hAnsi="仿宋_GB2312" w:eastAsia="仿宋_GB2312"/>
          <w:b w:val="0"/>
          <w:sz w:val="32"/>
        </w:rPr>
        <w:t>二、《收入决算表》</w:t>
      </w:r>
    </w:p>
    <w:p w14:paraId="7DCEB647">
      <w:pPr>
        <w:spacing w:line="240" w:lineRule="auto"/>
        <w:ind w:firstLine="640"/>
        <w:jc w:val="both"/>
      </w:pPr>
      <w:r>
        <w:rPr>
          <w:rFonts w:ascii="仿宋_GB2312" w:hAnsi="仿宋_GB2312" w:eastAsia="仿宋_GB2312"/>
          <w:b w:val="0"/>
          <w:sz w:val="32"/>
        </w:rPr>
        <w:t>三、《支出决算表》</w:t>
      </w:r>
    </w:p>
    <w:p w14:paraId="06BBCAE0">
      <w:pPr>
        <w:spacing w:line="240" w:lineRule="auto"/>
        <w:ind w:firstLine="640"/>
        <w:jc w:val="both"/>
      </w:pPr>
      <w:r>
        <w:rPr>
          <w:rFonts w:ascii="仿宋_GB2312" w:hAnsi="仿宋_GB2312" w:eastAsia="仿宋_GB2312"/>
          <w:b w:val="0"/>
          <w:sz w:val="32"/>
        </w:rPr>
        <w:t>四、《财政拨款收入支出决算总表》</w:t>
      </w:r>
    </w:p>
    <w:p w14:paraId="7FEBBAB8">
      <w:pPr>
        <w:spacing w:line="240" w:lineRule="auto"/>
        <w:ind w:firstLine="640"/>
        <w:jc w:val="both"/>
      </w:pPr>
      <w:r>
        <w:rPr>
          <w:rFonts w:ascii="仿宋_GB2312" w:hAnsi="仿宋_GB2312" w:eastAsia="仿宋_GB2312"/>
          <w:b w:val="0"/>
          <w:sz w:val="32"/>
        </w:rPr>
        <w:t>五、《一般公共预算财政拨款支出决算表》</w:t>
      </w:r>
    </w:p>
    <w:p w14:paraId="4C3D317C">
      <w:pPr>
        <w:spacing w:line="240" w:lineRule="auto"/>
        <w:ind w:firstLine="640"/>
        <w:jc w:val="both"/>
      </w:pPr>
      <w:r>
        <w:rPr>
          <w:rFonts w:ascii="仿宋_GB2312" w:hAnsi="仿宋_GB2312" w:eastAsia="仿宋_GB2312"/>
          <w:b w:val="0"/>
          <w:sz w:val="32"/>
        </w:rPr>
        <w:t>六、《一般公共预算财政拨款基本支出决算表》</w:t>
      </w:r>
    </w:p>
    <w:p w14:paraId="3F538D49">
      <w:pPr>
        <w:spacing w:line="240" w:lineRule="auto"/>
        <w:ind w:firstLine="640"/>
        <w:jc w:val="both"/>
      </w:pPr>
      <w:r>
        <w:rPr>
          <w:rFonts w:ascii="仿宋_GB2312" w:hAnsi="仿宋_GB2312" w:eastAsia="仿宋_GB2312"/>
          <w:b w:val="0"/>
          <w:sz w:val="32"/>
        </w:rPr>
        <w:t>七、《政府性基金预算财政拨款收入支出决算表》</w:t>
      </w:r>
    </w:p>
    <w:p w14:paraId="7932845E">
      <w:pPr>
        <w:spacing w:line="240" w:lineRule="auto"/>
        <w:ind w:firstLine="640"/>
        <w:jc w:val="both"/>
      </w:pPr>
      <w:r>
        <w:rPr>
          <w:rFonts w:ascii="仿宋_GB2312" w:hAnsi="仿宋_GB2312" w:eastAsia="仿宋_GB2312"/>
          <w:b w:val="0"/>
          <w:sz w:val="32"/>
        </w:rPr>
        <w:t>八、《国有资本经营预算财政拨款收入支出决算表》</w:t>
      </w:r>
    </w:p>
    <w:p w14:paraId="044BCED6">
      <w:pPr>
        <w:spacing w:line="240" w:lineRule="auto"/>
        <w:ind w:firstLine="640"/>
        <w:jc w:val="both"/>
      </w:pPr>
      <w:r>
        <w:rPr>
          <w:rFonts w:ascii="仿宋_GB2312" w:hAnsi="仿宋_GB2312" w:eastAsia="仿宋_GB2312"/>
          <w:b w:val="0"/>
          <w:sz w:val="32"/>
        </w:rPr>
        <w:t>九、《财政拨款“三公”经费支出决算表》</w:t>
      </w:r>
    </w:p>
    <w:p w14:paraId="4D6EB9B3">
      <w:pPr>
        <w:spacing w:line="240" w:lineRule="auto"/>
        <w:ind w:firstLine="640"/>
        <w:jc w:val="both"/>
      </w:pPr>
    </w:p>
    <w:p w14:paraId="030CDFD8">
      <w:pPr>
        <w:spacing w:line="240" w:lineRule="auto"/>
        <w:ind w:firstLine="640"/>
        <w:jc w:val="both"/>
      </w:pPr>
    </w:p>
    <w:p w14:paraId="7C73A8A8">
      <w:pPr>
        <w:spacing w:line="240" w:lineRule="auto"/>
        <w:ind w:firstLine="640"/>
        <w:jc w:val="both"/>
      </w:pPr>
    </w:p>
    <w:p w14:paraId="31AD5D89">
      <w:pPr>
        <w:spacing w:line="240" w:lineRule="auto"/>
        <w:ind w:firstLine="640"/>
        <w:jc w:val="both"/>
      </w:pPr>
    </w:p>
    <w:p w14:paraId="30B492DD">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altName w:val="黑体"/>
    <w:panose1 w:val="02010601030101010101"/>
    <w:charset w:val="86"/>
    <w:family w:val="auto"/>
    <w:pitch w:val="default"/>
    <w:sig w:usb0="00000000" w:usb1="00000000" w:usb2="00000000" w:usb3="00000000" w:csb0="00040000" w:csb1="00000000"/>
  </w:font>
  <w:font w:name="方正小标宋_GBK">
    <w:altName w:val="微软雅黑"/>
    <w:panose1 w:val="02000000000000000000"/>
    <w:charset w:val="86"/>
    <w:family w:val="script"/>
    <w:pitch w:val="default"/>
    <w:sig w:usb0="00000000" w:usb1="00000000" w:usb2="00082016" w:usb3="00000000" w:csb0="00040001" w:csb1="00000000"/>
  </w:font>
  <w:font w:name="楷体_GB2312">
    <w:altName w:val="楷体"/>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0963F92"/>
    <w:rsid w:val="021B7195"/>
    <w:rsid w:val="02F73D26"/>
    <w:rsid w:val="034D4FEF"/>
    <w:rsid w:val="043E5B56"/>
    <w:rsid w:val="049C61BE"/>
    <w:rsid w:val="06792773"/>
    <w:rsid w:val="09A729D8"/>
    <w:rsid w:val="0A3C58E8"/>
    <w:rsid w:val="0A7B4867"/>
    <w:rsid w:val="0B8C3ECC"/>
    <w:rsid w:val="0C3613A3"/>
    <w:rsid w:val="0C7227A7"/>
    <w:rsid w:val="0DCA6EF7"/>
    <w:rsid w:val="0E4B1576"/>
    <w:rsid w:val="0EA04331"/>
    <w:rsid w:val="0F9811B3"/>
    <w:rsid w:val="11E15093"/>
    <w:rsid w:val="120E0809"/>
    <w:rsid w:val="19071D6C"/>
    <w:rsid w:val="197D7D42"/>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23</Pages>
  <Words>5376</Words>
  <Characters>6018</Characters>
  <Lines>0</Lines>
  <Paragraphs>0</Paragraphs>
  <TotalTime>5</TotalTime>
  <ScaleCrop>false</ScaleCrop>
  <LinksUpToDate>false</LinksUpToDate>
  <CharactersWithSpaces>6026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WPS_1477985738</cp:lastModifiedBy>
  <cp:lastPrinted>2025-09-11T05:04:36Z</cp:lastPrinted>
  <dcterms:modified xsi:type="dcterms:W3CDTF">2025-09-11T05:20:22Z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eyJoZGlkIjoiMWY5NDVjNjI0N2Y0NjA5MTI3MzE0NGI2OGI4ODNlNjYiLCJ1c2VySWQiOiIyNDg3ODUzMTUifQ==</vt:lpwstr>
  </property>
</Properties>
</file>