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和田地区维吾尔医医院2024年度部门决算</w:t>
      </w:r>
    </w:p>
    <w:p>
      <w:pPr>
        <w:spacing w:line="640" w:lineRule="exact"/>
        <w:jc w:val="center"/>
        <w:rPr>
          <w:rFonts w:ascii="方正小标宋_GBK" w:hAnsi="宋体" w:eastAsia="方正小标宋_GBK"/>
          <w:sz w:val="44"/>
          <w:szCs w:val="44"/>
        </w:rPr>
      </w:pPr>
      <w:r>
        <w:rPr>
          <w:rFonts w:hint="eastAsia" w:ascii="方正小标宋简体" w:hAnsi="方正小标宋简体" w:eastAsia="方正小标宋简体" w:cs="方正小标宋简体"/>
          <w:sz w:val="44"/>
          <w:szCs w:val="44"/>
        </w:rPr>
        <w:t>公开说明</w:t>
      </w:r>
    </w:p>
    <w:p>
      <w:pPr>
        <w:jc w:val="center"/>
        <w:rPr>
          <w:rFonts w:ascii="仿宋_GB2312" w:hAnsi="仿宋_GB2312" w:eastAsia="仿宋_GB2312" w:cs="仿宋_GB2312"/>
          <w:bCs/>
          <w:kern w:val="0"/>
          <w:szCs w:val="32"/>
        </w:rPr>
      </w:pPr>
      <w:bookmarkStart w:id="0" w:name="_GoBack"/>
      <w:bookmarkEnd w:id="0"/>
      <w:r>
        <w:rPr>
          <w:rFonts w:hint="eastAsia" w:ascii="方正小标宋_GBK" w:hAnsi="宋体" w:eastAsia="方正小标宋_GBK"/>
          <w:sz w:val="44"/>
          <w:szCs w:val="44"/>
        </w:rPr>
        <w:br w:type="page"/>
      </w:r>
      <w:r>
        <w:rPr>
          <w:rFonts w:hint="eastAsia" w:ascii="黑体" w:hAnsi="黑体" w:eastAsia="黑体" w:cs="黑体"/>
          <w:bCs/>
          <w:kern w:val="0"/>
          <w:szCs w:val="32"/>
        </w:rPr>
        <w:t>目  录</w:t>
      </w:r>
    </w:p>
    <w:p>
      <w:pPr>
        <w:pStyle w:val="6"/>
        <w:tabs>
          <w:tab w:val="right" w:leader="dot" w:pos="8306"/>
        </w:tabs>
        <w:rPr>
          <w:rFonts w:ascii="仿宋_GB2312" w:hAnsi="仿宋_GB2312" w:eastAsia="仿宋_GB2312" w:cs="仿宋_GB2312"/>
          <w:b/>
          <w:bCs/>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TOC \o "1-3" \n  \h \u </w:instrText>
      </w:r>
      <w:r>
        <w:rPr>
          <w:rFonts w:hint="eastAsia" w:ascii="仿宋_GB2312" w:hAnsi="仿宋_GB2312" w:eastAsia="仿宋_GB2312" w:cs="仿宋_GB2312"/>
          <w:szCs w:val="32"/>
        </w:rPr>
        <w:fldChar w:fldCharType="separate"/>
      </w:r>
      <w:r>
        <w:fldChar w:fldCharType="begin"/>
      </w:r>
      <w:r>
        <w:instrText xml:space="preserve"> HYPERLINK \l "_Toc31918" </w:instrText>
      </w:r>
      <w:r>
        <w:fldChar w:fldCharType="separate"/>
      </w:r>
      <w:r>
        <w:rPr>
          <w:rFonts w:hint="eastAsia" w:ascii="仿宋_GB2312" w:hAnsi="仿宋_GB2312" w:eastAsia="仿宋_GB2312" w:cs="仿宋_GB2312"/>
          <w:b/>
          <w:bCs/>
          <w:szCs w:val="32"/>
        </w:rPr>
        <w:t>第一部分 单位概况</w:t>
      </w:r>
      <w:r>
        <w:rPr>
          <w:rFonts w:hint="eastAsia" w:ascii="仿宋_GB2312" w:hAnsi="仿宋_GB2312" w:eastAsia="仿宋_GB2312" w:cs="仿宋_GB2312"/>
          <w:b/>
          <w:bCs/>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"_Toc2898" </w:instrText>
      </w:r>
      <w:r>
        <w:fldChar w:fldCharType="separate"/>
      </w:r>
      <w:r>
        <w:rPr>
          <w:rFonts w:hint="eastAsia" w:ascii="仿宋_GB2312" w:hAnsi="仿宋_GB2312" w:eastAsia="仿宋_GB2312" w:cs="仿宋_GB2312"/>
          <w:bCs/>
          <w:kern w:val="0"/>
          <w:szCs w:val="32"/>
        </w:rPr>
        <w:t>一、主要职能</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"_Toc1387" </w:instrText>
      </w:r>
      <w:r>
        <w:fldChar w:fldCharType="separate"/>
      </w:r>
      <w:r>
        <w:rPr>
          <w:rFonts w:hint="eastAsia" w:ascii="仿宋_GB2312" w:hAnsi="仿宋_GB2312" w:eastAsia="仿宋_GB2312" w:cs="仿宋_GB2312"/>
          <w:bCs/>
          <w:kern w:val="0"/>
          <w:szCs w:val="32"/>
        </w:rPr>
        <w:t>二、机构设置及人员情况</w:t>
      </w:r>
      <w:r>
        <w:rPr>
          <w:rFonts w:hint="eastAsia" w:ascii="仿宋_GB2312" w:hAnsi="仿宋_GB2312" w:eastAsia="仿宋_GB2312" w:cs="仿宋_GB2312"/>
          <w:bCs/>
          <w:kern w:val="0"/>
          <w:szCs w:val="32"/>
        </w:rPr>
        <w:fldChar w:fldCharType="end"/>
      </w:r>
    </w:p>
    <w:p>
      <w:pPr>
        <w:pStyle w:val="6"/>
        <w:tabs>
          <w:tab w:val="right" w:leader="dot" w:pos="8306"/>
        </w:tabs>
        <w:rPr>
          <w:rFonts w:ascii="仿宋_GB2312" w:hAnsi="仿宋_GB2312" w:eastAsia="仿宋_GB2312" w:cs="仿宋_GB2312"/>
          <w:b/>
          <w:bCs/>
          <w:szCs w:val="32"/>
        </w:rPr>
      </w:pPr>
      <w:r>
        <w:fldChar w:fldCharType="begin"/>
      </w:r>
      <w:r>
        <w:instrText xml:space="preserve"> HYPERLINK \l "_Toc7559" </w:instrText>
      </w:r>
      <w:r>
        <w:fldChar w:fldCharType="separate"/>
      </w:r>
      <w:r>
        <w:rPr>
          <w:rFonts w:hint="eastAsia" w:ascii="仿宋_GB2312" w:hAnsi="仿宋_GB2312" w:eastAsia="仿宋_GB2312" w:cs="仿宋_GB2312"/>
          <w:b/>
          <w:bCs/>
          <w:szCs w:val="32"/>
        </w:rPr>
        <w:t>第二部分 部门决算情况说明</w:t>
      </w:r>
      <w:r>
        <w:rPr>
          <w:rFonts w:hint="eastAsia" w:ascii="仿宋_GB2312" w:hAnsi="仿宋_GB2312" w:eastAsia="仿宋_GB2312" w:cs="仿宋_GB2312"/>
          <w:b/>
          <w:bCs/>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"_Toc6321" </w:instrText>
      </w:r>
      <w:r>
        <w:fldChar w:fldCharType="separate"/>
      </w:r>
      <w:r>
        <w:rPr>
          <w:rFonts w:hint="eastAsia" w:ascii="仿宋_GB2312" w:hAnsi="仿宋_GB2312" w:eastAsia="仿宋_GB2312" w:cs="仿宋_GB2312"/>
          <w:bCs/>
          <w:kern w:val="0"/>
          <w:szCs w:val="32"/>
        </w:rPr>
        <w:t>一、收入支出决算总体情况说明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"_Toc6311" </w:instrText>
      </w:r>
      <w:r>
        <w:fldChar w:fldCharType="separate"/>
      </w:r>
      <w:r>
        <w:rPr>
          <w:rFonts w:hint="eastAsia" w:ascii="仿宋_GB2312" w:hAnsi="仿宋_GB2312" w:eastAsia="仿宋_GB2312" w:cs="仿宋_GB2312"/>
          <w:bCs/>
          <w:kern w:val="0"/>
          <w:szCs w:val="32"/>
        </w:rPr>
        <w:t>二、收入决算情况说明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"_Toc20629" </w:instrText>
      </w:r>
      <w:r>
        <w:fldChar w:fldCharType="separate"/>
      </w:r>
      <w:r>
        <w:rPr>
          <w:rFonts w:hint="eastAsia" w:ascii="仿宋_GB2312" w:hAnsi="仿宋_GB2312" w:eastAsia="仿宋_GB2312" w:cs="仿宋_GB2312"/>
          <w:bCs/>
          <w:kern w:val="0"/>
          <w:szCs w:val="32"/>
        </w:rPr>
        <w:t>三、支出决算情况说明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"_Toc7371" </w:instrText>
      </w:r>
      <w:r>
        <w:fldChar w:fldCharType="separate"/>
      </w:r>
      <w:r>
        <w:rPr>
          <w:rFonts w:hint="eastAsia" w:ascii="仿宋_GB2312" w:hAnsi="仿宋_GB2312" w:eastAsia="仿宋_GB2312" w:cs="仿宋_GB2312"/>
          <w:bCs/>
          <w:kern w:val="0"/>
          <w:szCs w:val="32"/>
        </w:rPr>
        <w:t>四、财政拨款收入支出决算总体情况说明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"_Toc18905" </w:instrText>
      </w:r>
      <w:r>
        <w:fldChar w:fldCharType="separate"/>
      </w:r>
      <w:r>
        <w:rPr>
          <w:rFonts w:hint="eastAsia" w:ascii="仿宋_GB2312" w:hAnsi="仿宋_GB2312" w:eastAsia="仿宋_GB2312" w:cs="仿宋_GB2312"/>
          <w:bCs/>
          <w:kern w:val="0"/>
          <w:szCs w:val="32"/>
        </w:rPr>
        <w:t>五、一般公共预算财政拨款支出决算情况说明</w:t>
      </w:r>
      <w:r>
        <w:rPr>
          <w:rFonts w:hint="eastAsia" w:ascii="仿宋_GB2312" w:hAnsi="仿宋_GB2312" w:eastAsia="仿宋_GB2312" w:cs="仿宋_GB2312"/>
          <w:bCs/>
          <w:kern w:val="0"/>
          <w:szCs w:val="32"/>
        </w:rPr>
        <w:fldChar w:fldCharType="end"/>
      </w:r>
    </w:p>
    <w:p>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"_Toc1165" </w:instrText>
      </w:r>
      <w:r>
        <w:fldChar w:fldCharType="separate"/>
      </w:r>
      <w:r>
        <w:rPr>
          <w:rFonts w:hint="eastAsia" w:ascii="仿宋_GB2312" w:hAnsi="仿宋_GB2312" w:eastAsia="仿宋_GB2312" w:cs="仿宋_GB2312"/>
          <w:szCs w:val="32"/>
        </w:rPr>
        <w:t>（一）一般公共预算财政拨款支出决算总体情况</w:t>
      </w:r>
      <w:r>
        <w:rPr>
          <w:rFonts w:hint="eastAsia" w:ascii="仿宋_GB2312" w:hAnsi="仿宋_GB2312" w:eastAsia="仿宋_GB2312" w:cs="仿宋_GB2312"/>
          <w:szCs w:val="32"/>
        </w:rPr>
        <w:fldChar w:fldCharType="end"/>
      </w:r>
    </w:p>
    <w:p>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"_Toc27147" </w:instrText>
      </w:r>
      <w:r>
        <w:fldChar w:fldCharType="separate"/>
      </w:r>
      <w:r>
        <w:rPr>
          <w:rFonts w:hint="eastAsia" w:ascii="仿宋_GB2312" w:hAnsi="仿宋_GB2312" w:eastAsia="仿宋_GB2312" w:cs="仿宋_GB2312"/>
          <w:szCs w:val="32"/>
        </w:rPr>
        <w:t>（二）一般公共预算财政拨款支出决算结构情况</w:t>
      </w:r>
      <w:r>
        <w:rPr>
          <w:rFonts w:hint="eastAsia" w:ascii="仿宋_GB2312" w:hAnsi="仿宋_GB2312" w:eastAsia="仿宋_GB2312" w:cs="仿宋_GB2312"/>
          <w:szCs w:val="32"/>
        </w:rPr>
        <w:fldChar w:fldCharType="end"/>
      </w:r>
    </w:p>
    <w:p>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"_Toc10037" </w:instrText>
      </w:r>
      <w:r>
        <w:fldChar w:fldCharType="separate"/>
      </w:r>
      <w:r>
        <w:rPr>
          <w:rFonts w:hint="eastAsia" w:ascii="仿宋_GB2312" w:hAnsi="仿宋_GB2312" w:eastAsia="仿宋_GB2312" w:cs="仿宋_GB2312"/>
          <w:szCs w:val="32"/>
        </w:rPr>
        <w:t>（三）一般公共预算财政拨款支出决算具体情况</w:t>
      </w:r>
      <w:r>
        <w:rPr>
          <w:rFonts w:hint="eastAsia" w:ascii="仿宋_GB2312" w:hAnsi="仿宋_GB2312" w:eastAsia="仿宋_GB2312" w:cs="仿宋_GB2312"/>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"_Toc23415" </w:instrText>
      </w:r>
      <w:r>
        <w:fldChar w:fldCharType="separate"/>
      </w:r>
      <w:r>
        <w:rPr>
          <w:rFonts w:hint="eastAsia" w:ascii="仿宋_GB2312" w:hAnsi="仿宋_GB2312" w:eastAsia="仿宋_GB2312" w:cs="仿宋_GB2312"/>
          <w:bCs/>
          <w:kern w:val="0"/>
          <w:szCs w:val="32"/>
        </w:rPr>
        <w:t>六、一般公共预算财政拨款基本支出决算情况说明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"_Toc7523" </w:instrText>
      </w:r>
      <w:r>
        <w:fldChar w:fldCharType="separate"/>
      </w:r>
      <w:r>
        <w:rPr>
          <w:rFonts w:hint="eastAsia" w:ascii="仿宋_GB2312" w:hAnsi="仿宋_GB2312" w:eastAsia="仿宋_GB2312" w:cs="仿宋_GB2312"/>
          <w:bCs/>
          <w:kern w:val="0"/>
          <w:szCs w:val="32"/>
        </w:rPr>
        <w:t>七、政府性基金预算财政拨款收入支出决算情况说明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"_Toc5563" </w:instrText>
      </w:r>
      <w:r>
        <w:fldChar w:fldCharType="separate"/>
      </w:r>
      <w:r>
        <w:rPr>
          <w:rFonts w:hint="eastAsia" w:ascii="仿宋_GB2312" w:hAnsi="仿宋_GB2312" w:eastAsia="仿宋_GB2312" w:cs="仿宋_GB2312"/>
          <w:bCs/>
          <w:kern w:val="0"/>
          <w:szCs w:val="32"/>
        </w:rPr>
        <w:t>八、国有资本经营预算财政拨款收入支出决算情况说明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"_Toc9161" </w:instrText>
      </w:r>
      <w:r>
        <w:fldChar w:fldCharType="separate"/>
      </w:r>
      <w:r>
        <w:rPr>
          <w:rFonts w:hint="eastAsia" w:ascii="仿宋_GB2312" w:hAnsi="仿宋_GB2312" w:eastAsia="仿宋_GB2312" w:cs="仿宋_GB2312"/>
          <w:bCs/>
          <w:kern w:val="0"/>
          <w:szCs w:val="32"/>
        </w:rPr>
        <w:t>九、财政拨款“三公”经费支出决算情况说明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"_Toc16395" </w:instrText>
      </w:r>
      <w:r>
        <w:fldChar w:fldCharType="separate"/>
      </w:r>
      <w:r>
        <w:rPr>
          <w:rFonts w:hint="eastAsia" w:ascii="仿宋_GB2312" w:hAnsi="仿宋_GB2312" w:eastAsia="仿宋_GB2312" w:cs="仿宋_GB2312"/>
          <w:bCs/>
          <w:kern w:val="0"/>
          <w:szCs w:val="32"/>
        </w:rPr>
        <w:t>十、其他重要事项的情况说明</w:t>
      </w:r>
      <w:r>
        <w:rPr>
          <w:rFonts w:hint="eastAsia" w:ascii="仿宋_GB2312" w:hAnsi="仿宋_GB2312" w:eastAsia="仿宋_GB2312" w:cs="仿宋_GB2312"/>
          <w:bCs/>
          <w:kern w:val="0"/>
          <w:szCs w:val="32"/>
        </w:rPr>
        <w:fldChar w:fldCharType="end"/>
      </w:r>
    </w:p>
    <w:p>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"_Toc21748" </w:instrText>
      </w:r>
      <w:r>
        <w:fldChar w:fldCharType="separate"/>
      </w:r>
      <w:r>
        <w:rPr>
          <w:rFonts w:hint="eastAsia" w:ascii="仿宋_GB2312" w:hAnsi="仿宋_GB2312" w:eastAsia="仿宋_GB2312" w:cs="仿宋_GB2312"/>
          <w:szCs w:val="32"/>
        </w:rPr>
        <w:t>（一）机关运行经费及公用经费支出情况</w:t>
      </w:r>
      <w:r>
        <w:rPr>
          <w:rFonts w:hint="eastAsia" w:ascii="仿宋_GB2312" w:hAnsi="仿宋_GB2312" w:eastAsia="仿宋_GB2312" w:cs="仿宋_GB2312"/>
          <w:szCs w:val="32"/>
        </w:rPr>
        <w:fldChar w:fldCharType="end"/>
      </w:r>
    </w:p>
    <w:p>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"_Toc25177" </w:instrText>
      </w:r>
      <w:r>
        <w:fldChar w:fldCharType="separate"/>
      </w:r>
      <w:r>
        <w:rPr>
          <w:rFonts w:hint="eastAsia" w:ascii="仿宋_GB2312" w:hAnsi="仿宋_GB2312" w:eastAsia="仿宋_GB2312" w:cs="仿宋_GB2312"/>
          <w:szCs w:val="32"/>
        </w:rPr>
        <w:t>（二）政府采购情况</w:t>
      </w:r>
      <w:r>
        <w:rPr>
          <w:rFonts w:hint="eastAsia" w:ascii="仿宋_GB2312" w:hAnsi="仿宋_GB2312" w:eastAsia="仿宋_GB2312" w:cs="仿宋_GB2312"/>
          <w:szCs w:val="32"/>
        </w:rPr>
        <w:fldChar w:fldCharType="end"/>
      </w:r>
    </w:p>
    <w:p>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"_Toc31294" </w:instrText>
      </w:r>
      <w:r>
        <w:fldChar w:fldCharType="separate"/>
      </w:r>
      <w:r>
        <w:rPr>
          <w:rFonts w:hint="eastAsia" w:ascii="仿宋_GB2312" w:hAnsi="仿宋_GB2312" w:eastAsia="仿宋_GB2312" w:cs="仿宋_GB2312"/>
          <w:szCs w:val="32"/>
        </w:rPr>
        <w:t>（三）国有资产占用情况说明</w:t>
      </w:r>
      <w:r>
        <w:rPr>
          <w:rFonts w:hint="eastAsia" w:ascii="仿宋_GB2312" w:hAnsi="仿宋_GB2312" w:eastAsia="仿宋_GB2312" w:cs="仿宋_GB2312"/>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"_Toc17664" </w:instrText>
      </w:r>
      <w:r>
        <w:fldChar w:fldCharType="separate"/>
      </w:r>
      <w:r>
        <w:rPr>
          <w:rFonts w:hint="eastAsia" w:ascii="仿宋_GB2312" w:hAnsi="仿宋_GB2312" w:eastAsia="仿宋_GB2312" w:cs="仿宋_GB2312"/>
          <w:bCs/>
          <w:kern w:val="0"/>
          <w:szCs w:val="32"/>
        </w:rPr>
        <w:t>十一、预算绩效的情况说明</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rPr>
          <w:rFonts w:hint="eastAsia" w:ascii="仿宋_GB2312" w:hAnsi="仿宋_GB2312" w:eastAsia="仿宋_GB2312" w:cs="仿宋_GB2312"/>
          <w:szCs w:val="32"/>
        </w:rPr>
        <w:t>十二、其他需说明的事项</w:t>
      </w:r>
    </w:p>
    <w:p>
      <w:pPr>
        <w:pStyle w:val="6"/>
        <w:tabs>
          <w:tab w:val="right" w:leader="dot" w:pos="8306"/>
        </w:tabs>
        <w:rPr>
          <w:rFonts w:ascii="仿宋_GB2312" w:hAnsi="仿宋_GB2312" w:eastAsia="仿宋_GB2312" w:cs="仿宋_GB2312"/>
          <w:b/>
          <w:bCs/>
          <w:szCs w:val="32"/>
        </w:rPr>
      </w:pPr>
      <w:r>
        <w:fldChar w:fldCharType="begin"/>
      </w:r>
      <w:r>
        <w:instrText xml:space="preserve"> HYPERLINK \l "_Toc30038" </w:instrText>
      </w:r>
      <w:r>
        <w:fldChar w:fldCharType="separate"/>
      </w:r>
      <w:r>
        <w:rPr>
          <w:rFonts w:hint="eastAsia" w:ascii="仿宋_GB2312" w:hAnsi="仿宋_GB2312" w:eastAsia="仿宋_GB2312" w:cs="仿宋_GB2312"/>
          <w:b/>
          <w:bCs/>
          <w:szCs w:val="32"/>
        </w:rPr>
        <w:t>第三部分 专业名词解释</w:t>
      </w:r>
      <w:r>
        <w:rPr>
          <w:rFonts w:hint="eastAsia" w:ascii="仿宋_GB2312" w:hAnsi="仿宋_GB2312" w:eastAsia="仿宋_GB2312" w:cs="仿宋_GB2312"/>
          <w:b/>
          <w:bCs/>
          <w:szCs w:val="32"/>
        </w:rPr>
        <w:fldChar w:fldCharType="end"/>
      </w:r>
    </w:p>
    <w:p>
      <w:pPr>
        <w:pStyle w:val="6"/>
        <w:tabs>
          <w:tab w:val="right" w:leader="dot" w:pos="8306"/>
        </w:tabs>
        <w:rPr>
          <w:rFonts w:ascii="仿宋_GB2312" w:hAnsi="仿宋_GB2312" w:eastAsia="仿宋_GB2312" w:cs="仿宋_GB2312"/>
          <w:b/>
          <w:bCs/>
          <w:szCs w:val="32"/>
        </w:rPr>
      </w:pPr>
      <w:r>
        <w:fldChar w:fldCharType="begin"/>
      </w:r>
      <w:r>
        <w:instrText xml:space="preserve"> HYPERLINK \l "_Toc6831" </w:instrText>
      </w:r>
      <w:r>
        <w:fldChar w:fldCharType="separate"/>
      </w:r>
      <w:r>
        <w:rPr>
          <w:rFonts w:hint="eastAsia" w:ascii="仿宋_GB2312" w:hAnsi="仿宋_GB2312" w:eastAsia="仿宋_GB2312" w:cs="仿宋_GB2312"/>
          <w:b/>
          <w:bCs/>
          <w:szCs w:val="32"/>
        </w:rPr>
        <w:t>第四部分 部门决算报表（见附表）</w:t>
      </w:r>
      <w:r>
        <w:rPr>
          <w:rFonts w:hint="eastAsia" w:ascii="仿宋_GB2312" w:hAnsi="仿宋_GB2312" w:eastAsia="仿宋_GB2312" w:cs="仿宋_GB2312"/>
          <w:b/>
          <w:bCs/>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"_Toc3845" </w:instrText>
      </w:r>
      <w:r>
        <w:fldChar w:fldCharType="separate"/>
      </w:r>
      <w:r>
        <w:rPr>
          <w:rFonts w:hint="eastAsia" w:ascii="仿宋_GB2312" w:hAnsi="仿宋_GB2312" w:eastAsia="仿宋_GB2312" w:cs="仿宋_GB2312"/>
          <w:bCs/>
          <w:kern w:val="0"/>
          <w:szCs w:val="32"/>
        </w:rPr>
        <w:t>一、《收入支出决算总表》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"_Toc11927" </w:instrText>
      </w:r>
      <w:r>
        <w:fldChar w:fldCharType="separate"/>
      </w:r>
      <w:r>
        <w:rPr>
          <w:rFonts w:hint="eastAsia" w:ascii="仿宋_GB2312" w:hAnsi="仿宋_GB2312" w:eastAsia="仿宋_GB2312" w:cs="仿宋_GB2312"/>
          <w:bCs/>
          <w:kern w:val="0"/>
          <w:szCs w:val="32"/>
        </w:rPr>
        <w:t>二、《收入决算表》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"_Toc7443" </w:instrText>
      </w:r>
      <w:r>
        <w:fldChar w:fldCharType="separate"/>
      </w:r>
      <w:r>
        <w:rPr>
          <w:rFonts w:hint="eastAsia" w:ascii="仿宋_GB2312" w:hAnsi="仿宋_GB2312" w:eastAsia="仿宋_GB2312" w:cs="仿宋_GB2312"/>
          <w:bCs/>
          <w:kern w:val="0"/>
          <w:szCs w:val="32"/>
        </w:rPr>
        <w:t>三、《支出决算表》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"_Toc24884" </w:instrText>
      </w:r>
      <w:r>
        <w:fldChar w:fldCharType="separate"/>
      </w:r>
      <w:r>
        <w:rPr>
          <w:rFonts w:hint="eastAsia" w:ascii="仿宋_GB2312" w:hAnsi="仿宋_GB2312" w:eastAsia="仿宋_GB2312" w:cs="仿宋_GB2312"/>
          <w:bCs/>
          <w:kern w:val="0"/>
          <w:szCs w:val="32"/>
        </w:rPr>
        <w:t>四、《财政拨款收入支出决算总表》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"_Toc16518" </w:instrText>
      </w:r>
      <w:r>
        <w:fldChar w:fldCharType="separate"/>
      </w:r>
      <w:r>
        <w:rPr>
          <w:rFonts w:hint="eastAsia" w:ascii="仿宋_GB2312" w:hAnsi="仿宋_GB2312" w:eastAsia="仿宋_GB2312" w:cs="仿宋_GB2312"/>
          <w:bCs/>
          <w:kern w:val="0"/>
          <w:szCs w:val="32"/>
        </w:rPr>
        <w:t>五、《一般公共预算财政拨款支出决算表》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"_Toc20514" </w:instrText>
      </w:r>
      <w:r>
        <w:fldChar w:fldCharType="separate"/>
      </w:r>
      <w:r>
        <w:rPr>
          <w:rFonts w:hint="eastAsia" w:ascii="仿宋_GB2312" w:hAnsi="仿宋_GB2312" w:eastAsia="仿宋_GB2312" w:cs="仿宋_GB2312"/>
          <w:bCs/>
          <w:kern w:val="0"/>
          <w:szCs w:val="32"/>
        </w:rPr>
        <w:t>六、《一般公共预算财政拨款基本支出决算表》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"_Toc18055" </w:instrText>
      </w:r>
      <w:r>
        <w:fldChar w:fldCharType="separate"/>
      </w:r>
      <w:r>
        <w:rPr>
          <w:rFonts w:hint="eastAsia" w:ascii="仿宋_GB2312" w:hAnsi="仿宋_GB2312" w:eastAsia="仿宋_GB2312" w:cs="仿宋_GB2312"/>
          <w:bCs/>
          <w:kern w:val="0"/>
          <w:szCs w:val="32"/>
        </w:rPr>
        <w:t>七、《政府性基金预算财政拨款收入支出决算表》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"_Toc10719" </w:instrText>
      </w:r>
      <w:r>
        <w:fldChar w:fldCharType="separate"/>
      </w:r>
      <w:r>
        <w:rPr>
          <w:rFonts w:hint="eastAsia" w:ascii="仿宋_GB2312" w:hAnsi="仿宋_GB2312" w:eastAsia="仿宋_GB2312" w:cs="仿宋_GB2312"/>
          <w:bCs/>
          <w:kern w:val="0"/>
          <w:szCs w:val="32"/>
        </w:rPr>
        <w:t>八、《国有资本经营预算财政拨款收入支出决算表》</w:t>
      </w:r>
      <w:r>
        <w:rPr>
          <w:rFonts w:hint="eastAsia" w:ascii="仿宋_GB2312" w:hAnsi="仿宋_GB2312" w:eastAsia="仿宋_GB2312" w:cs="仿宋_GB2312"/>
          <w:bCs/>
          <w:kern w:val="0"/>
          <w:szCs w:val="32"/>
        </w:rPr>
        <w:fldChar w:fldCharType="end"/>
      </w:r>
    </w:p>
    <w:p>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"_Toc18861" </w:instrText>
      </w:r>
      <w:r>
        <w:fldChar w:fldCharType="separate"/>
      </w:r>
      <w:r>
        <w:rPr>
          <w:rFonts w:hint="eastAsia" w:ascii="仿宋_GB2312" w:hAnsi="仿宋_GB2312" w:eastAsia="仿宋_GB2312" w:cs="仿宋_GB2312"/>
          <w:bCs/>
          <w:kern w:val="0"/>
          <w:szCs w:val="32"/>
        </w:rPr>
        <w:t>九、《财政拨款“三公”经费支出决算表》</w:t>
      </w:r>
      <w:r>
        <w:rPr>
          <w:rFonts w:hint="eastAsia" w:ascii="仿宋_GB2312" w:hAnsi="仿宋_GB2312" w:eastAsia="仿宋_GB2312" w:cs="仿宋_GB2312"/>
          <w:bCs/>
          <w:kern w:val="0"/>
          <w:szCs w:val="32"/>
        </w:rPr>
        <w:fldChar w:fldCharType="end"/>
      </w:r>
    </w:p>
    <w:p>
      <w:pPr>
        <w:pStyle w:val="7"/>
        <w:tabs>
          <w:tab w:val="right" w:pos="8306"/>
        </w:tabs>
        <w:ind w:left="0" w:leftChars="0"/>
        <w:rPr>
          <w:rFonts w:ascii="仿宋_GB2312" w:hAnsi="仿宋_GB2312" w:eastAsia="仿宋_GB2312" w:cs="仿宋_GB2312"/>
          <w:szCs w:val="32"/>
        </w:rPr>
      </w:pPr>
      <w:r>
        <w:rPr>
          <w:rFonts w:hint="eastAsia" w:ascii="仿宋_GB2312" w:hAnsi="仿宋_GB2312" w:eastAsia="仿宋_GB2312" w:cs="仿宋_GB2312"/>
          <w:szCs w:val="32"/>
        </w:rPr>
        <w:fldChar w:fldCharType="end"/>
      </w:r>
    </w:p>
    <w:p>
      <w:r>
        <w:br w:type="page"/>
      </w:r>
    </w:p>
    <w:p>
      <w:pPr>
        <w:spacing w:line="640" w:lineRule="exact"/>
        <w:jc w:val="center"/>
        <w:outlineLvl w:val="1"/>
      </w:pPr>
      <w:r>
        <w:rPr>
          <w:rFonts w:ascii="黑体" w:hAnsi="黑体" w:eastAsia="黑体"/>
        </w:rPr>
        <w:t>第一部分 单位概况</w:t>
      </w:r>
    </w:p>
    <w:p>
      <w:pPr>
        <w:spacing w:line="640" w:lineRule="exact"/>
        <w:ind w:firstLine="640"/>
        <w:outlineLvl w:val="2"/>
      </w:pPr>
      <w:r>
        <w:rPr>
          <w:rFonts w:ascii="黑体" w:hAnsi="黑体" w:eastAsia="黑体"/>
        </w:rPr>
        <w:t>一、主要职能</w:t>
      </w:r>
    </w:p>
    <w:p>
      <w:pPr>
        <w:spacing w:line="580" w:lineRule="exact"/>
        <w:ind w:firstLine="640"/>
        <w:rPr>
          <w:rFonts w:ascii="仿宋_GB2312" w:hAnsi="仿宋_GB2312" w:eastAsia="仿宋_GB2312"/>
        </w:rPr>
      </w:pPr>
      <w:r>
        <w:rPr>
          <w:rFonts w:hint="eastAsia" w:ascii="仿宋_GB2312" w:hAnsi="仿宋_GB2312" w:eastAsia="仿宋_GB2312"/>
        </w:rPr>
        <w:t>1、</w:t>
      </w:r>
      <w:r>
        <w:rPr>
          <w:rFonts w:ascii="仿宋_GB2312" w:hAnsi="仿宋_GB2312" w:eastAsia="仿宋_GB2312"/>
        </w:rPr>
        <w:t>面向社会开展医疗、预防、保健、救护和康复服务工作</w:t>
      </w:r>
      <w:r>
        <w:rPr>
          <w:rFonts w:hint="eastAsia" w:ascii="仿宋_GB2312" w:hAnsi="仿宋_GB2312" w:eastAsia="仿宋_GB2312"/>
        </w:rPr>
        <w:t>；</w:t>
      </w:r>
    </w:p>
    <w:p>
      <w:pPr>
        <w:spacing w:line="580" w:lineRule="exact"/>
        <w:ind w:firstLine="640"/>
        <w:rPr>
          <w:rFonts w:ascii="仿宋_GB2312" w:hAnsi="仿宋_GB2312" w:eastAsia="仿宋_GB2312"/>
        </w:rPr>
      </w:pPr>
      <w:r>
        <w:rPr>
          <w:rFonts w:hint="eastAsia" w:ascii="仿宋_GB2312" w:hAnsi="仿宋_GB2312" w:eastAsia="仿宋_GB2312"/>
        </w:rPr>
        <w:t>2、</w:t>
      </w:r>
      <w:r>
        <w:rPr>
          <w:rFonts w:ascii="仿宋_GB2312" w:hAnsi="仿宋_GB2312" w:eastAsia="仿宋_GB2312"/>
        </w:rPr>
        <w:t>以临床为依托，开展医学教学和科研工作</w:t>
      </w:r>
      <w:r>
        <w:rPr>
          <w:rFonts w:hint="eastAsia" w:ascii="仿宋_GB2312" w:hAnsi="仿宋_GB2312" w:eastAsia="仿宋_GB2312"/>
        </w:rPr>
        <w:t>；</w:t>
      </w:r>
    </w:p>
    <w:p>
      <w:pPr>
        <w:spacing w:line="580" w:lineRule="exact"/>
        <w:ind w:firstLine="640"/>
        <w:rPr>
          <w:rFonts w:ascii="仿宋_GB2312" w:hAnsi="仿宋_GB2312" w:eastAsia="仿宋_GB2312"/>
        </w:rPr>
      </w:pPr>
      <w:r>
        <w:rPr>
          <w:rFonts w:hint="eastAsia" w:ascii="仿宋_GB2312" w:hAnsi="仿宋_GB2312" w:eastAsia="仿宋_GB2312"/>
        </w:rPr>
        <w:t>3、</w:t>
      </w:r>
      <w:r>
        <w:rPr>
          <w:rFonts w:ascii="仿宋_GB2312" w:hAnsi="仿宋_GB2312" w:eastAsia="仿宋_GB2312"/>
        </w:rPr>
        <w:t>按照国家、自治区和地区有关规定，承担各类突发公共事件、自然灾害的医疗救治工作</w:t>
      </w:r>
      <w:r>
        <w:rPr>
          <w:rFonts w:hint="eastAsia" w:ascii="仿宋_GB2312" w:hAnsi="仿宋_GB2312" w:eastAsia="仿宋_GB2312"/>
        </w:rPr>
        <w:t>；</w:t>
      </w:r>
    </w:p>
    <w:p>
      <w:pPr>
        <w:spacing w:line="580" w:lineRule="exact"/>
        <w:ind w:firstLine="640" w:firstLineChars="200"/>
        <w:rPr>
          <w:rFonts w:ascii="仿宋_GB2312" w:hAnsi="仿宋_GB2312" w:eastAsia="仿宋_GB2312"/>
        </w:rPr>
      </w:pPr>
      <w:r>
        <w:rPr>
          <w:rFonts w:hint="eastAsia" w:ascii="仿宋_GB2312" w:hAnsi="仿宋_GB2312" w:eastAsia="仿宋_GB2312"/>
        </w:rPr>
        <w:t>4、</w:t>
      </w:r>
      <w:r>
        <w:rPr>
          <w:rFonts w:ascii="仿宋_GB2312" w:hAnsi="仿宋_GB2312" w:eastAsia="仿宋_GB2312"/>
        </w:rPr>
        <w:t>面向基层、农牧区医疗机构，开展人才培养、技术支持等工作</w:t>
      </w:r>
      <w:r>
        <w:rPr>
          <w:rFonts w:hint="eastAsia" w:ascii="仿宋_GB2312" w:hAnsi="仿宋_GB2312" w:eastAsia="仿宋_GB2312"/>
        </w:rPr>
        <w:t>；</w:t>
      </w:r>
    </w:p>
    <w:p>
      <w:pPr>
        <w:spacing w:line="580" w:lineRule="exact"/>
        <w:ind w:firstLine="640" w:firstLineChars="200"/>
      </w:pPr>
      <w:r>
        <w:rPr>
          <w:rFonts w:hint="eastAsia" w:ascii="仿宋_GB2312" w:hAnsi="仿宋_GB2312" w:eastAsia="仿宋_GB2312"/>
        </w:rPr>
        <w:t>5、</w:t>
      </w:r>
      <w:r>
        <w:rPr>
          <w:rFonts w:ascii="仿宋_GB2312" w:hAnsi="仿宋_GB2312" w:eastAsia="仿宋_GB2312"/>
        </w:rPr>
        <w:t>开展区内外学术交流与合作。</w:t>
      </w:r>
    </w:p>
    <w:p>
      <w:pPr>
        <w:spacing w:line="640" w:lineRule="exact"/>
        <w:ind w:firstLine="640"/>
        <w:outlineLvl w:val="2"/>
      </w:pPr>
      <w:r>
        <w:rPr>
          <w:rFonts w:ascii="黑体" w:hAnsi="黑体" w:eastAsia="黑体"/>
        </w:rPr>
        <w:t>二、机构设置及人员情况</w:t>
      </w:r>
    </w:p>
    <w:p>
      <w:pPr>
        <w:spacing w:line="580" w:lineRule="exact"/>
        <w:ind w:firstLine="640"/>
      </w:pPr>
      <w:r>
        <w:rPr>
          <w:rFonts w:ascii="仿宋_GB2312" w:hAnsi="仿宋_GB2312" w:eastAsia="仿宋_GB2312"/>
        </w:rPr>
        <w:t>和田地区维吾尔医医院2024年度，实有人数404人，其中：在职人员318人，增加11人；离休人员0人，增加0人；退休人员86人,减少1人。</w:t>
      </w:r>
    </w:p>
    <w:p>
      <w:pPr>
        <w:spacing w:line="580" w:lineRule="exact"/>
        <w:ind w:firstLine="640"/>
        <w:rPr>
          <w:color w:val="FF0000"/>
        </w:rPr>
      </w:pPr>
      <w:r>
        <w:rPr>
          <w:rFonts w:ascii="仿宋_GB2312" w:hAnsi="仿宋_GB2312" w:eastAsia="仿宋_GB2312"/>
        </w:rPr>
        <w:t>和田地区维吾尔医医院无下属预算单位，下设</w:t>
      </w:r>
      <w:r>
        <w:rPr>
          <w:rFonts w:hint="eastAsia" w:ascii="仿宋_GB2312" w:hAnsi="仿宋_GB2312" w:eastAsia="仿宋_GB2312"/>
        </w:rPr>
        <w:t>42</w:t>
      </w:r>
      <w:r>
        <w:rPr>
          <w:rFonts w:ascii="仿宋_GB2312" w:hAnsi="仿宋_GB2312" w:eastAsia="仿宋_GB2312"/>
        </w:rPr>
        <w:t>个科室，分别是：心病科、脑病科、妇科、</w:t>
      </w:r>
      <w:r>
        <w:rPr>
          <w:rFonts w:hint="eastAsia" w:ascii="仿宋_GB2312" w:hAnsi="仿宋_GB2312" w:eastAsia="仿宋_GB2312"/>
        </w:rPr>
        <w:t>肛肠科、</w:t>
      </w:r>
      <w:r>
        <w:rPr>
          <w:rFonts w:ascii="仿宋_GB2312" w:hAnsi="仿宋_GB2312" w:eastAsia="仿宋_GB2312"/>
        </w:rPr>
        <w:t>肺病科、肾病</w:t>
      </w:r>
      <w:r>
        <w:rPr>
          <w:rFonts w:hint="eastAsia" w:ascii="仿宋_GB2312" w:hAnsi="仿宋_GB2312" w:eastAsia="仿宋_GB2312"/>
        </w:rPr>
        <w:t>糖尿病</w:t>
      </w:r>
      <w:r>
        <w:rPr>
          <w:rFonts w:ascii="仿宋_GB2312" w:hAnsi="仿宋_GB2312" w:eastAsia="仿宋_GB2312"/>
        </w:rPr>
        <w:t>科、急诊科、骨伤科、</w:t>
      </w:r>
      <w:r>
        <w:rPr>
          <w:rFonts w:hint="eastAsia" w:ascii="仿宋_GB2312" w:hAnsi="仿宋_GB2312" w:eastAsia="仿宋_GB2312"/>
        </w:rPr>
        <w:t>骨病科、</w:t>
      </w:r>
      <w:r>
        <w:rPr>
          <w:rFonts w:ascii="仿宋_GB2312" w:hAnsi="仿宋_GB2312" w:eastAsia="仿宋_GB2312"/>
        </w:rPr>
        <w:t>肿瘤科、血液病科、皮肤科、肝胆脾胃科、康复科、</w:t>
      </w:r>
      <w:r>
        <w:rPr>
          <w:rFonts w:hint="eastAsia" w:ascii="仿宋_GB2312" w:hAnsi="仿宋_GB2312" w:eastAsia="仿宋_GB2312"/>
        </w:rPr>
        <w:t>重症医学科</w:t>
      </w:r>
      <w:r>
        <w:rPr>
          <w:rFonts w:ascii="仿宋_GB2312" w:hAnsi="仿宋_GB2312" w:eastAsia="仿宋_GB2312"/>
        </w:rPr>
        <w:t>、普外科、</w:t>
      </w:r>
      <w:r>
        <w:rPr>
          <w:rFonts w:hint="eastAsia" w:ascii="仿宋_GB2312" w:hAnsi="仿宋_GB2312" w:eastAsia="仿宋_GB2312"/>
        </w:rPr>
        <w:t>干保</w:t>
      </w:r>
      <w:r>
        <w:rPr>
          <w:rFonts w:ascii="仿宋_GB2312" w:hAnsi="仿宋_GB2312" w:eastAsia="仿宋_GB2312"/>
        </w:rPr>
        <w:t>科、</w:t>
      </w:r>
      <w:r>
        <w:rPr>
          <w:rFonts w:hint="eastAsia" w:ascii="仿宋_GB2312" w:hAnsi="仿宋_GB2312" w:eastAsia="仿宋_GB2312"/>
        </w:rPr>
        <w:t>儿</w:t>
      </w:r>
      <w:r>
        <w:rPr>
          <w:rFonts w:ascii="仿宋_GB2312" w:hAnsi="仿宋_GB2312" w:eastAsia="仿宋_GB2312"/>
        </w:rPr>
        <w:t>科、</w:t>
      </w:r>
      <w:r>
        <w:rPr>
          <w:rFonts w:hint="eastAsia" w:ascii="仿宋_GB2312" w:hAnsi="仿宋_GB2312" w:eastAsia="仿宋_GB2312"/>
        </w:rPr>
        <w:t>耳鼻咽喉科、产科、老年病科</w:t>
      </w:r>
      <w:r>
        <w:rPr>
          <w:rFonts w:ascii="仿宋_GB2312" w:hAnsi="仿宋_GB2312" w:eastAsia="仿宋_GB2312"/>
        </w:rPr>
        <w:t>、针灸推拿科、手术麻醉科、影像科、放射科、检验科、门诊、制剂室、煎药科、中心药房、</w:t>
      </w:r>
      <w:r>
        <w:rPr>
          <w:rFonts w:hint="eastAsia" w:ascii="仿宋_GB2312" w:hAnsi="仿宋_GB2312" w:eastAsia="仿宋_GB2312"/>
        </w:rPr>
        <w:t>输血科、</w:t>
      </w:r>
      <w:r>
        <w:rPr>
          <w:rFonts w:ascii="仿宋_GB2312" w:hAnsi="仿宋_GB2312" w:eastAsia="仿宋_GB2312"/>
        </w:rPr>
        <w:t>治未病科、病案信息科、</w:t>
      </w:r>
      <w:r>
        <w:rPr>
          <w:rFonts w:hint="eastAsia" w:ascii="仿宋_GB2312" w:hAnsi="仿宋_GB2312" w:eastAsia="仿宋_GB2312"/>
        </w:rPr>
        <w:t>病理科、</w:t>
      </w:r>
      <w:r>
        <w:rPr>
          <w:rFonts w:ascii="仿宋_GB2312" w:hAnsi="仿宋_GB2312" w:eastAsia="仿宋_GB2312"/>
        </w:rPr>
        <w:t>医务科、总务科、财务科、党政</w:t>
      </w:r>
      <w:r>
        <w:rPr>
          <w:rFonts w:hint="eastAsia" w:ascii="仿宋_GB2312" w:hAnsi="仿宋_GB2312" w:eastAsia="仿宋_GB2312"/>
        </w:rPr>
        <w:t>办公室</w:t>
      </w:r>
      <w:r>
        <w:rPr>
          <w:rFonts w:ascii="仿宋_GB2312" w:hAnsi="仿宋_GB2312" w:eastAsia="仿宋_GB2312"/>
        </w:rPr>
        <w:t>、</w:t>
      </w:r>
      <w:r>
        <w:rPr>
          <w:rFonts w:hint="eastAsia" w:ascii="仿宋_GB2312" w:hAnsi="仿宋_GB2312" w:eastAsia="仿宋_GB2312"/>
        </w:rPr>
        <w:t>科教科</w:t>
      </w:r>
      <w:r>
        <w:rPr>
          <w:rFonts w:ascii="仿宋_GB2312" w:hAnsi="仿宋_GB2312" w:eastAsia="仿宋_GB2312"/>
        </w:rPr>
        <w:t>、保卫科、</w:t>
      </w:r>
      <w:r>
        <w:rPr>
          <w:rFonts w:hint="eastAsia" w:ascii="仿宋_GB2312" w:hAnsi="仿宋_GB2312" w:eastAsia="仿宋_GB2312"/>
        </w:rPr>
        <w:t>组织</w:t>
      </w:r>
      <w:r>
        <w:rPr>
          <w:rFonts w:ascii="仿宋_GB2312" w:hAnsi="仿宋_GB2312" w:eastAsia="仿宋_GB2312"/>
        </w:rPr>
        <w:t>人事科、公共卫生科。</w:t>
      </w:r>
    </w:p>
    <w:p>
      <w:pPr>
        <w:jc w:val="center"/>
      </w:pPr>
      <w:r>
        <w:rPr>
          <w:color w:val="FF0000"/>
        </w:rPr>
        <w:br w:type="page"/>
      </w:r>
      <w:r>
        <w:rPr>
          <w:rFonts w:ascii="黑体" w:hAnsi="黑体" w:eastAsia="黑体"/>
        </w:rPr>
        <w:t>第二部分 部门决算情况说明</w:t>
      </w:r>
    </w:p>
    <w:p>
      <w:pPr>
        <w:spacing w:line="640" w:lineRule="exact"/>
        <w:ind w:firstLine="640"/>
        <w:outlineLvl w:val="2"/>
      </w:pPr>
      <w:r>
        <w:rPr>
          <w:rFonts w:ascii="黑体" w:hAnsi="黑体" w:eastAsia="黑体"/>
        </w:rPr>
        <w:t>一、收入支出决算总体情况说明</w:t>
      </w:r>
    </w:p>
    <w:p>
      <w:pPr>
        <w:spacing w:line="580" w:lineRule="exact"/>
        <w:ind w:firstLine="640"/>
      </w:pPr>
      <w:r>
        <w:rPr>
          <w:rFonts w:ascii="仿宋_GB2312" w:hAnsi="仿宋_GB2312" w:eastAsia="仿宋_GB2312"/>
          <w:b/>
        </w:rPr>
        <w:t>2024年度收入总计21,807.19万元，</w:t>
      </w:r>
      <w:r>
        <w:rPr>
          <w:rFonts w:ascii="仿宋_GB2312" w:hAnsi="仿宋_GB2312" w:eastAsia="仿宋_GB2312"/>
        </w:rPr>
        <w:t>其中：本年收入合计20,073.96万元，使用非财政拨款结余（含专用结余）1,696.15万元，年初结转和结余37.09万元。</w:t>
      </w:r>
    </w:p>
    <w:p>
      <w:pPr>
        <w:spacing w:line="580" w:lineRule="exact"/>
        <w:ind w:firstLine="640"/>
      </w:pPr>
      <w:r>
        <w:rPr>
          <w:rFonts w:ascii="仿宋_GB2312" w:hAnsi="仿宋_GB2312" w:eastAsia="仿宋_GB2312"/>
          <w:b/>
        </w:rPr>
        <w:t>2024年度支出总计21,807.19万元，</w:t>
      </w:r>
      <w:r>
        <w:rPr>
          <w:rFonts w:ascii="仿宋_GB2312" w:hAnsi="仿宋_GB2312" w:eastAsia="仿宋_GB2312"/>
        </w:rPr>
        <w:t>其中：本年支出合计21,793.30万元，结余分配0.00万元，年末结转和结余13.89万元。</w:t>
      </w:r>
    </w:p>
    <w:p>
      <w:pPr>
        <w:spacing w:line="580" w:lineRule="exact"/>
        <w:ind w:firstLine="640"/>
      </w:pPr>
      <w:r>
        <w:rPr>
          <w:rFonts w:ascii="仿宋_GB2312" w:hAnsi="仿宋_GB2312" w:eastAsia="仿宋_GB2312"/>
        </w:rPr>
        <w:t>收入支出总体与上年相比，减少739.53万元，下降3.28%，主要原因是：本年未安排中医药传承创新重点中医院建设项目资金、中药饮片采购补助资金等，导致经费较上年减少。</w:t>
      </w:r>
    </w:p>
    <w:p>
      <w:pPr>
        <w:spacing w:line="640" w:lineRule="exact"/>
        <w:ind w:firstLine="640"/>
        <w:outlineLvl w:val="2"/>
      </w:pPr>
      <w:r>
        <w:rPr>
          <w:rFonts w:ascii="黑体" w:hAnsi="黑体" w:eastAsia="黑体"/>
        </w:rPr>
        <w:t>二、收入决算情况说明</w:t>
      </w:r>
    </w:p>
    <w:p>
      <w:pPr>
        <w:spacing w:line="580" w:lineRule="exact"/>
        <w:ind w:firstLine="640"/>
      </w:pPr>
      <w:r>
        <w:rPr>
          <w:rFonts w:ascii="仿宋_GB2312" w:hAnsi="仿宋_GB2312" w:eastAsia="仿宋_GB2312"/>
          <w:b/>
        </w:rPr>
        <w:t>本年收入20,073.96万元，</w:t>
      </w:r>
      <w:r>
        <w:rPr>
          <w:rFonts w:ascii="仿宋_GB2312" w:hAnsi="仿宋_GB2312" w:eastAsia="仿宋_GB2312"/>
        </w:rPr>
        <w:t>其中：财政拨款收入4,412.75万元，占21.98%；上级补助收入0.00万元，占0.00%；事业收入15,625.10万元，占77.84%；经营收入0.00万元，占0.00%；附属单位上缴收入0.00万元，占0.00%；其他收入36.11万元，占0.18%。</w:t>
      </w:r>
    </w:p>
    <w:p>
      <w:pPr>
        <w:spacing w:line="640" w:lineRule="exact"/>
        <w:ind w:firstLine="640"/>
        <w:outlineLvl w:val="2"/>
      </w:pPr>
      <w:r>
        <w:rPr>
          <w:rFonts w:ascii="黑体" w:hAnsi="黑体" w:eastAsia="黑体"/>
        </w:rPr>
        <w:t>三、支出决算情况说明</w:t>
      </w:r>
    </w:p>
    <w:p>
      <w:pPr>
        <w:spacing w:line="580" w:lineRule="exact"/>
        <w:ind w:firstLine="640"/>
      </w:pPr>
      <w:r>
        <w:rPr>
          <w:rFonts w:ascii="仿宋_GB2312" w:hAnsi="仿宋_GB2312" w:eastAsia="仿宋_GB2312"/>
          <w:b/>
        </w:rPr>
        <w:t>本年支出21,793.30万元，</w:t>
      </w:r>
      <w:r>
        <w:rPr>
          <w:rFonts w:ascii="仿宋_GB2312" w:hAnsi="仿宋_GB2312" w:eastAsia="仿宋_GB2312"/>
        </w:rPr>
        <w:t>其中：基本支出5,674.32万元，占26.04%；项目支出16,118.98万元，占73.96%；上缴上级支出0.00万元，占0.00%；经营支出0.00万元，占0.00%；对附属单位补助支出0.00万元，占0.00%。</w:t>
      </w:r>
    </w:p>
    <w:p>
      <w:pPr>
        <w:spacing w:line="640" w:lineRule="exact"/>
        <w:ind w:firstLine="640"/>
        <w:outlineLvl w:val="2"/>
      </w:pPr>
      <w:r>
        <w:rPr>
          <w:rFonts w:ascii="黑体" w:hAnsi="黑体" w:eastAsia="黑体"/>
        </w:rPr>
        <w:t>四、财政拨款收入支出决算总体情况说明</w:t>
      </w:r>
    </w:p>
    <w:p>
      <w:pPr>
        <w:spacing w:line="580" w:lineRule="exact"/>
        <w:ind w:firstLine="640"/>
      </w:pPr>
      <w:r>
        <w:rPr>
          <w:rFonts w:ascii="仿宋_GB2312" w:hAnsi="仿宋_GB2312" w:eastAsia="仿宋_GB2312"/>
          <w:b/>
        </w:rPr>
        <w:t>2024年度财政拨款收入总计4,412.75万元，</w:t>
      </w:r>
      <w:r>
        <w:rPr>
          <w:rFonts w:ascii="仿宋_GB2312" w:hAnsi="仿宋_GB2312" w:eastAsia="仿宋_GB2312"/>
        </w:rPr>
        <w:t>其中：年初财政拨款结转和结余0.00万元，本年财政拨款收入4,412.75万元。</w:t>
      </w:r>
      <w:r>
        <w:rPr>
          <w:rFonts w:ascii="仿宋_GB2312" w:hAnsi="仿宋_GB2312" w:eastAsia="仿宋_GB2312"/>
          <w:b/>
        </w:rPr>
        <w:t>财政拨款支出总计4,412.75万元，</w:t>
      </w:r>
      <w:r>
        <w:rPr>
          <w:rFonts w:ascii="仿宋_GB2312" w:hAnsi="仿宋_GB2312" w:eastAsia="仿宋_GB2312"/>
        </w:rPr>
        <w:t>其中：年末财政拨款结转和结余0.00万元，本年财政拨款支出4,412.75万元。</w:t>
      </w:r>
    </w:p>
    <w:p>
      <w:pPr>
        <w:spacing w:line="580" w:lineRule="exact"/>
        <w:ind w:firstLine="640"/>
      </w:pPr>
      <w:r>
        <w:rPr>
          <w:rFonts w:ascii="仿宋_GB2312" w:hAnsi="仿宋_GB2312" w:eastAsia="仿宋_GB2312"/>
          <w:b/>
        </w:rPr>
        <w:t>财政拨款收入支出总体与上年相比，</w:t>
      </w:r>
      <w:r>
        <w:rPr>
          <w:rFonts w:ascii="仿宋_GB2312" w:hAnsi="仿宋_GB2312" w:eastAsia="仿宋_GB2312"/>
        </w:rPr>
        <w:t>减少2,064.16万元，下降31.87%，主要原因是：本年未安排中医药传承创新重点中医院建设项目资金、中药饮片采购补助资金、应急救援队检测储备实验室建设项目、一线工作人员临时性工作补助项目资金，导致经费较上年减少。</w:t>
      </w:r>
      <w:r>
        <w:rPr>
          <w:rFonts w:ascii="仿宋_GB2312" w:hAnsi="仿宋_GB2312" w:eastAsia="仿宋_GB2312"/>
          <w:b/>
        </w:rPr>
        <w:t>与年初预算相比，</w:t>
      </w:r>
      <w:r>
        <w:rPr>
          <w:rFonts w:ascii="仿宋_GB2312" w:hAnsi="仿宋_GB2312" w:eastAsia="仿宋_GB2312"/>
        </w:rPr>
        <w:t>年初预算数4,329.14万元，决算数4,412.75万元，预决算差异率1.93%，主要原因是：年中追加国家中医优势专科建设项目、自治区中医优势专科建设项目；本年在职人员增加，年中追加人员经费及人员工资、社保、公积金基数调增部分资金，导致预决算存在差异。</w:t>
      </w:r>
    </w:p>
    <w:p>
      <w:pPr>
        <w:spacing w:line="640" w:lineRule="exact"/>
        <w:ind w:firstLine="640"/>
        <w:outlineLvl w:val="2"/>
      </w:pPr>
      <w:r>
        <w:rPr>
          <w:rFonts w:ascii="黑体" w:hAnsi="黑体" w:eastAsia="黑体"/>
        </w:rPr>
        <w:t>五、一般公共预算财政拨款支出决算情况说明</w:t>
      </w:r>
    </w:p>
    <w:p>
      <w:pPr>
        <w:spacing w:line="640" w:lineRule="exact"/>
        <w:ind w:firstLine="640"/>
        <w:outlineLvl w:val="3"/>
        <w:rPr>
          <w:bCs/>
        </w:rPr>
      </w:pPr>
      <w:r>
        <w:rPr>
          <w:rFonts w:ascii="楷体_GB2312" w:hAnsi="楷体_GB2312" w:eastAsia="楷体_GB2312"/>
          <w:bCs/>
        </w:rPr>
        <w:t>（一）一般公共预算财政拨款支出决算总体情况</w:t>
      </w:r>
    </w:p>
    <w:p>
      <w:pPr>
        <w:spacing w:line="580" w:lineRule="exact"/>
        <w:ind w:firstLine="640"/>
      </w:pPr>
      <w:r>
        <w:rPr>
          <w:rFonts w:hint="eastAsia" w:ascii="仿宋_GB2312" w:hAnsi="仿宋_GB2312" w:eastAsia="仿宋_GB2312" w:cs="仿宋_GB2312"/>
          <w:bCs/>
        </w:rPr>
        <w:t>2024年度一般公共预算财政拨款支出4,412.75万元，占本年支出合计的20.25%。与上年相比，减少2,064.16万元，下降31.87%，主要原因是：本年未安排中医药传承创新重点中医院建设项目资金、中药饮片采购补助资金、应急救援队检测储备实验室建设项目、一线工作人员临时性工作补助项目资金，导致经费较上年减少。与年初预算相比,年初预算数4,329.14万元，决算数4,412.75万元，预决算差异率1.93%，主要原因是：年中追加国家中医优势专科建设项目、自治区中医优势专科建设项目；本年在职人员增加，年中追加人员经费及人员工资、社保、公积金基数调增部分资金，导致预决算存在差异。</w:t>
      </w:r>
    </w:p>
    <w:p>
      <w:pPr>
        <w:spacing w:line="640" w:lineRule="exact"/>
        <w:ind w:firstLine="640"/>
        <w:outlineLvl w:val="3"/>
        <w:rPr>
          <w:bCs/>
        </w:rPr>
      </w:pPr>
      <w:r>
        <w:rPr>
          <w:rFonts w:ascii="楷体_GB2312" w:hAnsi="楷体_GB2312" w:eastAsia="楷体_GB2312"/>
          <w:bCs/>
        </w:rPr>
        <w:t>（二）一般公共预算财政拨款支出决算结构情况</w:t>
      </w:r>
    </w:p>
    <w:p>
      <w:pPr>
        <w:spacing w:line="580" w:lineRule="exact"/>
        <w:ind w:firstLine="640"/>
      </w:pPr>
      <w:r>
        <w:rPr>
          <w:rFonts w:ascii="仿宋_GB2312" w:hAnsi="仿宋_GB2312" w:eastAsia="仿宋_GB2312"/>
        </w:rPr>
        <w:t>1.一般公共服务支出(类)26.40万元,占0.60%。</w:t>
      </w:r>
    </w:p>
    <w:p>
      <w:pPr>
        <w:spacing w:line="580" w:lineRule="exact"/>
        <w:ind w:firstLine="640"/>
      </w:pPr>
      <w:r>
        <w:rPr>
          <w:rFonts w:ascii="仿宋_GB2312" w:hAnsi="仿宋_GB2312" w:eastAsia="仿宋_GB2312"/>
        </w:rPr>
        <w:t>2.文化旅游体育与传媒支出(类)2.00万元,占0.05%。</w:t>
      </w:r>
    </w:p>
    <w:p>
      <w:pPr>
        <w:spacing w:line="580" w:lineRule="exact"/>
        <w:ind w:firstLine="640"/>
      </w:pPr>
      <w:r>
        <w:rPr>
          <w:rFonts w:ascii="仿宋_GB2312" w:hAnsi="仿宋_GB2312" w:eastAsia="仿宋_GB2312"/>
        </w:rPr>
        <w:t>3.社会保障和就业支出(类)123.07万元,占2.79%。</w:t>
      </w:r>
    </w:p>
    <w:p>
      <w:pPr>
        <w:spacing w:line="580" w:lineRule="exact"/>
        <w:ind w:firstLine="640"/>
      </w:pPr>
      <w:r>
        <w:rPr>
          <w:rFonts w:ascii="仿宋_GB2312" w:hAnsi="仿宋_GB2312" w:eastAsia="仿宋_GB2312"/>
        </w:rPr>
        <w:t>4.卫生健康支出(类)4,222.34万元,占95.69%。</w:t>
      </w:r>
    </w:p>
    <w:p>
      <w:pPr>
        <w:spacing w:line="580" w:lineRule="exact"/>
        <w:ind w:firstLine="640"/>
      </w:pPr>
      <w:r>
        <w:rPr>
          <w:rFonts w:ascii="仿宋_GB2312" w:hAnsi="仿宋_GB2312" w:eastAsia="仿宋_GB2312"/>
        </w:rPr>
        <w:t>5.其他支出(类)38.94万元,占0.88%。</w:t>
      </w:r>
    </w:p>
    <w:p>
      <w:pPr>
        <w:spacing w:line="640" w:lineRule="exact"/>
        <w:ind w:firstLine="640"/>
        <w:outlineLvl w:val="3"/>
        <w:rPr>
          <w:rFonts w:ascii="楷体_GB2312" w:hAnsi="楷体_GB2312" w:eastAsia="楷体_GB2312"/>
          <w:bCs/>
        </w:rPr>
      </w:pPr>
      <w:r>
        <w:rPr>
          <w:rFonts w:ascii="楷体_GB2312" w:hAnsi="楷体_GB2312" w:eastAsia="楷体_GB2312"/>
          <w:bCs/>
        </w:rPr>
        <w:t>（三）一般公共预算财政拨款支出决算具体情况</w:t>
      </w:r>
    </w:p>
    <w:p>
      <w:pPr>
        <w:spacing w:line="580" w:lineRule="exact"/>
        <w:ind w:firstLine="640"/>
      </w:pPr>
      <w:r>
        <w:rPr>
          <w:rFonts w:ascii="仿宋_GB2312" w:hAnsi="仿宋_GB2312" w:eastAsia="仿宋_GB2312"/>
        </w:rPr>
        <w:t>1.一般公共服务支出(类)发展与改革事务(款)其他发展与改革事务支出(项):支出决算数为26.40万元，比上年决算增加26.40万元，增长100.00%,主要原因是：本年新增区域中医诊疗中心建设项目资金，导致经费较上年增加。</w:t>
      </w:r>
    </w:p>
    <w:p>
      <w:pPr>
        <w:spacing w:line="580" w:lineRule="exact"/>
        <w:ind w:firstLine="640"/>
      </w:pPr>
      <w:r>
        <w:rPr>
          <w:rFonts w:ascii="仿宋_GB2312" w:hAnsi="仿宋_GB2312" w:eastAsia="仿宋_GB2312"/>
        </w:rPr>
        <w:t>2.文化旅游体育与传媒支出(类)文化和旅游(款)文化创作与保护(项):支出决算数为2.00万元，比上年决算增加2.00万元，增长100.00%,主要原因是：本年新增国家级非遗代表性传承人补助项目资金，导致经费较上年增加。</w:t>
      </w:r>
    </w:p>
    <w:p>
      <w:pPr>
        <w:spacing w:line="580" w:lineRule="exact"/>
        <w:ind w:firstLine="640"/>
      </w:pPr>
      <w:r>
        <w:rPr>
          <w:rFonts w:ascii="仿宋_GB2312" w:hAnsi="仿宋_GB2312" w:eastAsia="仿宋_GB2312"/>
        </w:rPr>
        <w:t>3.社会保障和就业支出(类)行政事业单位养老支出(款)事业单位离退休(项):支出决算数为123.07万元，比上年决算增加123.07万元，增长100.00%,主要原因是：本年功能科目调整，事业单位离退休上年度在主科目列支，本年单独列支，导致经费较上年增加。</w:t>
      </w:r>
    </w:p>
    <w:p>
      <w:pPr>
        <w:spacing w:line="580" w:lineRule="exact"/>
        <w:ind w:firstLine="640"/>
      </w:pPr>
      <w:r>
        <w:rPr>
          <w:rFonts w:ascii="仿宋_GB2312" w:hAnsi="仿宋_GB2312" w:eastAsia="仿宋_GB2312"/>
        </w:rPr>
        <w:t>4.卫生健康支出(类)卫生健康管理事务(款)其他卫生健康管理事务支出(项):支出决算数为134.97万元，比上年决算增加101.49万元，增长303.14%,主要原因是：本年增加助理全科医生规范化培训项目、中药涂油治疗寒性咳嗽技术推广项目资金、住院医师规范化培训项目资金，导致经费较上年增加。</w:t>
      </w:r>
    </w:p>
    <w:p>
      <w:pPr>
        <w:spacing w:line="580" w:lineRule="exact"/>
        <w:ind w:firstLine="640"/>
      </w:pPr>
      <w:r>
        <w:rPr>
          <w:rFonts w:ascii="仿宋_GB2312" w:hAnsi="仿宋_GB2312" w:eastAsia="仿宋_GB2312"/>
        </w:rPr>
        <w:t>5.卫生健康支出(类)公立医院(款)中医（民族）医院(项):支出决算数为3,961.67万元，比上年决算减少1,473.44万元，下降27.11%,主要原因是：本年减少中医药传承创新重点中医院建设项目资金，导致经费较上年减少。</w:t>
      </w:r>
    </w:p>
    <w:p>
      <w:pPr>
        <w:spacing w:line="580" w:lineRule="exact"/>
        <w:ind w:firstLine="640"/>
      </w:pPr>
      <w:r>
        <w:rPr>
          <w:rFonts w:ascii="仿宋_GB2312" w:hAnsi="仿宋_GB2312" w:eastAsia="仿宋_GB2312"/>
        </w:rPr>
        <w:t>6.卫生健康支出(类)公立医院(款)其他公立医院支出(项):支出决算数为22.79万元，比上年决算增加5.19万元，增长29.49%,主要原因是：本年增加公立医院综合改革补助项目资金，导致经费较上年增加。</w:t>
      </w:r>
    </w:p>
    <w:p>
      <w:pPr>
        <w:spacing w:line="580" w:lineRule="exact"/>
        <w:ind w:firstLine="640"/>
      </w:pPr>
      <w:r>
        <w:rPr>
          <w:rFonts w:ascii="仿宋_GB2312" w:hAnsi="仿宋_GB2312" w:eastAsia="仿宋_GB2312"/>
        </w:rPr>
        <w:t>7.卫生健康支出(类)公共卫生(款)重大公共卫生服务(项):支出决算数为0.50万元，比上年决算增加0.50万元，增长100.00%,主要原因是：本年安排食品安全保障项目资金，导致经费较上年</w:t>
      </w:r>
      <w:r>
        <w:rPr>
          <w:rFonts w:hint="eastAsia" w:ascii="仿宋_GB2312" w:hAnsi="仿宋_GB2312" w:eastAsia="仿宋_GB2312"/>
        </w:rPr>
        <w:t>增加</w:t>
      </w:r>
      <w:r>
        <w:rPr>
          <w:rFonts w:ascii="仿宋_GB2312" w:hAnsi="仿宋_GB2312" w:eastAsia="仿宋_GB2312"/>
        </w:rPr>
        <w:t>。</w:t>
      </w:r>
    </w:p>
    <w:p>
      <w:pPr>
        <w:spacing w:line="580" w:lineRule="exact"/>
        <w:ind w:firstLine="640"/>
      </w:pPr>
      <w:r>
        <w:rPr>
          <w:rFonts w:ascii="仿宋_GB2312" w:hAnsi="仿宋_GB2312" w:eastAsia="仿宋_GB2312"/>
        </w:rPr>
        <w:t>8.卫生健康支出(类)公共卫生(款)突发公共卫生事件应急处理(项):支出决算数为0.00万元，比上年决算减少877.02万元，下降100.00%,主要原因是：本年未安排中药饮片采购补助项目、应急救援队检测储备实验室建设项目、一线工作人员临时性工作补助项目资金等，导致经费较上年减少。</w:t>
      </w:r>
    </w:p>
    <w:p>
      <w:pPr>
        <w:spacing w:line="580" w:lineRule="exact"/>
        <w:ind w:firstLine="640"/>
      </w:pPr>
      <w:r>
        <w:rPr>
          <w:rFonts w:ascii="仿宋_GB2312" w:hAnsi="仿宋_GB2312" w:eastAsia="仿宋_GB2312"/>
        </w:rPr>
        <w:t>9.卫生健康支出(类)公共卫生(款)其他公共卫生支出(项):支出决算数为0.00万元，比上年决算减少70.35万元，下降100.00%,主要原因是：本年未安排住院医师规范化培训项目、国家中医优势专科建设项目资金，导致经费较上年减少。</w:t>
      </w:r>
    </w:p>
    <w:p>
      <w:pPr>
        <w:spacing w:line="580" w:lineRule="exact"/>
        <w:ind w:firstLine="640"/>
      </w:pPr>
      <w:r>
        <w:rPr>
          <w:rFonts w:ascii="仿宋_GB2312" w:hAnsi="仿宋_GB2312" w:eastAsia="仿宋_GB2312"/>
        </w:rPr>
        <w:t>10.卫生健康支出(类)中医药(款)中医（民族医）药专项(项):支出决算数为0.00万元，比上年决算减少27.98万元，下降100.00%,主要原因是：本年未安排住院医师规范化培训项目、自治区中医临床重点专科建设项目资金，导致经费较上年减少。</w:t>
      </w:r>
    </w:p>
    <w:p>
      <w:pPr>
        <w:spacing w:line="580" w:lineRule="exact"/>
        <w:ind w:firstLine="640"/>
      </w:pPr>
      <w:r>
        <w:rPr>
          <w:rFonts w:ascii="仿宋_GB2312" w:hAnsi="仿宋_GB2312" w:eastAsia="仿宋_GB2312"/>
        </w:rPr>
        <w:t>11.卫生健康支出(类)中医药事务(款)行政运行(项):支出决算数为2.02万元，比上年决算增加2.02万元，增长100.00%,主要原因是：本年新增培训项目，导致经费较上年增加。</w:t>
      </w:r>
    </w:p>
    <w:p>
      <w:pPr>
        <w:spacing w:line="580" w:lineRule="exact"/>
        <w:ind w:firstLine="640"/>
      </w:pPr>
      <w:r>
        <w:rPr>
          <w:rFonts w:ascii="仿宋_GB2312" w:hAnsi="仿宋_GB2312" w:eastAsia="仿宋_GB2312"/>
        </w:rPr>
        <w:t>12.卫生健康支出(类)中医药事务(款)中医（民族医）药专项(项):支出决算数为100.40万元，比上年决算增加100.40万元，增长100.00%,主要原因是：本年增加自治区中医优势专科建设、卓越中医药骨干师资培养、国家中医优势专科建设等项目资金，导致经费较上年增加。</w:t>
      </w:r>
    </w:p>
    <w:p>
      <w:pPr>
        <w:spacing w:line="580" w:lineRule="exact"/>
        <w:ind w:firstLine="640"/>
      </w:pPr>
      <w:r>
        <w:rPr>
          <w:rFonts w:ascii="仿宋_GB2312" w:hAnsi="仿宋_GB2312" w:eastAsia="仿宋_GB2312"/>
        </w:rPr>
        <w:t>13.其他支出(类)其他支出(款)其他支出(项):支出决算数为38.94万元，比上年决算增加23.57万元，增长153.35%,主要原因是：本年增加为民办实事工作经费项目资金，导致经费较上年增加。</w:t>
      </w:r>
    </w:p>
    <w:p>
      <w:pPr>
        <w:spacing w:line="640" w:lineRule="exact"/>
        <w:ind w:firstLine="640"/>
        <w:outlineLvl w:val="2"/>
      </w:pPr>
      <w:r>
        <w:rPr>
          <w:rFonts w:ascii="黑体" w:hAnsi="黑体" w:eastAsia="黑体"/>
        </w:rPr>
        <w:t>六、一般公共预算财政拨款基本支出决算情况说明</w:t>
      </w:r>
    </w:p>
    <w:p>
      <w:pPr>
        <w:spacing w:line="580" w:lineRule="exact"/>
        <w:ind w:firstLine="640"/>
        <w:rPr>
          <w:rFonts w:ascii="仿宋_GB2312" w:hAnsi="仿宋_GB2312" w:eastAsia="仿宋_GB2312" w:cs="仿宋_GB2312"/>
        </w:rPr>
      </w:pPr>
      <w:r>
        <w:rPr>
          <w:rFonts w:hint="eastAsia" w:ascii="仿宋_GB2312" w:hAnsi="仿宋_GB2312" w:eastAsia="仿宋_GB2312" w:cs="仿宋_GB2312"/>
        </w:rPr>
        <w:t>2024年度一般公共预算财政拨款基本支出4,040.43万元，其中：人员经费4,038.41万元，包括：基本工资、津贴补贴、奖金、绩效工资、退休费、抚恤金、奖励金。</w:t>
      </w:r>
    </w:p>
    <w:p>
      <w:pPr>
        <w:spacing w:line="580" w:lineRule="exact"/>
        <w:ind w:firstLine="640"/>
        <w:rPr>
          <w:rFonts w:ascii="仿宋_GB2312" w:hAnsi="仿宋_GB2312" w:eastAsia="仿宋_GB2312" w:cs="仿宋_GB2312"/>
        </w:rPr>
      </w:pPr>
      <w:r>
        <w:rPr>
          <w:rFonts w:hint="eastAsia" w:ascii="仿宋_GB2312" w:hAnsi="仿宋_GB2312" w:eastAsia="仿宋_GB2312" w:cs="仿宋_GB2312"/>
        </w:rPr>
        <w:t>公用经费2.02万元，包括：培训费。</w:t>
      </w:r>
    </w:p>
    <w:p>
      <w:pPr>
        <w:spacing w:line="640" w:lineRule="exact"/>
        <w:ind w:firstLine="640"/>
        <w:outlineLvl w:val="2"/>
      </w:pPr>
      <w:r>
        <w:rPr>
          <w:rFonts w:ascii="黑体" w:hAnsi="黑体" w:eastAsia="黑体"/>
        </w:rPr>
        <w:t>七、政府性基金预算财政拨款收入支出决算情况说明</w:t>
      </w:r>
    </w:p>
    <w:p>
      <w:pPr>
        <w:spacing w:line="580" w:lineRule="exact"/>
        <w:ind w:firstLine="640"/>
      </w:pPr>
      <w:r>
        <w:rPr>
          <w:rFonts w:ascii="仿宋_GB2312" w:hAnsi="仿宋_GB2312" w:eastAsia="仿宋_GB2312"/>
        </w:rPr>
        <w:t>本单位本年度无政府性基金预算财政拨款收入、支出及结转和结余，政府性基金预算财政拨款收入支出决算表为空表。</w:t>
      </w:r>
    </w:p>
    <w:p>
      <w:pPr>
        <w:spacing w:line="640" w:lineRule="exact"/>
        <w:ind w:firstLine="640"/>
        <w:outlineLvl w:val="2"/>
      </w:pPr>
      <w:r>
        <w:rPr>
          <w:rFonts w:ascii="黑体" w:hAnsi="黑体" w:eastAsia="黑体"/>
        </w:rPr>
        <w:t>八、国有资本经营预算财政拨款收入支出决算情况说明</w:t>
      </w:r>
    </w:p>
    <w:p>
      <w:pPr>
        <w:spacing w:line="580" w:lineRule="exact"/>
        <w:ind w:firstLine="640"/>
      </w:pPr>
      <w:r>
        <w:rPr>
          <w:rFonts w:ascii="仿宋_GB2312" w:hAnsi="仿宋_GB2312" w:eastAsia="仿宋_GB2312"/>
        </w:rPr>
        <w:t>本单位本年度无国有资本经营预算财政拨款收入、支出及结转和结余，国有资本经营预算财政拨款收入支出决算表为空表。</w:t>
      </w:r>
    </w:p>
    <w:p>
      <w:pPr>
        <w:spacing w:line="640" w:lineRule="exact"/>
        <w:ind w:firstLine="640"/>
        <w:outlineLvl w:val="2"/>
      </w:pPr>
      <w:r>
        <w:rPr>
          <w:rFonts w:ascii="黑体" w:hAnsi="黑体" w:eastAsia="黑体"/>
        </w:rPr>
        <w:t>九、财政拨款“三公”经费支出决算情况说明</w:t>
      </w:r>
    </w:p>
    <w:p>
      <w:pPr>
        <w:spacing w:line="580" w:lineRule="exact"/>
        <w:ind w:firstLine="640"/>
        <w:rPr>
          <w:rFonts w:ascii="仿宋_GB2312" w:hAnsi="仿宋_GB2312" w:eastAsia="仿宋_GB2312" w:cs="仿宋_GB2312"/>
          <w:bCs/>
        </w:rPr>
      </w:pPr>
      <w:r>
        <w:rPr>
          <w:rFonts w:hint="eastAsia" w:ascii="仿宋_GB2312" w:hAnsi="仿宋_GB2312" w:eastAsia="仿宋_GB2312" w:cs="仿宋_GB2312"/>
          <w:bCs/>
        </w:rPr>
        <w:t>2024年度财政拨款“三公”经费支出0.00万元，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pPr>
      <w:r>
        <w:rPr>
          <w:rFonts w:ascii="仿宋_GB2312" w:hAnsi="仿宋_GB2312" w:eastAsia="仿宋_GB2312"/>
          <w:b/>
        </w:rPr>
        <w:t>具体情况如下：</w:t>
      </w:r>
    </w:p>
    <w:p>
      <w:pPr>
        <w:spacing w:line="580" w:lineRule="exact"/>
        <w:ind w:firstLine="640"/>
      </w:pPr>
      <w:r>
        <w:rPr>
          <w:rFonts w:ascii="仿宋_GB2312" w:hAnsi="仿宋_GB2312" w:eastAsia="仿宋_GB2312"/>
        </w:rPr>
        <w:t>因公出国（境）费支出0.00万元，开支内容包括本单位无因公出国（境）费。单位全年安排的因公出国（境）团组0个，因公出国（境）0人次。</w:t>
      </w:r>
    </w:p>
    <w:p>
      <w:pPr>
        <w:spacing w:line="580" w:lineRule="exact"/>
        <w:ind w:firstLine="640"/>
      </w:pPr>
      <w:r>
        <w:rPr>
          <w:rFonts w:ascii="仿宋_GB2312" w:hAnsi="仿宋_GB2312" w:eastAsia="仿宋_GB231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6辆，与公务用车保有量差异原因是：单位业务用车，车辆费用未使用财政拨款公务用车运行维护费支付，由单位自筹资金保障。</w:t>
      </w:r>
    </w:p>
    <w:p>
      <w:pPr>
        <w:spacing w:line="580" w:lineRule="exact"/>
        <w:ind w:firstLine="640"/>
      </w:pPr>
      <w:r>
        <w:rPr>
          <w:rFonts w:ascii="仿宋_GB2312" w:hAnsi="仿宋_GB2312" w:eastAsia="仿宋_GB2312"/>
        </w:rPr>
        <w:t>公务接待费0.00万元，开支内容包括本单位无公务接待费。单位全年安排的国内公务接待0批次，0人次。</w:t>
      </w:r>
    </w:p>
    <w:p>
      <w:pPr>
        <w:spacing w:line="580" w:lineRule="exact"/>
        <w:ind w:firstLine="640"/>
      </w:pPr>
      <w:r>
        <w:rPr>
          <w:rFonts w:ascii="仿宋_GB2312" w:hAnsi="仿宋_GB2312" w:eastAsia="仿宋_GB2312"/>
          <w:bCs/>
        </w:rPr>
        <w:t>与全年预算相比，</w:t>
      </w:r>
      <w:r>
        <w:rPr>
          <w:rFonts w:ascii="仿宋_GB2312" w:hAnsi="仿宋_GB2312" w:eastAsia="仿宋_GB231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outlineLvl w:val="2"/>
      </w:pPr>
      <w:r>
        <w:rPr>
          <w:rFonts w:ascii="黑体" w:hAnsi="黑体" w:eastAsia="黑体"/>
        </w:rPr>
        <w:t>十、其他重要事项的情况说明</w:t>
      </w:r>
    </w:p>
    <w:p>
      <w:pPr>
        <w:spacing w:line="640" w:lineRule="exact"/>
        <w:ind w:firstLine="640"/>
        <w:outlineLvl w:val="3"/>
        <w:rPr>
          <w:bCs/>
        </w:rPr>
      </w:pPr>
      <w:r>
        <w:rPr>
          <w:rFonts w:ascii="楷体_GB2312" w:hAnsi="楷体_GB2312" w:eastAsia="楷体_GB2312"/>
          <w:bCs/>
        </w:rPr>
        <w:t>（一）机关运行经费及公用经费支出情况</w:t>
      </w:r>
    </w:p>
    <w:p>
      <w:pPr>
        <w:spacing w:line="580" w:lineRule="exact"/>
        <w:ind w:firstLine="640"/>
      </w:pPr>
      <w:r>
        <w:rPr>
          <w:rFonts w:ascii="仿宋_GB2312" w:hAnsi="仿宋_GB2312" w:eastAsia="仿宋_GB2312"/>
        </w:rPr>
        <w:t>2024年度和田地区维吾尔医医院（事业单位）公用经费支出2.02万元，比上年增加2.02万元，增长100.00%，主要原因是：本年新增培训费，导致公用经费较上年增加。</w:t>
      </w:r>
    </w:p>
    <w:p>
      <w:pPr>
        <w:spacing w:line="640" w:lineRule="exact"/>
        <w:ind w:firstLine="640"/>
        <w:outlineLvl w:val="3"/>
        <w:rPr>
          <w:rFonts w:ascii="楷体_GB2312" w:hAnsi="楷体_GB2312" w:eastAsia="楷体_GB2312"/>
          <w:bCs/>
        </w:rPr>
      </w:pPr>
      <w:r>
        <w:rPr>
          <w:rFonts w:ascii="楷体_GB2312" w:hAnsi="楷体_GB2312" w:eastAsia="楷体_GB2312"/>
          <w:bCs/>
        </w:rPr>
        <w:t>（二）政府采购情况</w:t>
      </w:r>
    </w:p>
    <w:p>
      <w:pPr>
        <w:spacing w:line="580" w:lineRule="exact"/>
        <w:ind w:firstLine="640"/>
      </w:pPr>
      <w:r>
        <w:rPr>
          <w:rFonts w:ascii="仿宋_GB2312" w:hAnsi="仿宋_GB2312" w:eastAsia="仿宋_GB2312"/>
        </w:rPr>
        <w:t>2024年度政府采购支出总额2,413.64万元，其中：政府采购货物支出1,756.99万元、政府采购工程支出159.33万元、政府采购服务支出497.32万元。</w:t>
      </w:r>
    </w:p>
    <w:p>
      <w:pPr>
        <w:spacing w:line="580" w:lineRule="exact"/>
        <w:ind w:firstLine="640"/>
      </w:pPr>
      <w:r>
        <w:rPr>
          <w:rFonts w:ascii="仿宋_GB2312" w:hAnsi="仿宋_GB2312" w:eastAsia="仿宋_GB2312"/>
        </w:rPr>
        <w:t>授予中小企业合同金额2,070.64万元，占政府采购支出总额的85.79%，其中：授予小微企业合同金额1,042.25万元，占政府采购支出总额的43.18%。</w:t>
      </w:r>
    </w:p>
    <w:p>
      <w:pPr>
        <w:spacing w:line="640" w:lineRule="exact"/>
        <w:ind w:firstLine="640"/>
        <w:outlineLvl w:val="3"/>
        <w:rPr>
          <w:rFonts w:ascii="楷体_GB2312" w:hAnsi="楷体_GB2312" w:eastAsia="楷体_GB2312"/>
          <w:bCs/>
        </w:rPr>
      </w:pPr>
      <w:r>
        <w:rPr>
          <w:rFonts w:ascii="楷体_GB2312" w:hAnsi="楷体_GB2312" w:eastAsia="楷体_GB2312"/>
          <w:bCs/>
        </w:rPr>
        <w:t>（三）国有资产占用情况说明</w:t>
      </w:r>
    </w:p>
    <w:p>
      <w:pPr>
        <w:spacing w:line="580" w:lineRule="exact"/>
        <w:ind w:firstLine="640"/>
      </w:pPr>
      <w:r>
        <w:rPr>
          <w:rFonts w:ascii="仿宋_GB2312" w:hAnsi="仿宋_GB2312" w:eastAsia="仿宋_GB2312"/>
        </w:rPr>
        <w:t>截至2024年12月31日，房屋65,409.63平方米，价值28,128.31万元。车辆6辆，价值183.99万元，其中：副部（省）级及以上领导用车0辆、主要负责人用车2辆、机要通信用车0辆、应急保障用车3辆、执法执勤用车0辆、特种专业技术用车0辆、离退休干部服务用车0辆、其他用车1辆，其他用车主要是：单位的救护车。单价100万元（含）以上设备（不含车辆）15台（套）。</w:t>
      </w:r>
    </w:p>
    <w:p>
      <w:pPr>
        <w:spacing w:line="640" w:lineRule="exact"/>
        <w:ind w:firstLine="640"/>
        <w:outlineLvl w:val="2"/>
      </w:pPr>
      <w:r>
        <w:rPr>
          <w:rFonts w:ascii="黑体" w:hAnsi="黑体" w:eastAsia="黑体"/>
        </w:rPr>
        <w:t>十一、预算绩效的情况说明</w:t>
      </w:r>
    </w:p>
    <w:p>
      <w:pPr>
        <w:spacing w:line="580" w:lineRule="exact"/>
        <w:ind w:firstLine="640"/>
        <w:rPr>
          <w:rFonts w:ascii="仿宋_GB2312" w:hAnsi="仿宋_GB2312" w:eastAsia="仿宋_GB2312"/>
        </w:rPr>
      </w:pPr>
      <w:r>
        <w:rPr>
          <w:rFonts w:ascii="仿宋_GB2312" w:hAnsi="仿宋_GB2312" w:eastAsia="仿宋_GB2312"/>
        </w:rPr>
        <w:t>根据预算绩效管理要求，本单位2024年度预算绩效管理形成整体支出绩效自评表1个，全年预算总额23,503.33万元，实际执行总额21,793.30万元；预算绩效评价项目17个，全年预算数965.25万元，全年执行数891.68万元。预算绩效管理取得的成效：一是预算绩效的实施可以及时弥补管理中的漏洞，纠正绩效目标执行中的偏差，不断改进预算执行的成效；二是强化部门支出责任，提升了财政资金使用效率。</w:t>
      </w:r>
    </w:p>
    <w:p>
      <w:pPr>
        <w:spacing w:line="640" w:lineRule="exact"/>
        <w:ind w:firstLine="640"/>
        <w:outlineLvl w:val="2"/>
        <w:rPr>
          <w:rFonts w:ascii="黑体" w:hAnsi="黑体" w:eastAsia="黑体"/>
        </w:rPr>
      </w:pPr>
      <w:r>
        <w:rPr>
          <w:rFonts w:hint="eastAsia" w:ascii="黑体" w:hAnsi="黑体" w:eastAsia="黑体"/>
        </w:rPr>
        <w:t>十二、</w:t>
      </w:r>
      <w:r>
        <w:rPr>
          <w:rFonts w:ascii="黑体" w:hAnsi="黑体" w:eastAsia="黑体"/>
        </w:rPr>
        <w:t>发现的问题及原因</w:t>
      </w:r>
    </w:p>
    <w:p>
      <w:pPr>
        <w:spacing w:line="580" w:lineRule="exact"/>
        <w:ind w:firstLine="640"/>
        <w:rPr>
          <w:rFonts w:ascii="仿宋_GB2312" w:hAnsi="仿宋_GB2312" w:eastAsia="仿宋_GB2312"/>
        </w:rPr>
      </w:pPr>
      <w:r>
        <w:rPr>
          <w:rFonts w:hint="eastAsia" w:ascii="仿宋_GB2312" w:hAnsi="仿宋_GB2312" w:eastAsia="仿宋_GB2312" w:cs="仿宋_GB2312"/>
          <w:b/>
          <w:bCs/>
        </w:rPr>
        <w:t>一是</w:t>
      </w:r>
      <w:r>
        <w:rPr>
          <w:rFonts w:hint="eastAsia" w:ascii="仿宋_GB2312" w:hAnsi="仿宋_GB2312" w:eastAsia="仿宋_GB2312" w:cs="仿宋_GB2312"/>
        </w:rPr>
        <w:t>制度执行不到位，</w:t>
      </w:r>
      <w:r>
        <w:rPr>
          <w:rFonts w:ascii="仿宋_GB2312" w:hAnsi="仿宋_GB2312" w:eastAsia="仿宋_GB2312"/>
        </w:rPr>
        <w:t>医院各方面的管理水平还有待进一步提高，整体素质还不够强，在一些管理制度落实方面还存在不足，管理制度的执行上还不够严格。</w:t>
      </w:r>
      <w:r>
        <w:rPr>
          <w:rFonts w:hint="eastAsia" w:ascii="仿宋_GB2312" w:hAnsi="仿宋_GB2312" w:eastAsia="仿宋_GB2312"/>
          <w:b/>
          <w:bCs/>
        </w:rPr>
        <w:t>二是</w:t>
      </w:r>
      <w:r>
        <w:rPr>
          <w:rFonts w:ascii="仿宋_GB2312" w:hAnsi="仿宋_GB2312" w:eastAsia="仿宋_GB2312"/>
        </w:rPr>
        <w:t>服务意识不到位。部分科室“以病人为中心”的服务理念没有得到很好</w:t>
      </w:r>
      <w:r>
        <w:rPr>
          <w:rFonts w:hint="eastAsia" w:ascii="仿宋_GB2312" w:hAnsi="仿宋_GB2312" w:eastAsia="仿宋_GB2312"/>
        </w:rPr>
        <w:t>地</w:t>
      </w:r>
      <w:r>
        <w:rPr>
          <w:rFonts w:ascii="仿宋_GB2312" w:hAnsi="仿宋_GB2312" w:eastAsia="仿宋_GB2312"/>
        </w:rPr>
        <w:t>落实，服务还没有完全做到主动、热情、耐心，在服务意识、服务作风、服务态度和服务流程上都有待改进。</w:t>
      </w:r>
      <w:r>
        <w:rPr>
          <w:rFonts w:hint="eastAsia" w:ascii="仿宋_GB2312" w:hAnsi="仿宋_GB2312" w:eastAsia="仿宋_GB2312"/>
          <w:b/>
          <w:bCs/>
        </w:rPr>
        <w:t>三是</w:t>
      </w:r>
      <w:r>
        <w:rPr>
          <w:rFonts w:ascii="仿宋_GB2312" w:hAnsi="仿宋_GB2312" w:eastAsia="仿宋_GB2312"/>
        </w:rPr>
        <w:t>学习不到位，主动性较差。院内部分干部职工对自己的业务能力提升不积极，未积极学习相关医技技术，未能熟练</w:t>
      </w:r>
      <w:r>
        <w:rPr>
          <w:rFonts w:hint="eastAsia" w:ascii="仿宋_GB2312" w:hAnsi="仿宋_GB2312" w:eastAsia="仿宋_GB2312"/>
        </w:rPr>
        <w:t>地</w:t>
      </w:r>
      <w:r>
        <w:rPr>
          <w:rFonts w:ascii="仿宋_GB2312" w:hAnsi="仿宋_GB2312" w:eastAsia="仿宋_GB2312"/>
        </w:rPr>
        <w:t>掌握医技技术，为患者提供良好的服务。</w:t>
      </w:r>
    </w:p>
    <w:p>
      <w:pPr>
        <w:spacing w:line="580" w:lineRule="exact"/>
        <w:ind w:firstLine="640"/>
        <w:rPr>
          <w:rFonts w:ascii="黑体" w:hAnsi="黑体" w:eastAsia="黑体" w:cs="黑体"/>
        </w:rPr>
      </w:pPr>
      <w:r>
        <w:rPr>
          <w:rFonts w:hint="eastAsia" w:ascii="黑体" w:hAnsi="黑体" w:eastAsia="黑体" w:cs="黑体"/>
        </w:rPr>
        <w:t>十三、下一步改进措施</w:t>
      </w:r>
    </w:p>
    <w:p>
      <w:pPr>
        <w:ind w:firstLine="643" w:firstLineChars="200"/>
        <w:rPr>
          <w:rFonts w:ascii="仿宋_GB2312" w:hAnsi="仿宋_GB2312" w:eastAsia="仿宋_GB2312"/>
        </w:rPr>
      </w:pPr>
      <w:r>
        <w:rPr>
          <w:rFonts w:hint="eastAsia" w:ascii="楷体_GB2312" w:hAnsi="楷体_GB2312" w:eastAsia="楷体_GB2312" w:cs="楷体_GB2312"/>
          <w:b/>
          <w:bCs/>
        </w:rPr>
        <w:t>（一）</w:t>
      </w:r>
      <w:r>
        <w:rPr>
          <w:rFonts w:hint="eastAsia" w:ascii="楷体_GB2312" w:hAnsi="楷体_GB2312" w:eastAsia="楷体_GB2312" w:cs="楷体_GB2312"/>
        </w:rPr>
        <w:t>加强政治理论学习，不断提升政治素养。</w:t>
      </w:r>
      <w:r>
        <w:rPr>
          <w:rFonts w:ascii="仿宋_GB2312" w:hAnsi="仿宋_GB2312" w:eastAsia="仿宋_GB2312"/>
        </w:rPr>
        <w:t>院党委始终坚持以习近平新时代中国特色社会主义思想为指导，深入学习贯彻党的二十大精神，以加强理论学习为基础，以增强制度建设为支点，以提升执行力为杠杆，从发挥党员领导干部“头雁效应”着手发力，推进落实党的建设各项工作。明确责任分工及职责范围，及时调整了院党委班子成员工作分工，严格落实“一岗双责”，突出班子的集体领导地位，规范了党委会议和院长办公会议议事规则和决策事项集体研究制度，不断完善民主决策机制。</w:t>
      </w:r>
    </w:p>
    <w:p>
      <w:pPr>
        <w:ind w:firstLine="640" w:firstLineChars="200"/>
        <w:rPr>
          <w:rFonts w:ascii="仿宋_GB2312" w:hAnsi="仿宋_GB2312" w:eastAsia="仿宋_GB2312" w:cs="仿宋_GB2312"/>
        </w:rPr>
      </w:pPr>
      <w:r>
        <w:rPr>
          <w:rFonts w:hint="eastAsia" w:ascii="楷体_GB2312" w:hAnsi="楷体_GB2312" w:eastAsia="楷体_GB2312" w:cs="楷体_GB2312"/>
        </w:rPr>
        <w:t>（二）加强人才队伍建设，完善医院管理体系。</w:t>
      </w:r>
      <w:r>
        <w:rPr>
          <w:rFonts w:hint="eastAsia" w:ascii="仿宋_GB2312" w:hAnsi="仿宋_GB2312" w:eastAsia="仿宋_GB2312" w:cs="仿宋_GB2312"/>
        </w:rPr>
        <w:t>坚持以习近平新时代中国特色社会主义思想为指导，贯彻新时代党的建设总要求和新时代党的组织路线，落实新时代好干部标准，坚持党要管党、全面从严治党，坚持实事求是。具体附整体支出绩效自评表，项目支出绩效自评表和评价报告。</w:t>
      </w:r>
    </w:p>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单位名称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部门资金（万元）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资金来源</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预算数（调整后）</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分值权重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21,281.91</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23,503.33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21,793.30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92.72%</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9.27</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上级资金：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205.69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848.36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799.32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本级资金：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4,076.22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5,297.62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5,332.77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17,000.00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17,357.35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15,661.21</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目标1：住院医及全科医师培训不少于25人；</w:t>
            </w:r>
            <w:r>
              <w:rPr>
                <w:rFonts w:ascii="宋体" w:hAnsi="宋体"/>
                <w:sz w:val="16"/>
              </w:rPr>
              <w:br w:type="textWrapping"/>
            </w:r>
            <w:r>
              <w:rPr>
                <w:rFonts w:ascii="宋体" w:hAnsi="宋体"/>
                <w:sz w:val="16"/>
              </w:rPr>
              <w:br w:type="textWrapping"/>
            </w:r>
            <w:r>
              <w:rPr>
                <w:rFonts w:ascii="宋体" w:hAnsi="宋体"/>
                <w:sz w:val="16"/>
              </w:rPr>
              <w:t>目标2：培养合作院校实习生人数不低于</w:t>
            </w:r>
            <w:r>
              <w:rPr>
                <w:rFonts w:hint="eastAsia" w:ascii="宋体" w:hAnsi="宋体"/>
                <w:sz w:val="16"/>
              </w:rPr>
              <w:t>150</w:t>
            </w:r>
            <w:r>
              <w:rPr>
                <w:rFonts w:ascii="宋体" w:hAnsi="宋体"/>
                <w:sz w:val="16"/>
              </w:rPr>
              <w:t>%；</w:t>
            </w:r>
            <w:r>
              <w:rPr>
                <w:rFonts w:ascii="宋体" w:hAnsi="宋体"/>
                <w:sz w:val="16"/>
              </w:rPr>
              <w:br w:type="textWrapping"/>
            </w:r>
            <w:r>
              <w:rPr>
                <w:rFonts w:ascii="宋体" w:hAnsi="宋体"/>
                <w:sz w:val="16"/>
              </w:rPr>
              <w:br w:type="textWrapping"/>
            </w:r>
            <w:r>
              <w:rPr>
                <w:rFonts w:ascii="宋体" w:hAnsi="宋体"/>
                <w:sz w:val="16"/>
              </w:rPr>
              <w:t>目标3：实施科研项目不少于6个；</w:t>
            </w:r>
            <w:r>
              <w:rPr>
                <w:rFonts w:ascii="宋体" w:hAnsi="宋体"/>
                <w:sz w:val="16"/>
              </w:rPr>
              <w:br w:type="textWrapping"/>
            </w:r>
            <w:r>
              <w:rPr>
                <w:rFonts w:ascii="宋体" w:hAnsi="宋体"/>
                <w:sz w:val="16"/>
              </w:rPr>
              <w:br w:type="textWrapping"/>
            </w:r>
            <w:r>
              <w:rPr>
                <w:rFonts w:ascii="宋体" w:hAnsi="宋体"/>
                <w:sz w:val="16"/>
              </w:rPr>
              <w:t>目标4：出院患者人数不少于17000人；</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截至2024</w:t>
            </w:r>
            <w:r>
              <w:rPr>
                <w:rFonts w:ascii="宋体" w:hAnsi="宋体"/>
                <w:sz w:val="16"/>
              </w:rPr>
              <w:t>年12月31日，本单位实际完成住院医及全科医师培训61人，培养合作院校实习生人数150人，实施科研项目6个，出院患者</w:t>
            </w:r>
            <w:r>
              <w:rPr>
                <w:rFonts w:hint="eastAsia" w:ascii="宋体" w:hAnsi="宋体"/>
                <w:sz w:val="16"/>
              </w:rPr>
              <w:t>人数</w:t>
            </w:r>
            <w:r>
              <w:rPr>
                <w:rFonts w:ascii="宋体" w:hAnsi="宋体"/>
                <w:sz w:val="16"/>
              </w:rPr>
              <w:t>15186人；实际形成支出21,793.30万元，通过完成以上工作，实现了提高医师个人能力和医疗水准等效益。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指标值设定依据</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分值权重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完成率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日常公用经费控制率（%）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地区年初预算批复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管理制度健全性（%）</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和田地区维吾尔医医院制度汇编</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重点工作完成率（%）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和田地区维吾尔医医院2024年工作计划</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预算信息公开率（%）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地区年初预算批复文件</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住院医及全科医师培训人数（人）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25人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和田地区维吾尔医医院2024年工作计划</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61人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培养合作院校实习生人数（人）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150人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和田地区维吾尔医医院2024年工作计划</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150人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实施科研项目（个）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6个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r>
              <w:rPr>
                <w:rFonts w:hint="eastAsia" w:ascii="宋体" w:hAnsi="宋体"/>
                <w:sz w:val="16"/>
              </w:rPr>
              <w:t>4</w:t>
            </w:r>
            <w:r>
              <w:rPr>
                <w:rFonts w:ascii="宋体" w:hAnsi="宋体"/>
                <w:sz w:val="16"/>
              </w:rPr>
              <w:t>年科研工作推进表</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人员支出、公用经费保障率（%）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和田地区维吾尔医医院2024年工作计划</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出院患者人数（人）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17000人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和田地区维吾尔医医院2024年工作计划</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15186人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6.25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服务对象满意度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患者满意度（%）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hint="eastAsia" w:ascii="宋体" w:hAnsi="宋体"/>
                <w:sz w:val="16"/>
                <w:lang w:eastAsia="zh-CN"/>
              </w:rPr>
              <w:t>≥</w:t>
            </w: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2019年全民健康保障工程（第一批）中央基建投资预算（拨款）-和地财建[20219]85号（2年以上结转）项目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项目主要实施内容为：采购电脑设备1套，建设煎药室1个，项目总投资为429.67万元，项目计划于2024年12月完成。通过本项目的实施，可有效提升医疗水平，待项目实施完成，争取使受益人群满意度不低于95%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2024年12月31日，本项目实际形成支出429.67万元，已完成采购电脑设备1套，建设煎药室1个，达到了可有效提升医疗水平的效益，患者满意度达到100%。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采购电脑设备数量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≥1套</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=1套</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建设煎药室</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设备质量验收合格率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=2024年8月31日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项目总成本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=429.67万元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提升医疗水平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患者满意度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100分</w:t>
            </w:r>
          </w:p>
        </w:tc>
      </w:tr>
      <w:tr>
        <w:tblPrEx>
          <w:tblLayout w:type="fixed"/>
          <w:tblCellMar>
            <w:top w:w="0" w:type="dxa"/>
            <w:left w:w="108" w:type="dxa"/>
            <w:bottom w:w="0" w:type="dxa"/>
            <w:right w:w="108" w:type="dxa"/>
          </w:tblCellMar>
        </w:tblPrEx>
        <w:tc>
          <w:tcPr>
            <w:tcW w:w="8847" w:type="dxa"/>
            <w:gridSpan w:val="9"/>
            <w:vAlign w:val="center"/>
          </w:tcPr>
          <w:p>
            <w:pPr>
              <w:jc w:val="center"/>
              <w:rPr>
                <w:rFonts w:hint="eastAsia"/>
              </w:rPr>
            </w:pPr>
            <w:r>
              <w:br w:type="page"/>
            </w:r>
          </w:p>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2022年中央医疗服务与保障</w:t>
            </w:r>
            <w:r>
              <w:rPr>
                <w:rFonts w:hint="eastAsia" w:ascii="宋体" w:hAnsi="宋体"/>
                <w:sz w:val="16"/>
              </w:rPr>
              <w:t>能力</w:t>
            </w:r>
            <w:r>
              <w:rPr>
                <w:rFonts w:ascii="宋体" w:hAnsi="宋体"/>
                <w:sz w:val="16"/>
              </w:rPr>
              <w:t>提升（中医药传承与发展部分）补助资金（第二批）-和地财社</w:t>
            </w:r>
            <w:r>
              <w:rPr>
                <w:rFonts w:hint="eastAsia" w:ascii="宋体" w:hAnsi="宋体"/>
                <w:sz w:val="16"/>
              </w:rPr>
              <w:t>〔2022〕28号</w:t>
            </w:r>
            <w:r>
              <w:rPr>
                <w:rFonts w:ascii="宋体" w:hAnsi="宋体"/>
                <w:sz w:val="16"/>
              </w:rPr>
              <w:t>（2年以上结转）</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本项目主要实施内容为：2022年中央医疗服务与保障</w:t>
            </w:r>
            <w:r>
              <w:rPr>
                <w:rFonts w:hint="eastAsia" w:ascii="宋体" w:hAnsi="宋体"/>
                <w:sz w:val="16"/>
              </w:rPr>
              <w:t>能力</w:t>
            </w:r>
            <w:r>
              <w:rPr>
                <w:rFonts w:ascii="宋体" w:hAnsi="宋体"/>
                <w:sz w:val="16"/>
              </w:rPr>
              <w:t>提升（中医药传承与发展部分）补助资金（第二批）-和地财社</w:t>
            </w:r>
            <w:r>
              <w:rPr>
                <w:rFonts w:hint="eastAsia" w:ascii="宋体" w:hAnsi="宋体"/>
                <w:sz w:val="16"/>
              </w:rPr>
              <w:t>〔2022〕28号</w:t>
            </w:r>
            <w:r>
              <w:rPr>
                <w:rFonts w:ascii="宋体" w:hAnsi="宋体"/>
                <w:sz w:val="16"/>
              </w:rPr>
              <w:t>（2年以上结转），项目总投资为87.67万元，项目计划于2024年12月完成。通过本项目的实施，可有效医疗服务水平，待项目实施完成，争取使受益人群满意度不低于95%。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2024年12月31日，本项目实际形成支出87.67万元，已完成购置医疗设备1套的任务，初步达到了可有效提升医疗服务水平等方面有着推动性力量等效益，科室医护人员满意度达到100%。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购置设备数量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=1套</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=1套</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=87.67万元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医疗服务水平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科室医护人员满意度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100分</w:t>
            </w:r>
          </w:p>
        </w:tc>
      </w:tr>
      <w:tr>
        <w:tblPrEx>
          <w:tblLayout w:type="fixed"/>
          <w:tblCellMar>
            <w:top w:w="0" w:type="dxa"/>
            <w:left w:w="108" w:type="dxa"/>
            <w:bottom w:w="0" w:type="dxa"/>
            <w:right w:w="108" w:type="dxa"/>
          </w:tblCellMar>
        </w:tblPrEx>
        <w:tc>
          <w:tcPr>
            <w:tcW w:w="8847" w:type="dxa"/>
            <w:gridSpan w:val="9"/>
            <w:vAlign w:val="center"/>
          </w:tcPr>
          <w:p>
            <w:pPr>
              <w:jc w:val="center"/>
            </w:pPr>
            <w:r>
              <w:br w:type="page"/>
            </w: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2024年国家非物质文化遗产保护专项项目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本项目主要实施内容为：补助人数1人，发放补贴1次，项目总投资为2万元，项目计划于2024年12月完成。通过本项目的实施，可有效保障非遗的保护工作，待项目实施完成，争取使受益人群满意度不低于95%。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2024年12月31日，本项目实际形成支出2万元，已完成为1名非物质文化遗产保护人发放补助的任务，可有效保障非遗的保护工作，受益补助人满意度达到100%。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补助人数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发放补贴次数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发放补贴完成率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发放补助金额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有效保障非遗的保护工作</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有效保障</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受益补助人满意度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下达2024年中央财</w:t>
            </w:r>
            <w:r>
              <w:rPr>
                <w:rFonts w:hint="eastAsia" w:ascii="宋体" w:hAnsi="宋体"/>
                <w:sz w:val="16"/>
              </w:rPr>
              <w:t>政</w:t>
            </w:r>
            <w:r>
              <w:rPr>
                <w:rFonts w:ascii="宋体" w:hAnsi="宋体"/>
                <w:sz w:val="16"/>
              </w:rPr>
              <w:t>医疗服务与保障能力提升补助资金(中医药事业传承与发展部分)预算项目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72.55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72.55%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3.14分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72.55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本项目主要实施内容为：人才培养1人，购置医疗设备4批次，项目总投资为100万元，项目计划于2024年12月完成。通过本项目的实施，可有效提高人才技术水</w:t>
            </w:r>
            <w:r>
              <w:rPr>
                <w:rFonts w:hint="eastAsia" w:ascii="宋体" w:hAnsi="宋体"/>
                <w:sz w:val="16"/>
              </w:rPr>
              <w:t>平和</w:t>
            </w:r>
            <w:r>
              <w:rPr>
                <w:rFonts w:ascii="宋体" w:hAnsi="宋体"/>
                <w:sz w:val="16"/>
              </w:rPr>
              <w:t>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2024年12月31日，本项目实际形成支出72.55万元，已完成人才培养1人，购置医疗设备4批次，达到了有效提高人才技术水</w:t>
            </w:r>
            <w:r>
              <w:rPr>
                <w:rFonts w:hint="eastAsia" w:ascii="宋体" w:hAnsi="宋体"/>
                <w:sz w:val="16"/>
              </w:rPr>
              <w:t>平和</w:t>
            </w:r>
            <w:r>
              <w:rPr>
                <w:rFonts w:ascii="宋体" w:hAnsi="宋体"/>
                <w:sz w:val="16"/>
              </w:rPr>
              <w:t>服务能力，医疗设备使用者满意度达到100%。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人才培养数量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购置医疗设备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≥4批次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=4批次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科室建设成本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=5.8万元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医疗设备购置成本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≤82.60万元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=65.11万元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7.53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人才培养成本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≤7.40万元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=1.64万元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提高人才技术水</w:t>
            </w:r>
            <w:r>
              <w:rPr>
                <w:rFonts w:hint="eastAsia" w:ascii="宋体" w:hAnsi="宋体"/>
                <w:sz w:val="16"/>
              </w:rPr>
              <w:t>平和</w:t>
            </w:r>
            <w:r>
              <w:rPr>
                <w:rFonts w:ascii="宋体" w:hAnsi="宋体"/>
                <w:sz w:val="16"/>
              </w:rPr>
              <w:t>服务能力</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有效提高</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医疗设备使用者满意度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80.67分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下达2024年自治区医疗服务与保障能力提升[卫生健康人才培养]补助资金[第二批]项目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培训场次3次，培训手册20本，参与培训人员20人，培训县市数量3个，项目总投资为5万元，项目计划于2023年12月完成。通过本项目的实施，可有效提高患者生活质量，参训人员业务能力提升，待项目实施完成，争取使受益人群满意度不低于80%。</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5万元，已完成培训场次6次，培训手册20本，参与培训人员20人，培训县市数量3个的任务，有效提高患者生活质量，参训人员业务能力提升的效益，适宜技术推广项目被推广人员满意度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培训场次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2024年自治区医疗服务与保障能力提升[卫生健康人才培养]补助资金[第</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培训手册</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参与培训人员</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培训县市数量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合同履约率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2024年12月31日前完成</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项目资金总金额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提高患者生活质量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有效提高</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参训人员业务能力提升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适宜技术推广项目被推广人员满意度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关于下达2023年第三批自治区预算内投资的通知</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26.40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66.00%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26.40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本项目主要实施内容为：偿还往年欠款2次，项目总投资为40万元，项目计划于2024年12月完成。通过本项目的实施，可有效保障区域医疗中心建设顺利实施，争取参与人群满意度不低于95%.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2024年12月31日，本项目实际形成支出26.4元，已完成偿还往年欠款2次，达到了有效保障区域医疗中心建设顺利实施效益，参与人员满意度达到100%。</w:t>
            </w:r>
            <w:r>
              <w:rPr>
                <w:rFonts w:ascii="宋体" w:hAnsi="宋体"/>
                <w:sz w:val="16"/>
              </w:rPr>
              <w:br w:type="textWrapping"/>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分期付款次数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资金使用合规率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=26.4万元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偏差原因：目前发改委对可行性研究报告没有开展评审工作，导致无法开展下一步工作。改进措施：待评审结束后及时支付。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保障区域医疗中心建设顺利实施</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有效保障</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参与人员满意度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74.5分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关于拨付2023年中央医疗服务与保障能力提升[卫生健康人才培养]补助资金[第二批]的通知</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本项目主要实施内容为：培训人数18人，招收考核次数1次，项目总投资为15.56万元，项目计划于2024年12月完成。通过本项目的实施，可有效医疗服务水平，待项目实施完成，争取使受益人群满意度不低于95%。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2024年12月31日，本项目实际形成支出15.56万元，已完成培训人数18人，招收考核次数1次，达到了有效医疗服务水平，参培人员满意度达到100%。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培训人数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≥18人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=18人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招收考核次数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考核通过率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=76.06%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资金拨付及时率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=15.56万元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医疗服务水平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97分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关于提前下达2023年中央财政医疗服务于保障能力提升[中医药事业传承与发展]补助资金预算的通知项目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本项目主要实施内容为：参培人数10人，考核次数1次，项目总投资为2.02万元，项目计划于2024年12月完成。通过本项目的实施，可有效提升</w:t>
            </w:r>
            <w:r>
              <w:rPr>
                <w:rFonts w:hint="eastAsia" w:ascii="宋体" w:hAnsi="宋体"/>
                <w:sz w:val="16"/>
              </w:rPr>
              <w:t>以来</w:t>
            </w:r>
            <w:r>
              <w:rPr>
                <w:rFonts w:ascii="宋体" w:hAnsi="宋体"/>
                <w:sz w:val="16"/>
              </w:rPr>
              <w:t>服务水平，待项目实施完成，争取使受益人群满意度不低于95%。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2024年12月31日，本项目实际形成支出2.02万元，已完成本项目已完成参培人数3人、考核次数1次任务，初步达到了有效提升医疗服务水平等效益，参培人员满意度达到100%。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ab/>
            </w:r>
            <w:r>
              <w:rPr>
                <w:rFonts w:ascii="宋体" w:hAnsi="宋体"/>
                <w:sz w:val="16"/>
              </w:rPr>
              <w:t>偏差原因：年初参培人数指标设定过多，改进措施：之后的指标设定中，根据实际情况设定指标值。</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考核次数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考核通过率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人员结业率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培训出勤率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医疗服务水平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92分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关于提前下达2024年医疗服务与保障能力提升[卫生健康人才培养]补助资金预算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130.52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130.52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109.85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84.16%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6.04分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130.52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130.52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109.85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住院医师规范化培训项目资金64.52万元，计划住院医师规范化培训人数至少24人；助理全科医师培训项目资金66万元，计划助理全科医生规范化培训人数至少37人；通过该项目的实施有效提升医务人员业务水平；</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2024年12月31日，本项目实际形成支出109.85万元，已完成</w:t>
            </w:r>
            <w:r>
              <w:rPr>
                <w:rFonts w:hint="eastAsia" w:ascii="宋体" w:hAnsi="宋体"/>
                <w:sz w:val="16"/>
              </w:rPr>
              <w:t>住院医师规范化培训</w:t>
            </w:r>
            <w:r>
              <w:rPr>
                <w:rFonts w:ascii="宋体" w:hAnsi="宋体"/>
                <w:sz w:val="16"/>
              </w:rPr>
              <w:t>24人，规范化培训全科医生37人，采购资产26个，保障指导老师14人的任务，达到了提升医护人员业务水平的效益，受益参培人员满意度达到100%。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住院医师规范化培训人数（人）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≥24人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=24人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助理全科医生规范化培训人数（人）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≥37人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=37人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采购资产数量（个）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≥26个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=26个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师承指导老师数量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≥14人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=14人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住院医师规范化培训成本（万元）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≤64.52万元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=62.68万元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14.86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助理全科医生培训成本（万元）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≤66万元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=47.17万元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1.15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医护人员业务水平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92.05分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关于提前下达2024年自治区医疗服务与保障能力提升[中医药事业传承与发展部分]补助资金预算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通过该项目的实施，购置一台设备，培养两名人才，建设一个诊疗水平较高，临床疗效较为显著，中医药特色优势明显，管理水平和示范带动作用明显，医疗服务水平有效提升，并可稳步持续发展的中医临床重点专科，为广大人民群众提供更加优质有效的中医药服务，不断满足广大人民群众对中医药服务的需求。</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20万元，已完成购置一台设备，培养两名人才等任务，达到了建设一个诊疗水平较高，临床疗效较为显著，中医药特色优势明显，管理水平和示范带动作用明显，医疗服务水平有效提升，并可稳步持续发展的中医临床重点专科，为广大人民群众提供更加优质有效的中医药服务，不断满足广大人民群众对中医药服务的</w:t>
            </w:r>
            <w:r>
              <w:rPr>
                <w:rFonts w:hint="eastAsia" w:ascii="宋体" w:hAnsi="宋体"/>
                <w:sz w:val="16"/>
              </w:rPr>
              <w:t>需求</w:t>
            </w:r>
            <w:r>
              <w:rPr>
                <w:rFonts w:ascii="宋体" w:hAnsi="宋体"/>
                <w:sz w:val="16"/>
              </w:rPr>
              <w:t>效益，患者满意度达到100%。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采购设备(台）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项目成本（万元）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医疗服务水平有效提升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设备使用人员满意度（%）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患者满意度（%）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关于提前下达2024年重大传染病防控经费预算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通过该项目的实施，我院计划采购14种试剂有效</w:t>
            </w:r>
            <w:r>
              <w:rPr>
                <w:rFonts w:hint="eastAsia" w:ascii="宋体" w:hAnsi="宋体"/>
                <w:sz w:val="16"/>
              </w:rPr>
              <w:t>地</w:t>
            </w:r>
            <w:r>
              <w:rPr>
                <w:rFonts w:ascii="宋体" w:hAnsi="宋体"/>
                <w:sz w:val="16"/>
              </w:rPr>
              <w:t>提升我院医护人员对食源性疾病重要性认识，有效提高检验科监测服务能力，开展有效的食源性疾病监测工作。</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2024年12月31日，本项目实际形成支出0.5万元，本项目已完成采购试剂种类（种）15种等任务，初步达到了有效提升我院食源性疾病监测等效益，检验人员满意度达到100%。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采购试剂种类（种）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≥14种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=15种</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13.95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偏差原因：目标设定不准确，改进措施：加强指标设定能力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试剂验收合格率（%）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试剂成本（万元）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=0.5万元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有效提升我院食源性疾病监测</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检验人员满意度（%）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98.95分</w:t>
            </w:r>
          </w:p>
        </w:tc>
      </w:tr>
      <w:tr>
        <w:tblPrEx>
          <w:tblLayout w:type="fixed"/>
          <w:tblCellMar>
            <w:top w:w="0" w:type="dxa"/>
            <w:left w:w="108" w:type="dxa"/>
            <w:bottom w:w="0" w:type="dxa"/>
            <w:right w:w="108" w:type="dxa"/>
          </w:tblCellMar>
        </w:tblPrEx>
        <w:tc>
          <w:tcPr>
            <w:tcW w:w="8847" w:type="dxa"/>
            <w:gridSpan w:val="9"/>
            <w:vAlign w:val="center"/>
          </w:tcPr>
          <w:p>
            <w:pPr>
              <w:jc w:val="center"/>
              <w:rPr>
                <w:rFonts w:hint="eastAsia"/>
              </w:rPr>
            </w:pPr>
            <w:r>
              <w:br w:type="page"/>
            </w:r>
          </w:p>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关于提前下达中央2023年医疗服务与保障能力提升[公立医院综合改革]补助资金的通知项目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本项目主要实施内容为：购买设备1个，项目总投资为7.09万元，项目计划于2024年12月完成。通过本项目的实施，可有效提升医疗服务水平，待项目实施完成，争取使受益人群满意度不低于95%。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2024年12月31日，本项目实际形成支出7.09万元，已完成本项目已完成采购设备1个任务，初步达到有效提升医疗服务水平等效益，患者满意度达到100%。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购买设备数量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购买设备成本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=7.09万元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中医服务水平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患者满意度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关于提前下达中央2023年医疗服务与保障能力提升[卫生健康人才培养]补助资金的通知项目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本项目主要实施内容为：培训人数22人，招收考核次数1次，项目总投资为20.12万元，项目计划于2023年12月完成。通过本项目的实施，医疗服务水平，待项目实施完成，争取使受益人群满意度不低于95%。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2024年12月31日，本项目实际形成支出20.12万元，本项目已完成开展招收考核1次，培训人数22人任务，初步达到了医疗服务水平等效益，参培人员满意度达到100%。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培训人数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≥22人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=23人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偏差原因：项目计划人数与实际开展存在偏差，改进措施：提高测算能力，从严从高设置绩效目标。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招收考核次数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考核通过率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资金拨付及时率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=20.12</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医疗服务水平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99.54分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和地财社</w:t>
            </w:r>
            <w:r>
              <w:rPr>
                <w:rFonts w:hint="eastAsia" w:ascii="宋体" w:hAnsi="宋体"/>
                <w:sz w:val="16"/>
              </w:rPr>
              <w:t>〔2023〕68号</w:t>
            </w:r>
            <w:r>
              <w:rPr>
                <w:rFonts w:ascii="宋体" w:hAnsi="宋体"/>
                <w:sz w:val="16"/>
              </w:rPr>
              <w:t>-提前下达2024年中央医疗服务与保障能力提升[中医药事业传承与发展部分]预算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7.84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98.00%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7.84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该项目培训人员不少于18人、培训次数不少于4次；</w:t>
            </w:r>
            <w:r>
              <w:rPr>
                <w:rFonts w:hint="eastAsia" w:ascii="宋体" w:hAnsi="宋体"/>
                <w:sz w:val="16"/>
              </w:rPr>
              <w:t>通过</w:t>
            </w:r>
            <w:r>
              <w:rPr>
                <w:rFonts w:ascii="宋体" w:hAnsi="宋体"/>
                <w:sz w:val="16"/>
              </w:rPr>
              <w:t>该项目的实</w:t>
            </w:r>
            <w:r>
              <w:rPr>
                <w:rFonts w:hint="eastAsia" w:ascii="宋体" w:hAnsi="宋体"/>
                <w:sz w:val="16"/>
              </w:rPr>
              <w:t>施进</w:t>
            </w:r>
            <w:r>
              <w:rPr>
                <w:rFonts w:ascii="宋体" w:hAnsi="宋体"/>
                <w:sz w:val="16"/>
              </w:rPr>
              <w:t>一步提高我院医疗服务水平，强化中医药师资队伍建设，提升中医药人才培养培训质量；</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2024年12月31日，本项目实际形成支出7.84万元，已完成培训人员18人、开展培训4次等任务，达到了提高我院医疗服务水平，强化中医药师资队伍建设，提升中医药人才培养培训质量，参培人员满意度达到了100%。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参加培训人数（人）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≥18人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=18人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培训次数（次）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=4次</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参培人员结业完成率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资金拨付及时率（%）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项目实施成本（万元）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=7.84万元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19</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医疗服务水平有效提升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参培人员满意度（%）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98.5分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和田地区下达2024年中央医疗服务与保障能力提升（公立医院综合改革）补助资金预算项目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和田地区下达2024年中央医疗服务与保障能力提升（公立医院综合改革）补助资金预算项目，项目总投资为15.7万元，项目计划于2024年12月完成。通过本项目的实施，可有效提升医疗服务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2024年12月31日，本项目实际形成支出15.7万元，已完成医疗设备购置数量1个，该项目达到了有效提升医疗服务质量的效益，患者和医务人员满意度达到100%。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医疗设备购置数量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购置的医疗设备涉及的供货商数量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医疗设备验收合格率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资金拨付及时率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购置医疗设备成本</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=15.7万元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提升医疗服务质量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住院患者满意度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医务人员满意度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提前下达2024年中央医疗服务与保障能力提升[公立医院综合改革]补助资金预算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31.54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31.54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30.76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97.53%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31.54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31.54</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30.76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通过该项目的实施至少采购四台设备，建设一个诊疗水平较高，临床疗效较为显著，中医药特色优势明显，管理水平和示范带动作用明显，并可稳步持续发展的中医临床重点专科，使我院医疗服务水平有效提升，为广大人民群众提供更加优质有效的中医药服务，不断满足广大人民群众对中医药服务的需求。</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30.76万元，已完成采购5台设备的任务，达到了建设一个诊疗水平较高，临床疗效较为显著，中医药特色优势明显，管理水平和示范带动作用明显，并可稳步持续发展的中医临床重点专科，使我院医疗服务水平有效提升，为广大人民群众提供更加优质有效的中医药服务，不断满足广大人民群众对中医药服务的需求的效益，设备使用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购置设备（台）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偏差原因：根据医院设备要求，在经费允许的情况下，对采购设备数量进行追加，改进措施：加强绩效管理水平</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采购设备涉及企业</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≥1家</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=1家</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设备验收合格率（%）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项目使用成本（元）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≤31.54万元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=30.76万元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18.77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偏差原因：报账进度缓慢，现项目已实施，资金尚未支付，改进措施：督促及时提供报账资料，及时形成支出。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我院医疗服务水平有效提升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有效提升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设备使用人员满意度（%）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96.27分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驻村工作专项经费项目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和田地区维吾尔医医院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49.86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49.86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38.95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78.12% </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4.53分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49.86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49.86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38.95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1966" w:type="dxa"/>
            <w:gridSpan w:val="2"/>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2949" w:type="dxa"/>
            <w:gridSpan w:val="3"/>
            <w:tcBorders>
              <w:top w:val="single" w:color="auto" w:sz="10" w:space="0"/>
              <w:left w:val="single" w:color="auto" w:sz="10" w:space="0"/>
              <w:bottom w:val="single" w:color="auto" w:sz="10" w:space="0"/>
              <w:right w:val="single" w:color="auto" w:sz="10" w:space="0"/>
            </w:tcBorders>
            <w:vAlign w:val="center"/>
          </w:tcPr>
          <w:p>
            <w:r>
              <w:rPr>
                <w:rFonts w:ascii="宋体" w:hAnsi="宋体"/>
                <w:sz w:val="16"/>
              </w:rPr>
              <w:t>本项目主要实施内容为：保障</w:t>
            </w:r>
            <w:r>
              <w:rPr>
                <w:rFonts w:hint="eastAsia" w:ascii="宋体" w:hAnsi="宋体"/>
                <w:sz w:val="16"/>
              </w:rPr>
              <w:t>为民办实事</w:t>
            </w:r>
            <w:r>
              <w:rPr>
                <w:rFonts w:ascii="宋体" w:hAnsi="宋体"/>
                <w:sz w:val="16"/>
              </w:rPr>
              <w:t>工作队个数2个、</w:t>
            </w:r>
            <w:r>
              <w:rPr>
                <w:rFonts w:hint="eastAsia" w:ascii="宋体" w:hAnsi="宋体"/>
                <w:sz w:val="16"/>
              </w:rPr>
              <w:t>为民办实事</w:t>
            </w:r>
            <w:r>
              <w:rPr>
                <w:rFonts w:ascii="宋体" w:hAnsi="宋体"/>
                <w:sz w:val="16"/>
              </w:rPr>
              <w:t>工作队14人，项目总投资为49.86万元，项目计划于2024年12月完成。通过本项目的实施，可有效解决群众生活困难，待项目实施完成，争取使受益人群满意度不低于95%。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r>
              <w:rPr>
                <w:rFonts w:hint="eastAsia" w:ascii="宋体" w:hAnsi="宋体"/>
                <w:sz w:val="16"/>
              </w:rPr>
              <w:t>截至</w:t>
            </w:r>
            <w:r>
              <w:rPr>
                <w:rFonts w:ascii="宋体" w:hAnsi="宋体"/>
                <w:sz w:val="16"/>
              </w:rPr>
              <w:t>2024年12月31日，本项目实际形成支出38.95万元，已完成保障</w:t>
            </w:r>
            <w:r>
              <w:rPr>
                <w:rFonts w:hint="eastAsia" w:ascii="宋体" w:hAnsi="宋体"/>
                <w:sz w:val="16"/>
              </w:rPr>
              <w:t>为民办实事</w:t>
            </w:r>
            <w:r>
              <w:rPr>
                <w:rFonts w:ascii="宋体" w:hAnsi="宋体"/>
                <w:sz w:val="16"/>
              </w:rPr>
              <w:t>工作队个数2个、</w:t>
            </w:r>
            <w:r>
              <w:rPr>
                <w:rFonts w:hint="eastAsia" w:ascii="宋体" w:hAnsi="宋体"/>
                <w:sz w:val="16"/>
              </w:rPr>
              <w:t>为民办实事</w:t>
            </w:r>
            <w:r>
              <w:rPr>
                <w:rFonts w:ascii="宋体" w:hAnsi="宋体"/>
                <w:sz w:val="16"/>
              </w:rPr>
              <w:t>工作队14人，有效解决群众生活困难，使受益人群满意度达到100%。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保障</w:t>
            </w:r>
            <w:r>
              <w:rPr>
                <w:rFonts w:hint="eastAsia" w:ascii="宋体" w:hAnsi="宋体"/>
                <w:sz w:val="16"/>
              </w:rPr>
              <w:t>为民办实事</w:t>
            </w:r>
            <w:r>
              <w:rPr>
                <w:rFonts w:ascii="宋体" w:hAnsi="宋体"/>
                <w:sz w:val="16"/>
              </w:rPr>
              <w:t>工作队数量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=2个</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保障</w:t>
            </w:r>
            <w:r>
              <w:rPr>
                <w:rFonts w:hint="eastAsia" w:ascii="宋体" w:hAnsi="宋体"/>
                <w:sz w:val="16"/>
              </w:rPr>
              <w:t>为民办实事</w:t>
            </w:r>
            <w:r>
              <w:rPr>
                <w:rFonts w:ascii="宋体" w:hAnsi="宋体"/>
                <w:sz w:val="16"/>
              </w:rPr>
              <w:t>工作队队员数量</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≥14人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=14人</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工作任务完成率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访贫问苦专项金额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≤12.08万元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=9.67万元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2.51</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偏差原因：报账进度缓慢，现项目已实施，资金尚未支付，改进措施：督促工作队及时提供报账资料，及时形成支出。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为人民办实事专项金额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≤26.50万元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=21.15万元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3.96</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偏差原因：报账进度缓慢，现项目已实施，资金尚未支付，改进措施：督促工作队及时提供报账资料，及时形成支出。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村组织经费专项金额</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≤11.28万元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=8.13万元</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2.11</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偏差原因：报账进度缓慢，现项目已实施，资金尚未支付，改进措施：督促工作队及时提供报账资料，及时形成支出。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解决群众生活困难</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有效解决</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工作队满意度</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pPr>
              <w:jc w:val="center"/>
            </w:pPr>
            <w:r>
              <w:rPr>
                <w:rFonts w:ascii="宋体" w:hAnsi="宋体"/>
                <w:sz w:val="16"/>
              </w:rPr>
              <w:t>83.11分</w:t>
            </w:r>
          </w:p>
        </w:tc>
      </w:tr>
    </w:tbl>
    <w:p>
      <w:r>
        <w:br w:type="page"/>
      </w:r>
    </w:p>
    <w:p>
      <w:pPr>
        <w:spacing w:line="640" w:lineRule="exact"/>
        <w:ind w:firstLine="640"/>
        <w:outlineLvl w:val="2"/>
      </w:pPr>
      <w:r>
        <w:rPr>
          <w:rFonts w:ascii="黑体" w:hAnsi="黑体" w:eastAsia="黑体"/>
        </w:rPr>
        <w:t>十二、其他需说明的事项</w:t>
      </w:r>
    </w:p>
    <w:p>
      <w:pPr>
        <w:spacing w:line="580" w:lineRule="exact"/>
        <w:ind w:firstLine="640"/>
      </w:pPr>
      <w:r>
        <w:rPr>
          <w:rFonts w:ascii="仿宋_GB2312" w:hAnsi="仿宋_GB2312" w:eastAsia="仿宋_GB2312"/>
        </w:rPr>
        <w:t>本单位无其他需说明的事项。</w:t>
      </w:r>
    </w:p>
    <w:p>
      <w:r>
        <w:br w:type="page"/>
      </w:r>
    </w:p>
    <w:p>
      <w:pPr>
        <w:jc w:val="center"/>
        <w:outlineLvl w:val="1"/>
      </w:pPr>
      <w:r>
        <w:rPr>
          <w:rFonts w:ascii="黑体" w:hAnsi="黑体" w:eastAsia="黑体"/>
        </w:rPr>
        <w:t>第三部分 专业名词解释</w:t>
      </w:r>
    </w:p>
    <w:p>
      <w:pPr>
        <w:ind w:firstLine="640"/>
      </w:pPr>
      <w:r>
        <w:rPr>
          <w:rFonts w:ascii="仿宋_GB2312" w:hAnsi="仿宋_GB2312" w:eastAsia="仿宋_GB2312"/>
          <w:b/>
        </w:rPr>
        <w:t>一、财政拨款收入：</w:t>
      </w:r>
      <w:r>
        <w:rPr>
          <w:rFonts w:ascii="仿宋_GB2312" w:hAnsi="仿宋_GB2312" w:eastAsia="仿宋_GB2312"/>
        </w:rPr>
        <w:t>指同级财政当年拨付的资金。</w:t>
      </w:r>
    </w:p>
    <w:p>
      <w:pPr>
        <w:ind w:firstLine="640"/>
      </w:pPr>
      <w:r>
        <w:rPr>
          <w:rFonts w:ascii="仿宋_GB2312" w:hAnsi="仿宋_GB2312" w:eastAsia="仿宋_GB2312"/>
          <w:b/>
        </w:rPr>
        <w:t>二、上级补助收入：</w:t>
      </w:r>
      <w:r>
        <w:rPr>
          <w:rFonts w:ascii="仿宋_GB2312" w:hAnsi="仿宋_GB2312" w:eastAsia="仿宋_GB2312"/>
        </w:rPr>
        <w:t>指事业单位从主管部门和上级单位取得的非财政补助收入。</w:t>
      </w:r>
    </w:p>
    <w:p>
      <w:pPr>
        <w:ind w:firstLine="640"/>
      </w:pPr>
      <w:r>
        <w:rPr>
          <w:rFonts w:ascii="仿宋_GB2312" w:hAnsi="仿宋_GB2312" w:eastAsia="仿宋_GB2312"/>
          <w:b/>
        </w:rPr>
        <w:t>三、事业收入：</w:t>
      </w:r>
      <w:r>
        <w:rPr>
          <w:rFonts w:ascii="仿宋_GB2312" w:hAnsi="仿宋_GB2312" w:eastAsia="仿宋_GB2312"/>
        </w:rPr>
        <w:t>指事业单位开展专业业务活动及其辅助活动所取得的收入。</w:t>
      </w:r>
    </w:p>
    <w:p>
      <w:pPr>
        <w:ind w:firstLine="640"/>
      </w:pPr>
      <w:r>
        <w:rPr>
          <w:rFonts w:ascii="仿宋_GB2312" w:hAnsi="仿宋_GB2312" w:eastAsia="仿宋_GB2312"/>
          <w:b/>
        </w:rPr>
        <w:t>四、经营收入：</w:t>
      </w:r>
      <w:r>
        <w:rPr>
          <w:rFonts w:ascii="仿宋_GB2312" w:hAnsi="仿宋_GB2312" w:eastAsia="仿宋_GB2312"/>
        </w:rPr>
        <w:t>指事业单位在专业业务活动及其辅助活动之外开展非独立核算经营活动取得的收入。</w:t>
      </w:r>
    </w:p>
    <w:p>
      <w:pPr>
        <w:ind w:firstLine="640"/>
      </w:pPr>
      <w:r>
        <w:rPr>
          <w:rFonts w:ascii="仿宋_GB2312" w:hAnsi="仿宋_GB2312" w:eastAsia="仿宋_GB2312"/>
          <w:b/>
        </w:rPr>
        <w:t>五、附属单位上缴收入：</w:t>
      </w:r>
      <w:r>
        <w:rPr>
          <w:rFonts w:ascii="仿宋_GB2312" w:hAnsi="仿宋_GB2312" w:eastAsia="仿宋_GB2312"/>
        </w:rPr>
        <w:t>指事业单位附属的独立核算单位按有关规定上缴的收入。</w:t>
      </w:r>
    </w:p>
    <w:p>
      <w:pPr>
        <w:ind w:firstLine="640"/>
      </w:pPr>
      <w:r>
        <w:rPr>
          <w:rFonts w:ascii="仿宋_GB2312" w:hAnsi="仿宋_GB2312" w:eastAsia="仿宋_GB2312"/>
          <w:b/>
        </w:rPr>
        <w:t>六、其他收入：</w:t>
      </w:r>
      <w:r>
        <w:rPr>
          <w:rFonts w:ascii="仿宋_GB2312" w:hAnsi="仿宋_GB2312" w:eastAsia="仿宋_GB2312"/>
        </w:rPr>
        <w:t>指除上述“财政拨款收入”、“事业收入”、“经营收入”、“附属单位上缴收入”等之外取得的收入。</w:t>
      </w:r>
    </w:p>
    <w:p>
      <w:pPr>
        <w:ind w:firstLine="640"/>
      </w:pPr>
      <w:r>
        <w:rPr>
          <w:rFonts w:ascii="仿宋_GB2312" w:hAnsi="仿宋_GB2312" w:eastAsia="仿宋_GB2312"/>
          <w:b/>
        </w:rPr>
        <w:t>七、年初结转和结余：</w:t>
      </w:r>
      <w:r>
        <w:rPr>
          <w:rFonts w:ascii="仿宋_GB2312" w:hAnsi="仿宋_GB2312" w:eastAsia="仿宋_GB2312"/>
        </w:rPr>
        <w:t>指以前年度支出预算因客观条件变化未执行完毕、结转到本年度按有关规定继续使用的资金，既包括财政拨款结转和结余，也包括事业收入、经营收入、其他收入的结转和结余。</w:t>
      </w:r>
    </w:p>
    <w:p>
      <w:pPr>
        <w:ind w:firstLine="640"/>
      </w:pPr>
      <w:r>
        <w:rPr>
          <w:rFonts w:ascii="仿宋_GB2312" w:hAnsi="仿宋_GB2312" w:eastAsia="仿宋_GB2312"/>
          <w:b/>
        </w:rPr>
        <w:t>八、年末结转和结余：</w:t>
      </w:r>
      <w:r>
        <w:rPr>
          <w:rFonts w:ascii="仿宋_GB2312" w:hAnsi="仿宋_GB2312" w:eastAsia="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pPr>
        <w:ind w:firstLine="640"/>
      </w:pPr>
      <w:r>
        <w:rPr>
          <w:rFonts w:ascii="仿宋_GB2312" w:hAnsi="仿宋_GB2312" w:eastAsia="仿宋_GB2312"/>
          <w:b/>
        </w:rPr>
        <w:t>九、基本支出：</w:t>
      </w:r>
      <w:r>
        <w:rPr>
          <w:rFonts w:ascii="仿宋_GB2312" w:hAnsi="仿宋_GB2312" w:eastAsia="仿宋_GB2312"/>
        </w:rPr>
        <w:t>指为保障机构正常运转、完成日常工作任务而发生的人员支出和公用支出。</w:t>
      </w:r>
    </w:p>
    <w:p>
      <w:pPr>
        <w:ind w:firstLine="640"/>
      </w:pPr>
      <w:r>
        <w:rPr>
          <w:rFonts w:ascii="仿宋_GB2312" w:hAnsi="仿宋_GB2312" w:eastAsia="仿宋_GB2312"/>
          <w:b/>
        </w:rPr>
        <w:t>十、项目支出：</w:t>
      </w:r>
      <w:r>
        <w:rPr>
          <w:rFonts w:ascii="仿宋_GB2312" w:hAnsi="仿宋_GB2312" w:eastAsia="仿宋_GB2312"/>
        </w:rPr>
        <w:t>指在基本支出之外为完成特定行政任务和事业发展目标所发生的支出。</w:t>
      </w:r>
    </w:p>
    <w:p>
      <w:pPr>
        <w:ind w:firstLine="640"/>
      </w:pPr>
      <w:r>
        <w:rPr>
          <w:rFonts w:ascii="仿宋_GB2312" w:hAnsi="仿宋_GB2312" w:eastAsia="仿宋_GB2312"/>
          <w:b/>
        </w:rPr>
        <w:t>十一、经营支出：</w:t>
      </w:r>
      <w:r>
        <w:rPr>
          <w:rFonts w:ascii="仿宋_GB2312" w:hAnsi="仿宋_GB2312" w:eastAsia="仿宋_GB2312"/>
        </w:rPr>
        <w:t>指事业单位在专业业务活动及其辅助活动之外开展非独立核算经营活动发生的支出。</w:t>
      </w:r>
    </w:p>
    <w:p>
      <w:pPr>
        <w:ind w:firstLine="640"/>
      </w:pPr>
      <w:r>
        <w:rPr>
          <w:rFonts w:ascii="仿宋_GB2312" w:hAnsi="仿宋_GB2312" w:eastAsia="仿宋_GB2312"/>
          <w:b/>
        </w:rPr>
        <w:t>十二、对附属单位补助支出：</w:t>
      </w:r>
      <w:r>
        <w:rPr>
          <w:rFonts w:ascii="仿宋_GB2312" w:hAnsi="仿宋_GB2312" w:eastAsia="仿宋_GB2312"/>
        </w:rPr>
        <w:t>指事业单位发生的用非财政预算资金对附属单位的补助支出。</w:t>
      </w:r>
    </w:p>
    <w:p>
      <w:pPr>
        <w:ind w:firstLine="640"/>
      </w:pPr>
      <w:r>
        <w:rPr>
          <w:rFonts w:ascii="仿宋_GB2312" w:hAnsi="仿宋_GB2312" w:eastAsia="仿宋_GB2312"/>
          <w:b/>
        </w:rPr>
        <w:t>十三、“三公”经费：</w:t>
      </w:r>
      <w:r>
        <w:rPr>
          <w:rFonts w:ascii="仿宋_GB2312" w:hAnsi="仿宋_GB2312" w:eastAsia="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pPr>
      <w:r>
        <w:rPr>
          <w:rFonts w:ascii="仿宋_GB2312" w:hAnsi="仿宋_GB2312" w:eastAsia="仿宋_GB2312"/>
          <w:b/>
        </w:rPr>
        <w:t>十四、机关运行经费：</w:t>
      </w:r>
      <w:r>
        <w:rPr>
          <w:rFonts w:ascii="仿宋_GB2312" w:hAnsi="仿宋_GB2312" w:eastAsia="仿宋_GB2312"/>
        </w:rPr>
        <w:t>行政单位和参照公务员法管理的事业单位财政拨款基本支出中的公用经费支出。</w:t>
      </w:r>
    </w:p>
    <w:p>
      <w:r>
        <w:br w:type="page"/>
      </w:r>
    </w:p>
    <w:p>
      <w:pPr>
        <w:jc w:val="center"/>
        <w:outlineLvl w:val="1"/>
      </w:pPr>
      <w:r>
        <w:rPr>
          <w:rFonts w:ascii="黑体" w:hAnsi="黑体" w:eastAsia="黑体"/>
        </w:rPr>
        <w:t>第四部分 部门决算报表（见附表）</w:t>
      </w:r>
    </w:p>
    <w:p>
      <w:pPr>
        <w:ind w:firstLine="640"/>
      </w:pPr>
      <w:r>
        <w:rPr>
          <w:rFonts w:ascii="仿宋_GB2312" w:hAnsi="仿宋_GB2312" w:eastAsia="仿宋_GB2312"/>
        </w:rPr>
        <w:t>一、《收入支出决算总表》</w:t>
      </w:r>
    </w:p>
    <w:p>
      <w:pPr>
        <w:ind w:firstLine="640"/>
      </w:pPr>
      <w:r>
        <w:rPr>
          <w:rFonts w:ascii="仿宋_GB2312" w:hAnsi="仿宋_GB2312" w:eastAsia="仿宋_GB2312"/>
        </w:rPr>
        <w:t>二、《收入决算表》</w:t>
      </w:r>
    </w:p>
    <w:p>
      <w:pPr>
        <w:ind w:firstLine="640"/>
      </w:pPr>
      <w:r>
        <w:rPr>
          <w:rFonts w:ascii="仿宋_GB2312" w:hAnsi="仿宋_GB2312" w:eastAsia="仿宋_GB2312"/>
        </w:rPr>
        <w:t>三、《支出决算表》</w:t>
      </w:r>
    </w:p>
    <w:p>
      <w:pPr>
        <w:ind w:firstLine="640"/>
      </w:pPr>
      <w:r>
        <w:rPr>
          <w:rFonts w:ascii="仿宋_GB2312" w:hAnsi="仿宋_GB2312" w:eastAsia="仿宋_GB2312"/>
        </w:rPr>
        <w:t>四、《财政拨款收入支出决算总表》</w:t>
      </w:r>
    </w:p>
    <w:p>
      <w:pPr>
        <w:ind w:firstLine="640"/>
      </w:pPr>
      <w:r>
        <w:rPr>
          <w:rFonts w:ascii="仿宋_GB2312" w:hAnsi="仿宋_GB2312" w:eastAsia="仿宋_GB2312"/>
        </w:rPr>
        <w:t>五、《一般公共预算财政拨款支出决算表》</w:t>
      </w:r>
    </w:p>
    <w:p>
      <w:pPr>
        <w:ind w:firstLine="640"/>
      </w:pPr>
      <w:r>
        <w:rPr>
          <w:rFonts w:ascii="仿宋_GB2312" w:hAnsi="仿宋_GB2312" w:eastAsia="仿宋_GB2312"/>
        </w:rPr>
        <w:t>六、《一般公共预算财政拨款基本支出决算表》</w:t>
      </w:r>
    </w:p>
    <w:p>
      <w:pPr>
        <w:ind w:firstLine="640"/>
      </w:pPr>
      <w:r>
        <w:rPr>
          <w:rFonts w:ascii="仿宋_GB2312" w:hAnsi="仿宋_GB2312" w:eastAsia="仿宋_GB2312"/>
        </w:rPr>
        <w:t>七、《政府性基金预算财政拨款收入支出决算表》</w:t>
      </w:r>
    </w:p>
    <w:p>
      <w:pPr>
        <w:ind w:firstLine="640"/>
      </w:pPr>
      <w:r>
        <w:rPr>
          <w:rFonts w:ascii="仿宋_GB2312" w:hAnsi="仿宋_GB2312" w:eastAsia="仿宋_GB2312"/>
        </w:rPr>
        <w:t>八、《国有资本经营预算财政拨款收入支出决算表》</w:t>
      </w:r>
    </w:p>
    <w:p>
      <w:pPr>
        <w:ind w:firstLine="640"/>
      </w:pPr>
      <w:r>
        <w:rPr>
          <w:rFonts w:ascii="仿宋_GB2312" w:hAnsi="仿宋_GB2312" w:eastAsia="仿宋_GB2312"/>
        </w:rPr>
        <w:t>九、《财政拨款“三公”经费支出决算表》</w:t>
      </w:r>
    </w:p>
    <w:p>
      <w:pPr>
        <w:ind w:firstLine="640"/>
      </w:pPr>
    </w:p>
    <w:p>
      <w:pPr>
        <w:ind w:firstLine="640"/>
      </w:pPr>
    </w:p>
    <w:p>
      <w:pPr>
        <w:ind w:firstLine="640"/>
      </w:pPr>
    </w:p>
    <w:p>
      <w:pPr>
        <w:ind w:firstLine="640"/>
      </w:pPr>
    </w:p>
    <w:p>
      <w:pPr>
        <w:ind w:firstLine="640"/>
      </w:pPr>
    </w:p>
    <w:sectPr>
      <w:footerReference r:id="rId3" w:type="default"/>
      <w:pgSz w:w="11906" w:h="16838"/>
      <w:pgMar w:top="2098" w:right="1531" w:bottom="1984" w:left="153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方正小标宋简体">
    <w:altName w:val="黑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422"/>
        <w:tab w:val="clear" w:pos="4153"/>
        <w:tab w:val="clear" w:pos="8306"/>
      </w:tabs>
    </w:pPr>
    <w:r>
      <w:rPr>
        <w:sz w:val="18"/>
      </w:rP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path/>
          <v:fill on="f" focussize="0,0"/>
          <v:stroke on="f" joinstyle="miter"/>
          <v:imagedata o:title=""/>
          <o:lock v:ext="edit"/>
          <v:textbox inset="0mm,0mm,0mm,0mm" style="mso-fit-shape-to-text:t;">
            <w:txbxContent>
              <w:p>
                <w:pPr>
                  <w:pStyle w:val="4"/>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DAwYmRmZTlkODBlYWI2MWEzOGMyNWRlOTFmY2QzMTQifQ=="/>
  </w:docVars>
  <w:rsids>
    <w:rsidRoot w:val="00655921"/>
    <w:rsid w:val="001E58FD"/>
    <w:rsid w:val="004848BD"/>
    <w:rsid w:val="0048756F"/>
    <w:rsid w:val="004E6292"/>
    <w:rsid w:val="0050275C"/>
    <w:rsid w:val="005110DD"/>
    <w:rsid w:val="00655921"/>
    <w:rsid w:val="006A289C"/>
    <w:rsid w:val="0081600C"/>
    <w:rsid w:val="00842D34"/>
    <w:rsid w:val="00847AD1"/>
    <w:rsid w:val="00990F30"/>
    <w:rsid w:val="00E747BD"/>
    <w:rsid w:val="021B7195"/>
    <w:rsid w:val="02F73D26"/>
    <w:rsid w:val="034D4FEF"/>
    <w:rsid w:val="043E5B56"/>
    <w:rsid w:val="06792773"/>
    <w:rsid w:val="07F11666"/>
    <w:rsid w:val="09A729D8"/>
    <w:rsid w:val="0A3C58E8"/>
    <w:rsid w:val="0A7B4867"/>
    <w:rsid w:val="0B8C3ECC"/>
    <w:rsid w:val="0C3613A3"/>
    <w:rsid w:val="0C7227A7"/>
    <w:rsid w:val="0DCA6EF7"/>
    <w:rsid w:val="0E4B1576"/>
    <w:rsid w:val="0EA04331"/>
    <w:rsid w:val="0F9811B3"/>
    <w:rsid w:val="11E15093"/>
    <w:rsid w:val="120E0809"/>
    <w:rsid w:val="181E054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2D7B7E"/>
    <w:rsid w:val="47445515"/>
    <w:rsid w:val="49CD0834"/>
    <w:rsid w:val="4B4C0111"/>
    <w:rsid w:val="4BB23021"/>
    <w:rsid w:val="4E972C8A"/>
    <w:rsid w:val="4F3F074E"/>
    <w:rsid w:val="4F683F27"/>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4B4AAF"/>
    <w:rsid w:val="6B68175F"/>
    <w:rsid w:val="6B8B5C99"/>
    <w:rsid w:val="6CA7198F"/>
    <w:rsid w:val="6D2940B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1"/>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lang w:bidi="ug-CN"/>
    </w:rPr>
  </w:style>
  <w:style w:type="paragraph" w:customStyle="1" w:styleId="11">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2">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3">
    <w:name w:val="WPSOffice手动目录 1"/>
    <w:qFormat/>
    <w:uiPriority w:val="0"/>
    <w:rPr>
      <w:rFonts w:ascii="Times New Roman" w:hAnsi="Times New Roman" w:eastAsia="宋体" w:cs="Times New Roman"/>
      <w:lang w:val="en-US" w:eastAsia="zh-CN" w:bidi="ug-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textRotate="1"/>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B1F689-3E26-4EC4-B098-51B871D0243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17753</Words>
  <Characters>7844</Characters>
  <Lines>65</Lines>
  <Paragraphs>51</Paragraphs>
  <TotalTime>33</TotalTime>
  <ScaleCrop>false</ScaleCrop>
  <LinksUpToDate>false</LinksUpToDate>
  <CharactersWithSpaces>25546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2025-09-10T11:36:00Z</cp:lastPrinted>
  <dcterms:modified xsi:type="dcterms:W3CDTF">2025-09-11T12:11:47Z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