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97585">
      <w:pPr>
        <w:spacing w:line="56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5EFB0A4">
      <w:pPr>
        <w:spacing w:line="560" w:lineRule="exact"/>
        <w:jc w:val="center"/>
        <w:rPr>
          <w:rFonts w:ascii="华文中宋" w:hAnsi="华文中宋" w:eastAsia="华文中宋" w:cs="宋体"/>
          <w:b/>
          <w:kern w:val="0"/>
          <w:sz w:val="52"/>
          <w:szCs w:val="52"/>
        </w:rPr>
      </w:pPr>
    </w:p>
    <w:p w14:paraId="30B2B9DB">
      <w:pPr>
        <w:spacing w:line="560" w:lineRule="exact"/>
        <w:jc w:val="center"/>
        <w:rPr>
          <w:rFonts w:ascii="华文中宋" w:hAnsi="华文中宋" w:eastAsia="华文中宋" w:cs="宋体"/>
          <w:b/>
          <w:kern w:val="0"/>
          <w:sz w:val="52"/>
          <w:szCs w:val="52"/>
        </w:rPr>
      </w:pPr>
    </w:p>
    <w:p w14:paraId="63E5293E">
      <w:pPr>
        <w:spacing w:line="560" w:lineRule="exact"/>
        <w:jc w:val="center"/>
        <w:rPr>
          <w:rFonts w:ascii="华文中宋" w:hAnsi="华文中宋" w:eastAsia="华文中宋" w:cs="宋体"/>
          <w:b/>
          <w:kern w:val="0"/>
          <w:sz w:val="52"/>
          <w:szCs w:val="52"/>
        </w:rPr>
      </w:pPr>
    </w:p>
    <w:p w14:paraId="3F91590D">
      <w:pPr>
        <w:spacing w:line="560" w:lineRule="exact"/>
        <w:jc w:val="center"/>
        <w:rPr>
          <w:rFonts w:ascii="华文中宋" w:hAnsi="华文中宋" w:eastAsia="华文中宋" w:cs="宋体"/>
          <w:b/>
          <w:kern w:val="0"/>
          <w:sz w:val="52"/>
          <w:szCs w:val="52"/>
        </w:rPr>
      </w:pPr>
    </w:p>
    <w:p w14:paraId="2B731877">
      <w:pPr>
        <w:spacing w:line="560" w:lineRule="exact"/>
        <w:jc w:val="center"/>
        <w:rPr>
          <w:rFonts w:ascii="华文中宋" w:hAnsi="华文中宋" w:eastAsia="华文中宋" w:cs="宋体"/>
          <w:b/>
          <w:kern w:val="0"/>
          <w:sz w:val="52"/>
          <w:szCs w:val="52"/>
        </w:rPr>
      </w:pPr>
    </w:p>
    <w:p w14:paraId="2F6CFF42">
      <w:pPr>
        <w:spacing w:line="560" w:lineRule="exact"/>
        <w:jc w:val="center"/>
        <w:rPr>
          <w:rFonts w:ascii="华文中宋" w:hAnsi="华文中宋" w:eastAsia="华文中宋" w:cs="宋体"/>
          <w:b/>
          <w:kern w:val="0"/>
          <w:sz w:val="52"/>
          <w:szCs w:val="52"/>
        </w:rPr>
      </w:pPr>
    </w:p>
    <w:p w14:paraId="1B859202">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项目支出绩效自评报告</w:t>
      </w:r>
    </w:p>
    <w:p w14:paraId="41FD9C8F">
      <w:pPr>
        <w:spacing w:line="560" w:lineRule="exact"/>
        <w:jc w:val="center"/>
        <w:rPr>
          <w:rFonts w:ascii="华文中宋" w:hAnsi="华文中宋" w:eastAsia="华文中宋" w:cs="宋体"/>
          <w:b/>
          <w:kern w:val="0"/>
          <w:sz w:val="52"/>
          <w:szCs w:val="52"/>
        </w:rPr>
      </w:pPr>
    </w:p>
    <w:p w14:paraId="721539AC">
      <w:pPr>
        <w:spacing w:line="56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4DB97D3D">
      <w:pPr>
        <w:spacing w:line="560" w:lineRule="exact"/>
        <w:jc w:val="center"/>
        <w:rPr>
          <w:rFonts w:hAnsi="宋体" w:eastAsia="仿宋_GB2312" w:cs="宋体"/>
          <w:kern w:val="0"/>
          <w:sz w:val="30"/>
          <w:szCs w:val="30"/>
        </w:rPr>
      </w:pPr>
    </w:p>
    <w:p w14:paraId="7AACA058">
      <w:pPr>
        <w:spacing w:line="560" w:lineRule="exact"/>
        <w:jc w:val="center"/>
        <w:rPr>
          <w:rFonts w:hAnsi="宋体" w:eastAsia="仿宋_GB2312" w:cs="宋体"/>
          <w:kern w:val="0"/>
          <w:sz w:val="30"/>
          <w:szCs w:val="30"/>
        </w:rPr>
      </w:pPr>
    </w:p>
    <w:p w14:paraId="0837D574">
      <w:pPr>
        <w:spacing w:line="560" w:lineRule="exact"/>
        <w:jc w:val="center"/>
        <w:rPr>
          <w:rFonts w:hAnsi="宋体" w:eastAsia="仿宋_GB2312" w:cs="宋体"/>
          <w:kern w:val="0"/>
          <w:sz w:val="30"/>
          <w:szCs w:val="30"/>
        </w:rPr>
      </w:pPr>
    </w:p>
    <w:p w14:paraId="0BA0BAF0">
      <w:pPr>
        <w:spacing w:line="560" w:lineRule="exact"/>
        <w:jc w:val="center"/>
        <w:rPr>
          <w:rFonts w:hAnsi="宋体" w:eastAsia="仿宋_GB2312" w:cs="宋体"/>
          <w:kern w:val="0"/>
          <w:sz w:val="30"/>
          <w:szCs w:val="30"/>
        </w:rPr>
      </w:pPr>
    </w:p>
    <w:p w14:paraId="50FF4D43">
      <w:pPr>
        <w:spacing w:line="560" w:lineRule="exact"/>
        <w:jc w:val="center"/>
        <w:rPr>
          <w:rFonts w:hAnsi="宋体" w:eastAsia="仿宋_GB2312" w:cs="宋体"/>
          <w:kern w:val="0"/>
          <w:sz w:val="30"/>
          <w:szCs w:val="30"/>
        </w:rPr>
      </w:pPr>
    </w:p>
    <w:p w14:paraId="51195979">
      <w:pPr>
        <w:spacing w:line="560" w:lineRule="exact"/>
        <w:jc w:val="center"/>
        <w:rPr>
          <w:rFonts w:hAnsi="宋体" w:eastAsia="仿宋_GB2312" w:cs="宋体"/>
          <w:kern w:val="0"/>
          <w:sz w:val="30"/>
          <w:szCs w:val="30"/>
        </w:rPr>
      </w:pPr>
    </w:p>
    <w:p w14:paraId="17E4C1F6">
      <w:pPr>
        <w:spacing w:line="560" w:lineRule="exact"/>
        <w:rPr>
          <w:rFonts w:hAnsi="宋体" w:eastAsia="仿宋_GB2312" w:cs="宋体"/>
          <w:kern w:val="0"/>
          <w:sz w:val="30"/>
          <w:szCs w:val="30"/>
        </w:rPr>
      </w:pPr>
    </w:p>
    <w:p w14:paraId="02E1F7B9">
      <w:pPr>
        <w:spacing w:line="560" w:lineRule="exact"/>
        <w:jc w:val="left"/>
        <w:rPr>
          <w:rFonts w:hAnsi="宋体" w:eastAsia="仿宋_GB2312" w:cs="宋体"/>
          <w:kern w:val="0"/>
          <w:sz w:val="36"/>
          <w:szCs w:val="36"/>
        </w:rPr>
      </w:pPr>
    </w:p>
    <w:p w14:paraId="43697949">
      <w:pPr>
        <w:spacing w:line="560" w:lineRule="exact"/>
        <w:ind w:left="2697" w:leftChars="513" w:hanging="1620" w:hangingChars="450"/>
        <w:jc w:val="left"/>
        <w:rPr>
          <w:rFonts w:ascii="仿宋_GB2312" w:hAnsi="仿宋_GB2312" w:eastAsia="仿宋_GB2312" w:cs="仿宋_GB2312"/>
          <w:kern w:val="0"/>
          <w:sz w:val="32"/>
          <w:szCs w:val="32"/>
        </w:rPr>
      </w:pPr>
      <w:r>
        <w:rPr>
          <w:rFonts w:hint="eastAsia" w:hAnsi="宋体" w:eastAsia="仿宋_GB2312" w:cs="宋体"/>
          <w:kern w:val="0"/>
          <w:sz w:val="36"/>
          <w:szCs w:val="36"/>
        </w:rPr>
        <w:t>项目名称：</w:t>
      </w:r>
      <w:r>
        <w:rPr>
          <w:rStyle w:val="19"/>
          <w:rFonts w:hint="eastAsia" w:ascii="仿宋_GB2312" w:hAnsi="仿宋_GB2312" w:eastAsia="仿宋_GB2312" w:cs="仿宋_GB2312"/>
          <w:b w:val="0"/>
          <w:bCs w:val="0"/>
          <w:spacing w:val="-4"/>
          <w:sz w:val="32"/>
          <w:szCs w:val="32"/>
        </w:rPr>
        <w:t>2019年全民健康保障工程（第一批）中央基建投资预算（拨款）-和地财建[20219]85号（2年以上结转）项目</w:t>
      </w:r>
    </w:p>
    <w:p w14:paraId="311B46F3">
      <w:pPr>
        <w:spacing w:line="560" w:lineRule="exact"/>
        <w:ind w:firstLine="567"/>
        <w:rPr>
          <w:rFonts w:ascii="仿宋_GB2312" w:hAnsi="仿宋_GB2312" w:eastAsia="仿宋_GB2312" w:cs="仿宋_GB2312"/>
          <w:spacing w:val="-4"/>
          <w:sz w:val="32"/>
          <w:szCs w:val="32"/>
        </w:rPr>
      </w:pPr>
      <w:r>
        <w:rPr>
          <w:rFonts w:hint="eastAsia" w:hAnsi="宋体" w:eastAsia="仿宋_GB2312" w:cs="宋体"/>
          <w:kern w:val="0"/>
          <w:sz w:val="36"/>
          <w:szCs w:val="36"/>
        </w:rPr>
        <w:t xml:space="preserve">  实施单位（公章）：</w:t>
      </w:r>
      <w:r>
        <w:rPr>
          <w:rStyle w:val="19"/>
          <w:rFonts w:hint="eastAsia" w:ascii="仿宋_GB2312" w:hAnsi="仿宋_GB2312" w:eastAsia="仿宋_GB2312" w:cs="仿宋_GB2312"/>
          <w:b w:val="0"/>
          <w:bCs w:val="0"/>
          <w:spacing w:val="-4"/>
          <w:sz w:val="32"/>
          <w:szCs w:val="32"/>
        </w:rPr>
        <w:t>和田地区维吾尔医医院</w:t>
      </w:r>
    </w:p>
    <w:p w14:paraId="794DF3C2">
      <w:pPr>
        <w:spacing w:line="560" w:lineRule="exact"/>
        <w:ind w:firstLine="720" w:firstLineChars="200"/>
        <w:rPr>
          <w:rStyle w:val="19"/>
          <w:rFonts w:ascii="仿宋_GB2312" w:hAnsi="仿宋_GB2312" w:eastAsia="仿宋_GB2312" w:cs="仿宋_GB2312"/>
          <w:b w:val="0"/>
          <w:bCs w:val="0"/>
          <w:spacing w:val="-4"/>
          <w:sz w:val="32"/>
          <w:szCs w:val="32"/>
        </w:rPr>
      </w:pPr>
      <w:r>
        <w:rPr>
          <w:rFonts w:hint="eastAsia" w:hAnsi="宋体" w:eastAsia="仿宋_GB2312" w:cs="宋体"/>
          <w:kern w:val="0"/>
          <w:sz w:val="36"/>
          <w:szCs w:val="36"/>
        </w:rPr>
        <w:t>主管部门（公章）：</w:t>
      </w:r>
      <w:r>
        <w:rPr>
          <w:rStyle w:val="19"/>
          <w:rFonts w:hint="eastAsia" w:ascii="仿宋_GB2312" w:hAnsi="仿宋_GB2312" w:eastAsia="仿宋_GB2312" w:cs="仿宋_GB2312"/>
          <w:b w:val="0"/>
          <w:bCs w:val="0"/>
          <w:spacing w:val="-4"/>
          <w:sz w:val="32"/>
          <w:szCs w:val="32"/>
        </w:rPr>
        <w:t>和田地区维吾尔医医院</w:t>
      </w:r>
    </w:p>
    <w:p w14:paraId="2D98758A">
      <w:pPr>
        <w:spacing w:line="560" w:lineRule="exact"/>
        <w:ind w:firstLine="720" w:firstLineChars="200"/>
        <w:rPr>
          <w:rStyle w:val="19"/>
          <w:rFonts w:ascii="仿宋_GB2312" w:hAnsi="仿宋_GB2312" w:eastAsia="仿宋_GB2312" w:cs="仿宋_GB2312"/>
          <w:b w:val="0"/>
          <w:bCs w:val="0"/>
          <w:spacing w:val="-4"/>
          <w:sz w:val="32"/>
          <w:szCs w:val="32"/>
        </w:rPr>
      </w:pPr>
      <w:r>
        <w:rPr>
          <w:rFonts w:hint="eastAsia" w:hAnsi="宋体" w:eastAsia="仿宋_GB2312" w:cs="宋体"/>
          <w:kern w:val="0"/>
          <w:sz w:val="36"/>
          <w:szCs w:val="36"/>
        </w:rPr>
        <w:t>项目负责人（签章）：</w:t>
      </w:r>
      <w:r>
        <w:rPr>
          <w:rStyle w:val="19"/>
          <w:rFonts w:hint="eastAsia" w:ascii="仿宋_GB2312" w:hAnsi="仿宋_GB2312" w:eastAsia="仿宋_GB2312" w:cs="仿宋_GB2312"/>
          <w:b w:val="0"/>
          <w:bCs w:val="0"/>
          <w:spacing w:val="-4"/>
          <w:sz w:val="32"/>
          <w:szCs w:val="32"/>
        </w:rPr>
        <w:t>买托合提</w:t>
      </w:r>
    </w:p>
    <w:p w14:paraId="777925BD">
      <w:pPr>
        <w:spacing w:line="560" w:lineRule="exact"/>
        <w:ind w:firstLine="720" w:firstLineChars="200"/>
        <w:rPr>
          <w:rFonts w:hAnsi="宋体" w:eastAsia="仿宋_GB2312" w:cs="宋体"/>
          <w:kern w:val="0"/>
          <w:sz w:val="30"/>
          <w:szCs w:val="30"/>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3CF973E2">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8AAF649">
      <w:pPr>
        <w:spacing w:line="560" w:lineRule="exact"/>
        <w:ind w:firstLine="567"/>
        <w:rPr>
          <w:rStyle w:val="19"/>
          <w:rFonts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（一）项目概况</w:t>
      </w:r>
    </w:p>
    <w:p w14:paraId="5A576FF7">
      <w:pPr>
        <w:spacing w:line="560" w:lineRule="exact"/>
        <w:ind w:firstLine="627"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spacing w:val="-4"/>
          <w:sz w:val="32"/>
          <w:szCs w:val="32"/>
        </w:rPr>
        <w:t>1.项目背景</w:t>
      </w:r>
      <w:r>
        <w:cr/>
      </w:r>
      <w:r>
        <w:rPr>
          <w:rStyle w:val="19"/>
          <w:rFonts w:hint="eastAsia" w:ascii="仿宋_GB2312" w:hAnsi="仿宋_GB2312" w:eastAsia="仿宋_GB2312" w:cs="仿宋_GB2312"/>
          <w:b w:val="0"/>
          <w:bCs w:val="0"/>
          <w:spacing w:val="-4"/>
          <w:sz w:val="32"/>
          <w:szCs w:val="32"/>
        </w:rPr>
        <w:t xml:space="preserve">    随着经济社会的快速发展，人民群众对健康的重视程度日益提高，对医疗卫生服务的需求也在持续增长。全民健康保障工程对于提升国家整体医疗服务水平、保障人民健康具有至关重要的意义。中央和地方各级政府不断加大对医疗卫生服务体系建设的投入力度，公共卫生和基本医疗服务基础设施条件得到明显改善。为了进一步完善医疗卫生服务体系，实现人人享有基本医疗卫生服务，推进健康中国建设，国家实施了全民健康保障工程，并安排了中央基建投资。在项目实施过程中，由于各种原因，部分资金形成了结转。这些结转资金的合理使用对于充分发挥中央基建投资效益、推动医疗卫生项目建设、提升全民健康保障水平具有重要作用 。通过对结转资金的有效利用，可以加快项目建设进度，完善医疗卫生设施，提高医疗服务质量，满足人民群众对健康的美好向往。</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着力破解制约中医专科发展的关键问题，提高中医临床疗效和重大疑难疾病的诊疗水平，提升综合服务能力，促进专科特色发展，充分发挥其在医院发展、能力提升、创新驱动等方面的作用，不断扩充优质中医医疗资源总量，逐步优化中医医疗资源布局，满足人民群众对高质量中医药服务的需求。</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2.主要内容</w:t>
      </w:r>
      <w:r>
        <w:cr/>
      </w:r>
      <w:r>
        <w:rPr>
          <w:rFonts w:hint="eastAsia"/>
        </w:rPr>
        <w:t xml:space="preserve">    </w:t>
      </w:r>
      <w:r>
        <w:rPr>
          <w:rStyle w:val="19"/>
          <w:rFonts w:hint="eastAsia" w:ascii="仿宋_GB2312" w:hAnsi="仿宋_GB2312" w:eastAsia="仿宋_GB2312" w:cs="仿宋_GB2312"/>
          <w:b w:val="0"/>
          <w:bCs w:val="0"/>
          <w:spacing w:val="-4"/>
          <w:sz w:val="32"/>
          <w:szCs w:val="32"/>
        </w:rPr>
        <w:t>本项目是一项综合性的建设工程，主要围绕基础设施建设与完善、工程服务保障、办公设备购置展开。用途包括保障公共区域照明、打造功能建筑空间、优化室外管网布局以及确保工程质量。项目范围涵盖了照明设施、建筑工程、室外管网、工程监理与勘察涉及多个领域。其中，支付路灯款用于公共区域照明设施的购置与安装，提升夜间出行安全；支付食堂及煎药室工程款、室外管网改造款，旨在完善建筑功能与优化基础设施；支付工程设计费、项目监理费、勘察款和设计款，是为了确保工程从规划到施工的科学性与规范性，保障工程质量；支付设备质保金则为设备后续稳定运行提供保障；购买电脑设备款用于提升办公硬件水平，满足日常办公数据处理、资料存储与交流沟通等需求，助力项目相关工作高效开展。</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3.实施情况</w:t>
      </w:r>
      <w:r>
        <w:cr/>
      </w:r>
      <w:r>
        <w:rPr>
          <w:rFonts w:hint="eastAsia"/>
        </w:rPr>
        <w:t xml:space="preserve">      </w:t>
      </w:r>
      <w:r>
        <w:rPr>
          <w:rStyle w:val="19"/>
          <w:rFonts w:hint="eastAsia" w:ascii="仿宋_GB2312" w:hAnsi="仿宋_GB2312" w:eastAsia="仿宋_GB2312" w:cs="仿宋_GB2312"/>
          <w:b w:val="0"/>
          <w:bCs w:val="0"/>
          <w:spacing w:val="-4"/>
          <w:sz w:val="32"/>
          <w:szCs w:val="32"/>
        </w:rPr>
        <w:t>实施主体：和田地区维吾尔医医院。</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实施时间：本项目实施期限为2024年1月—2024年12月。</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实施情况：完成场地勘察，支付勘察款，掌握地质等基础信息。委托设计团队，支付设计款和工程设计费，获取路灯布局、建筑构造、管网走向等设计蓝图。购置电脑设备，搭建办公环境，为项目开展提供硬件支撑，完成前期筹备。依据设计施工，支付食堂及煎药室工程20%款项，推进主体建设；同时开展室外管网改造并支付对应款项。安装路灯并结清路灯款，引入监理并支付监理费把控质量。设备交付后支付质保金。对比设计预期，总结项目实施的成效与改进方向。</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4.资金投入和使用情况</w:t>
      </w:r>
      <w:r>
        <w:cr/>
      </w:r>
      <w:r>
        <w:rPr>
          <w:rFonts w:hint="eastAsia"/>
        </w:rPr>
        <w:t xml:space="preserve">    </w:t>
      </w:r>
      <w:r>
        <w:rPr>
          <w:rStyle w:val="19"/>
          <w:rFonts w:hint="eastAsia" w:ascii="仿宋_GB2312" w:hAnsi="仿宋_GB2312" w:eastAsia="仿宋_GB2312" w:cs="仿宋_GB2312"/>
          <w:b w:val="0"/>
          <w:bCs w:val="0"/>
          <w:spacing w:val="-4"/>
          <w:sz w:val="32"/>
          <w:szCs w:val="32"/>
        </w:rPr>
        <w:t>（1）项目资金安排落实、总投入等情况分析</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本项目预算安排总额为429.67万元，资金来源为本级部门预算（中央专项资金），其中：财政资金429.67万元，其他资金0万元，2024年实际收到预算资金429.67万元，预算资金到位率为100%。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（2）项目资金实际使用情况分析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本项目实际支付资金429.67万元，预算执行率100%。本项目资金主要用于支付工程款-食堂、煎药室建设工程20%款费用133.35万元、传承楼室外管网改造款费用30.49万元、支付传承楼前路灯款（支付95%）4.84万元、支付室外机附属工程设计费13.00万元、支付设备质保金-4.48万元、食堂和煎药室建设项目监理费70%款（食堂面积1534平方米、煎药室1165.5平方米）9.09万元、监理费3%质保金0.67万元、传承楼前硬化及绿化工程款（97%）44.59万元、传承楼会议室主席台制作工程款（97%）3.69万元、购置设备的质保金16.90万元、传承楼六楼安装氧气袋，负压带及扶手等设施22.67万元、支付建设项目审计款3.05万元、支付建设项目工程款99.41万元、支付建设项目食堂和煎药室勘察款0.35万元、支付建设项目食堂和煎药室设计款7.60万元、支付建设项目楼设计款0.38万元、支付医院传承楼周围打地坪挡土墙工程款3%为1.07万元、支付传承楼前绿化所种的树苗95%为2.35万元、支付信息化建设项目追加购买电脑设备款22.50万元、建设项目食堂和煎药室高压电力工程款9.16万元。</w:t>
      </w:r>
    </w:p>
    <w:p w14:paraId="148B81B3">
      <w:pPr>
        <w:spacing w:line="560" w:lineRule="exact"/>
        <w:ind w:firstLine="567"/>
        <w:rPr>
          <w:rStyle w:val="19"/>
          <w:rFonts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（二）项目绩效目标</w:t>
      </w:r>
    </w:p>
    <w:p w14:paraId="6EC341A9">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spacing w:val="-4"/>
          <w:sz w:val="32"/>
          <w:szCs w:val="32"/>
        </w:rPr>
        <w:t>1.总体目标</w:t>
      </w:r>
      <w:r>
        <w:cr/>
      </w:r>
      <w:r>
        <w:rPr>
          <w:rStyle w:val="19"/>
          <w:rFonts w:hint="eastAsia" w:ascii="仿宋_GB2312" w:hAnsi="仿宋_GB2312" w:eastAsia="仿宋_GB2312" w:cs="仿宋_GB2312"/>
          <w:b w:val="0"/>
          <w:bCs w:val="0"/>
          <w:spacing w:val="-4"/>
          <w:sz w:val="32"/>
          <w:szCs w:val="32"/>
        </w:rPr>
        <w:t xml:space="preserve">    采购电脑设备1套，建设煎药室1个，项目总投资为429.67万元，项目计划于2024年12月完成。通过本项目的实施，可有效提升医疗水平，待项目实施完成，争取使受益人群满意度不低于95%。</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2.阶段性目标</w:t>
      </w:r>
      <w:r>
        <w:cr/>
      </w:r>
      <w:r>
        <w:rPr>
          <w:rFonts w:hint="eastAsia"/>
        </w:rPr>
        <w:t xml:space="preserve">     </w:t>
      </w:r>
      <w:r>
        <w:rPr>
          <w:rStyle w:val="19"/>
          <w:rFonts w:hint="eastAsia" w:ascii="仿宋_GB2312" w:hAnsi="仿宋_GB2312" w:eastAsia="仿宋_GB2312" w:cs="仿宋_GB2312"/>
          <w:b w:val="0"/>
          <w:bCs w:val="0"/>
          <w:spacing w:val="-4"/>
          <w:sz w:val="32"/>
          <w:szCs w:val="32"/>
        </w:rPr>
        <w:t>项目前期准备工作：支付勘察款，专业团队对项目场地进行全方位勘探，获取地质结构、地下管线分布等关键信息，为后续设计与施工提供准确依据。分别支付设计款与工程设计费，委托资深设计单位进行方案设计。涵盖路灯照明规划、食堂及煎药室建筑设计、室外管网布局改造设计，确保各环节科学合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 xml:space="preserve">项目实施：支付食堂及煎药室工程20%款，施工单位按图施工，稳步推进主体结构建设；同时开展室外管网改造工作，支付对应款项，确保地下管网系统升级。引入项目监理，支付监理费，对工程质量、进度、安全进行全方位监督；设备交付后支付设备质保金。 </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项目完成：室外管网改造完成并通过初步验收，路灯正常投入使用，设备稳定运行。各项设施达到设计要求，满足使用单位对于照明、餐饮、医疗配套及基础设施的需求，项目整体建设目标达成。</w:t>
      </w:r>
    </w:p>
    <w:p w14:paraId="0D9EE504">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9212E98">
      <w:pPr>
        <w:spacing w:line="560" w:lineRule="exact"/>
        <w:ind w:firstLine="564" w:firstLineChars="181"/>
        <w:rPr>
          <w:rStyle w:val="19"/>
          <w:rFonts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（一）绩效评价目的、对象和范围</w:t>
      </w:r>
    </w:p>
    <w:p w14:paraId="02F8340B">
      <w:pPr>
        <w:spacing w:line="560" w:lineRule="exact"/>
        <w:ind w:firstLine="567"/>
        <w:rPr>
          <w:rStyle w:val="19"/>
          <w:rFonts w:ascii="楷体" w:hAnsi="楷体" w:eastAsia="楷体"/>
          <w:b w:val="0"/>
          <w:bCs w:val="0"/>
          <w:spacing w:val="-4"/>
          <w:sz w:val="32"/>
          <w:szCs w:val="32"/>
        </w:rPr>
      </w:pPr>
      <w:r>
        <w:rPr>
          <w:rStyle w:val="19"/>
          <w:rFonts w:hint="eastAsia" w:ascii="仿宋_GB2312" w:hAnsi="仿宋_GB2312" w:eastAsia="仿宋_GB2312" w:cs="仿宋_GB2312"/>
          <w:spacing w:val="-4"/>
          <w:sz w:val="32"/>
          <w:szCs w:val="32"/>
        </w:rPr>
        <w:t>1.绩效评价的目的</w:t>
      </w:r>
      <w:r>
        <w:cr/>
      </w:r>
      <w:r>
        <w:rPr>
          <w:rStyle w:val="19"/>
          <w:rFonts w:hint="eastAsia" w:ascii="仿宋_GB2312" w:hAnsi="仿宋_GB2312" w:eastAsia="仿宋_GB2312" w:cs="仿宋_GB2312"/>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2019年全民健康保障工程（第一批）中央基建投资预算（拨款）-和地财建[20219]85号（2年以上结转）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一是</w:t>
      </w:r>
      <w:r>
        <w:rPr>
          <w:rStyle w:val="19"/>
          <w:rFonts w:hint="eastAsia" w:ascii="仿宋_GB2312" w:hAnsi="仿宋_GB2312" w:eastAsia="仿宋_GB2312" w:cs="仿宋_GB2312"/>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9"/>
          <w:rFonts w:hint="eastAsia" w:ascii="仿宋_GB2312" w:hAnsi="仿宋_GB2312" w:eastAsia="仿宋_GB2312" w:cs="仿宋_GB2312"/>
          <w:spacing w:val="-4"/>
          <w:sz w:val="32"/>
          <w:szCs w:val="32"/>
        </w:rPr>
        <w:t>二是</w:t>
      </w:r>
      <w:r>
        <w:rPr>
          <w:rStyle w:val="19"/>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9"/>
          <w:rFonts w:hint="eastAsia" w:ascii="仿宋_GB2312" w:hAnsi="仿宋_GB2312" w:eastAsia="仿宋_GB2312" w:cs="仿宋_GB2312"/>
          <w:spacing w:val="-4"/>
          <w:sz w:val="32"/>
          <w:szCs w:val="32"/>
        </w:rPr>
        <w:t>三是</w:t>
      </w:r>
      <w:r>
        <w:rPr>
          <w:rStyle w:val="19"/>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仿宋_GB2312" w:hAnsi="仿宋_GB2312" w:eastAsia="仿宋_GB2312" w:cs="仿宋_GB2312"/>
          <w:spacing w:val="-4"/>
          <w:sz w:val="32"/>
          <w:szCs w:val="32"/>
        </w:rPr>
        <w:t>四是</w:t>
      </w:r>
      <w:r>
        <w:rPr>
          <w:rStyle w:val="19"/>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spacing w:val="-4"/>
          <w:sz w:val="32"/>
          <w:szCs w:val="32"/>
        </w:rPr>
        <w:br w:type="textWrapping"/>
      </w:r>
      <w:r>
        <w:rPr>
          <w:rStyle w:val="19"/>
          <w:rFonts w:hint="eastAsia" w:ascii="仿宋_GB2312" w:hAnsi="仿宋_GB2312" w:eastAsia="仿宋_GB2312" w:cs="仿宋_GB2312"/>
          <w:spacing w:val="-4"/>
          <w:sz w:val="32"/>
          <w:szCs w:val="32"/>
        </w:rPr>
        <w:t xml:space="preserve">     2.绩效评价对象</w:t>
      </w:r>
      <w:r>
        <w:cr/>
      </w:r>
      <w:r>
        <w:rPr>
          <w:rFonts w:hint="eastAsia"/>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2019年全民健康保障工程（第一批）中央基建投资预算（拨款）-和地财建[20219]85号（2年以上结转）项目，评价核心为项目的资金投入、产出及效益。</w:t>
      </w:r>
      <w:r>
        <w:cr/>
      </w:r>
      <w:r>
        <w:rPr>
          <w:rFonts w:hint="eastAsia"/>
        </w:rPr>
        <w:t xml:space="preserve">      </w:t>
      </w:r>
      <w:r>
        <w:rPr>
          <w:rStyle w:val="19"/>
          <w:rFonts w:hint="eastAsia" w:ascii="仿宋_GB2312" w:hAnsi="仿宋_GB2312" w:eastAsia="仿宋_GB2312" w:cs="仿宋_GB2312"/>
          <w:spacing w:val="-4"/>
          <w:sz w:val="32"/>
          <w:szCs w:val="32"/>
        </w:rPr>
        <w:t>3.绩效评价范围</w:t>
      </w:r>
      <w:r>
        <w:cr/>
      </w:r>
      <w:r>
        <w:rPr>
          <w:rFonts w:hint="eastAsia"/>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E9DF90C">
      <w:pPr>
        <w:spacing w:line="560" w:lineRule="exact"/>
        <w:ind w:firstLine="567"/>
        <w:rPr>
          <w:rStyle w:val="19"/>
          <w:rFonts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（二）绩效评价原则、评价指标体系、评价方法、评价标准</w:t>
      </w:r>
    </w:p>
    <w:p w14:paraId="4CA1C1BA">
      <w:pPr>
        <w:spacing w:line="560" w:lineRule="exact"/>
        <w:ind w:firstLine="627" w:firstLineChars="200"/>
        <w:rPr>
          <w:rStyle w:val="19"/>
          <w:rFonts w:ascii="楷体" w:hAnsi="楷体" w:eastAsia="楷体"/>
          <w:b w:val="0"/>
          <w:bCs w:val="0"/>
          <w:spacing w:val="-4"/>
          <w:sz w:val="32"/>
          <w:szCs w:val="32"/>
        </w:rPr>
      </w:pPr>
      <w:r>
        <w:rPr>
          <w:rStyle w:val="19"/>
          <w:rFonts w:hint="eastAsia" w:ascii="仿宋_GB2312" w:hAnsi="仿宋_GB2312" w:eastAsia="仿宋_GB2312" w:cs="仿宋_GB2312"/>
          <w:spacing w:val="-4"/>
          <w:sz w:val="32"/>
          <w:szCs w:val="32"/>
        </w:rPr>
        <w:t>1.绩效评价原则</w:t>
      </w:r>
      <w:r>
        <w:cr/>
      </w:r>
      <w:r>
        <w:rPr>
          <w:rStyle w:val="19"/>
          <w:rFonts w:hint="eastAsia" w:ascii="仿宋_GB2312" w:hAnsi="仿宋_GB2312" w:eastAsia="仿宋_GB2312" w:cs="仿宋_GB2312"/>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Fonts w:hint="eastAsia"/>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 xml:space="preserve">    （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2.绩效评价指标体系</w:t>
      </w:r>
      <w:r>
        <w:cr/>
      </w:r>
      <w:r>
        <w:rPr>
          <w:rFonts w:hint="eastAsia"/>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3.评价方法</w:t>
      </w:r>
      <w:r>
        <w:cr/>
      </w:r>
      <w:r>
        <w:rPr>
          <w:rFonts w:hint="eastAsia"/>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4.评价标准</w:t>
      </w:r>
      <w:r>
        <w:cr/>
      </w:r>
      <w:r>
        <w:rPr>
          <w:rFonts w:hint="eastAsia"/>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C74C1CA">
      <w:pPr>
        <w:spacing w:line="560" w:lineRule="exact"/>
        <w:ind w:firstLine="624" w:firstLineChars="200"/>
        <w:rPr>
          <w:rStyle w:val="19"/>
          <w:rFonts w:ascii="楷体" w:hAnsi="楷体" w:eastAsia="楷体"/>
          <w:spacing w:val="-4"/>
          <w:sz w:val="32"/>
          <w:szCs w:val="32"/>
        </w:rPr>
      </w:pPr>
      <w:r>
        <w:rPr>
          <w:rStyle w:val="19"/>
          <w:rFonts w:hint="eastAsia" w:ascii="楷体_GB2312" w:hAnsi="楷体_GB2312" w:eastAsia="楷体_GB2312" w:cs="楷体_GB2312"/>
          <w:b w:val="0"/>
          <w:bCs w:val="0"/>
          <w:spacing w:val="-4"/>
          <w:sz w:val="32"/>
          <w:szCs w:val="32"/>
        </w:rPr>
        <w:t>（三）绩效评价工作过程</w:t>
      </w:r>
    </w:p>
    <w:p w14:paraId="0E4015F0">
      <w:pPr>
        <w:spacing w:line="560" w:lineRule="exact"/>
        <w:ind w:left="155" w:leftChars="74" w:firstLine="470"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spacing w:val="-4"/>
          <w:sz w:val="32"/>
          <w:szCs w:val="32"/>
        </w:rPr>
        <w:t>1.前期准备</w:t>
      </w:r>
      <w:r>
        <w:cr/>
      </w:r>
      <w:r>
        <w:rPr>
          <w:rStyle w:val="19"/>
          <w:rFonts w:hint="eastAsia" w:ascii="仿宋_GB2312" w:hAnsi="仿宋_GB2312" w:eastAsia="仿宋_GB2312" w:cs="仿宋_GB2312"/>
          <w:b w:val="0"/>
          <w:bCs w:val="0"/>
          <w:spacing w:val="-4"/>
          <w:sz w:val="32"/>
          <w:szCs w:val="32"/>
        </w:rPr>
        <w:t xml:space="preserve">    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黄丽淑（评价小组组长）：主要负责审核并解决项目实施过程所有相关问题，复核绩效评价报告质量;</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吾麦尔江（评价小组组员）：主要负责收集项目绩效相关所有资料，负责报告中数据的核实;</w:t>
      </w:r>
      <w:r>
        <w:rPr>
          <w:rFonts w:hint="eastAsia" w:ascii="仿宋_GB2312" w:hAnsi="仿宋_GB2312" w:eastAsia="仿宋_GB2312" w:cs="仿宋_GB2312"/>
          <w:spacing w:val="-4"/>
          <w:sz w:val="32"/>
          <w:szCs w:val="32"/>
        </w:rPr>
        <w:br w:type="textWrapping"/>
      </w:r>
      <w:r>
        <w:rPr>
          <w:rStyle w:val="19"/>
          <w:rFonts w:hint="eastAsia" w:ascii="仿宋_GB2312" w:hAnsi="仿宋_GB2312" w:eastAsia="仿宋_GB2312" w:cs="仿宋_GB2312"/>
          <w:b w:val="0"/>
          <w:bCs w:val="0"/>
          <w:spacing w:val="-4"/>
          <w:sz w:val="32"/>
          <w:szCs w:val="32"/>
        </w:rPr>
        <w:t xml:space="preserve">    布萨达（评价小组组员）：主要负责编制绩效评价报告，编制绩效评价附件表格。</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2.组织实施</w:t>
      </w:r>
      <w:r>
        <w:cr/>
      </w:r>
      <w:r>
        <w:rPr>
          <w:rFonts w:hint="eastAsia"/>
        </w:rPr>
        <w:t xml:space="preserve">      </w:t>
      </w:r>
      <w:r>
        <w:rPr>
          <w:rStyle w:val="19"/>
          <w:rFonts w:hint="eastAsia" w:ascii="仿宋_GB2312" w:hAnsi="仿宋_GB2312" w:eastAsia="仿宋_GB2312" w:cs="仿宋_GB2312"/>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Fonts w:hint="eastAsia"/>
        </w:rPr>
        <w:t xml:space="preserve">       </w:t>
      </w:r>
      <w:r>
        <w:rPr>
          <w:rStyle w:val="19"/>
          <w:rFonts w:hint="eastAsia" w:ascii="仿宋_GB2312" w:hAnsi="仿宋_GB2312" w:eastAsia="仿宋_GB2312" w:cs="仿宋_GB2312"/>
          <w:spacing w:val="-4"/>
          <w:sz w:val="32"/>
          <w:szCs w:val="32"/>
        </w:rPr>
        <w:t>3.分析评价</w:t>
      </w:r>
      <w:r>
        <w:cr/>
      </w:r>
      <w:r>
        <w:rPr>
          <w:rFonts w:hint="eastAsia"/>
        </w:rPr>
        <w:t xml:space="preserve">       </w:t>
      </w:r>
      <w:r>
        <w:rPr>
          <w:rStyle w:val="19"/>
          <w:rFonts w:hint="eastAsia" w:ascii="仿宋_GB2312" w:hAnsi="仿宋_GB2312" w:eastAsia="仿宋_GB2312" w:cs="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4.撰写与提交评价报告</w:t>
      </w:r>
      <w:r>
        <w:cr/>
      </w:r>
      <w:r>
        <w:rPr>
          <w:rFonts w:hint="eastAsia"/>
        </w:rPr>
        <w:t xml:space="preserve">       </w:t>
      </w:r>
      <w:r>
        <w:rPr>
          <w:rStyle w:val="19"/>
          <w:rFonts w:hint="eastAsia" w:ascii="仿宋_GB2312" w:hAnsi="仿宋_GB2312" w:eastAsia="仿宋_GB2312" w:cs="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5.问题整改</w:t>
      </w:r>
      <w:r>
        <w:cr/>
      </w:r>
      <w:r>
        <w:rPr>
          <w:rFonts w:hint="eastAsia"/>
        </w:rPr>
        <w:t xml:space="preserve">      </w:t>
      </w: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Fonts w:hint="eastAsia"/>
        </w:rPr>
        <w:t xml:space="preserve">      </w:t>
      </w:r>
      <w:r>
        <w:rPr>
          <w:rStyle w:val="19"/>
          <w:rFonts w:hint="eastAsia" w:ascii="仿宋_GB2312" w:hAnsi="仿宋_GB2312" w:eastAsia="仿宋_GB2312" w:cs="仿宋_GB2312"/>
          <w:spacing w:val="-4"/>
          <w:sz w:val="32"/>
          <w:szCs w:val="32"/>
        </w:rPr>
        <w:t>6.档案整理</w:t>
      </w:r>
      <w:r>
        <w:cr/>
      </w:r>
      <w:r>
        <w:rPr>
          <w:rFonts w:hint="eastAsia"/>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1574986D">
      <w:pPr>
        <w:spacing w:line="560" w:lineRule="exact"/>
        <w:ind w:firstLine="795" w:firstLineChars="255"/>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8EA2CC9">
      <w:pPr>
        <w:spacing w:line="560" w:lineRule="exact"/>
        <w:ind w:left="155" w:leftChars="74" w:firstLine="564" w:firstLineChars="181"/>
        <w:rPr>
          <w:rStyle w:val="19"/>
          <w:rFonts w:ascii="仿宋_GB2312" w:hAnsi="仿宋_GB2312" w:eastAsia="仿宋_GB2312" w:cs="仿宋_GB2312"/>
          <w:b w:val="0"/>
          <w:bCs w:val="0"/>
          <w:spacing w:val="-4"/>
          <w:sz w:val="32"/>
          <w:szCs w:val="32"/>
        </w:rPr>
      </w:pPr>
      <w:r>
        <w:rPr>
          <w:rStyle w:val="19"/>
          <w:rFonts w:hint="eastAsia" w:ascii="楷体_GB2312" w:hAnsi="楷体_GB2312" w:eastAsia="楷体_GB2312" w:cs="楷体_GB2312"/>
          <w:b w:val="0"/>
          <w:bCs w:val="0"/>
          <w:spacing w:val="-4"/>
          <w:sz w:val="32"/>
          <w:szCs w:val="32"/>
        </w:rPr>
        <w:t>（一）综合评价情况</w:t>
      </w:r>
      <w:r>
        <w:rPr>
          <w:rFonts w:hint="eastAsia" w:ascii="楷体_GB2312" w:hAnsi="楷体_GB2312" w:eastAsia="楷体_GB2312" w:cs="楷体_GB2312"/>
          <w:sz w:val="32"/>
          <w:szCs w:val="32"/>
        </w:rPr>
        <w:cr/>
      </w:r>
      <w:r>
        <w:rPr>
          <w:rStyle w:val="19"/>
          <w:rFonts w:hint="eastAsia" w:ascii="仿宋_GB2312" w:hAnsi="仿宋_GB2312" w:eastAsia="仿宋_GB2312" w:cs="仿宋_GB2312"/>
          <w:b w:val="0"/>
          <w:bCs w:val="0"/>
          <w:spacing w:val="-4"/>
          <w:sz w:val="32"/>
          <w:szCs w:val="32"/>
        </w:rPr>
        <w:t xml:space="preserve">    经评价，本项目达成年初设立的绩效目标，在实施过程中取得了良好的成效，具体表现在以下三方面：</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一是</w:t>
      </w:r>
      <w:r>
        <w:rPr>
          <w:rStyle w:val="19"/>
          <w:rFonts w:hint="eastAsia" w:ascii="仿宋_GB2312" w:hAnsi="仿宋_GB2312" w:eastAsia="仿宋_GB2312" w:cs="仿宋_GB2312"/>
          <w:b w:val="0"/>
          <w:bCs w:val="0"/>
          <w:spacing w:val="-4"/>
          <w:sz w:val="32"/>
          <w:szCs w:val="32"/>
        </w:rPr>
        <w:t>支付路灯款、室外管网改造款，以及食堂及煎药室工程部分款项，表明基础设施建设和配套工程同步开展；支付工程设计费、勘察款、设计款和项目监理费，说明项目前期准备工作和建设监督环节也得到了有效落实，为项目的顺利施工和质量保障奠定了基础。食堂及煎药室工程支付20%有效地保障工程款项支付及完工进度。</w:t>
      </w:r>
      <w:r>
        <w:rPr>
          <w:rStyle w:val="19"/>
          <w:rFonts w:hint="eastAsia" w:ascii="仿宋_GB2312" w:hAnsi="仿宋_GB2312" w:eastAsia="仿宋_GB2312" w:cs="仿宋_GB2312"/>
          <w:spacing w:val="-4"/>
          <w:sz w:val="32"/>
          <w:szCs w:val="32"/>
        </w:rPr>
        <w:t>二是</w:t>
      </w:r>
      <w:r>
        <w:rPr>
          <w:rStyle w:val="19"/>
          <w:rFonts w:hint="eastAsia" w:ascii="仿宋_GB2312" w:hAnsi="仿宋_GB2312" w:eastAsia="仿宋_GB2312" w:cs="仿宋_GB2312"/>
          <w:b w:val="0"/>
          <w:bCs w:val="0"/>
          <w:spacing w:val="-4"/>
          <w:sz w:val="32"/>
          <w:szCs w:val="32"/>
        </w:rPr>
        <w:t>支付内容涵盖了工程建设从前期勘察设计，到施工过程中的设备采购、工程款项，再到质保金、监理费等多个必要环节，符合项目建设的一般财务支出逻辑。购买电脑设备款，为满足项目管理或办公需求，丰富了项目的软、硬件支持，整体支出较为合理。</w:t>
      </w:r>
      <w:r>
        <w:rPr>
          <w:rStyle w:val="19"/>
          <w:rFonts w:hint="eastAsia" w:ascii="仿宋_GB2312" w:hAnsi="仿宋_GB2312" w:eastAsia="仿宋_GB2312" w:cs="仿宋_GB2312"/>
          <w:spacing w:val="-4"/>
          <w:sz w:val="32"/>
          <w:szCs w:val="32"/>
        </w:rPr>
        <w:t>三是</w:t>
      </w:r>
      <w:r>
        <w:rPr>
          <w:rStyle w:val="19"/>
          <w:rFonts w:hint="eastAsia" w:ascii="仿宋_GB2312" w:hAnsi="仿宋_GB2312" w:eastAsia="仿宋_GB2312" w:cs="仿宋_GB2312"/>
          <w:b w:val="0"/>
          <w:bCs w:val="0"/>
          <w:spacing w:val="-4"/>
          <w:sz w:val="32"/>
          <w:szCs w:val="32"/>
        </w:rPr>
        <w:t>支付设备质保金，体现了项目在设备采购环节对质量保障的重视，遵循了行业规范流程；支付项目监理费，说明项目有专业第三方对工程质量、进度等进行监督，有助于保障项目按照既定标准和计划实施。各项费用支付明确，反映出项目财务管理较为规范，资金流向清晰，为项目管理提供了有力的数据支持。</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楷体_GB2312" w:hAnsi="楷体_GB2312" w:eastAsia="楷体_GB2312" w:cs="楷体_GB2312"/>
          <w:b w:val="0"/>
          <w:bCs w:val="0"/>
          <w:spacing w:val="-4"/>
          <w:sz w:val="32"/>
          <w:szCs w:val="32"/>
        </w:rPr>
        <w:t>（二）评价结论</w:t>
      </w:r>
      <w:r>
        <w:cr/>
      </w:r>
      <w:r>
        <w:rPr>
          <w:rFonts w:hint="eastAsia"/>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r>
        <w:rPr>
          <w:rFonts w:hint="eastAsia" w:ascii="仿宋_GB2312" w:hAnsi="仿宋_GB2312" w:eastAsia="仿宋_GB2312" w:cs="仿宋_GB2312"/>
          <w:spacing w:val="-4"/>
          <w:sz w:val="32"/>
          <w:szCs w:val="32"/>
        </w:rPr>
        <w:br w:type="textWrapping"/>
      </w:r>
      <w:r>
        <w:rPr>
          <w:rStyle w:val="19"/>
          <w:rFonts w:hint="eastAsia" w:ascii="仿宋_GB2312" w:hAnsi="仿宋_GB2312" w:eastAsia="仿宋_GB2312" w:cs="仿宋_GB2312"/>
          <w:b w:val="0"/>
          <w:bCs w:val="0"/>
          <w:spacing w:val="-4"/>
          <w:sz w:val="32"/>
          <w:szCs w:val="32"/>
        </w:rPr>
        <w:t xml:space="preserve">    项目决策类指标共设置6个，满分指标6个，权重分21分，得分21分，得分率100%；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项目产出类指标共设置6个，满分指标6个，权重分20分，得分20分，得分率100%；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详细情况见“附件2：项目综合得分表”。</w:t>
      </w:r>
    </w:p>
    <w:p w14:paraId="36DAB413">
      <w:pPr>
        <w:spacing w:line="56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p>
    <w:p w14:paraId="308E1417">
      <w:pPr>
        <w:spacing w:line="56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（一）</w:t>
      </w:r>
      <w:r>
        <w:rPr>
          <w:rStyle w:val="19"/>
          <w:rFonts w:hint="eastAsia" w:ascii="楷体_GB2312" w:hAnsi="楷体_GB2312" w:eastAsia="楷体_GB2312" w:cs="楷体_GB2312"/>
          <w:b w:val="0"/>
          <w:spacing w:val="-4"/>
          <w:sz w:val="32"/>
          <w:szCs w:val="32"/>
        </w:rPr>
        <w:t>项目决策情况</w:t>
      </w:r>
    </w:p>
    <w:p w14:paraId="2DB613D0">
      <w:pPr>
        <w:tabs>
          <w:tab w:val="center" w:pos="4295"/>
        </w:tabs>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1.项目立项情况分析</w:t>
      </w:r>
      <w:r>
        <w:cr/>
      </w:r>
      <w:r>
        <w:rPr>
          <w:rFonts w:hint="eastAsia"/>
        </w:rPr>
        <w:t xml:space="preserve">     </w:t>
      </w:r>
      <w:r>
        <w:rPr>
          <w:rStyle w:val="19"/>
          <w:rFonts w:hint="eastAsia" w:ascii="仿宋_GB2312" w:hAnsi="仿宋_GB2312" w:eastAsia="仿宋_GB2312" w:cs="仿宋_GB2312"/>
          <w:b w:val="0"/>
          <w:bCs w:val="0"/>
          <w:spacing w:val="-4"/>
          <w:sz w:val="32"/>
          <w:szCs w:val="32"/>
        </w:rPr>
        <w:t>（1）立项依据充分性</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本项目立项符合发改委颁发的《关于下达2019年全民健康保障工程中央基建投资预算通知》（和发改项目〔2022〕97号）、（和地财建〔2019〕85号）中资金；本项目立项符合《自治区发展改革委关于和田地区维吾尔医医院中医药传承重点中医医院建设项目初步设计的批复》（新发改项目〔2019〕672号）中内容，符合行业发展规划和政策要求；本项目立项符合《和田地区维吾尔医医院单位配置内设机构和人员编制规定》中职责范围，属于我单位履职所需；根据《财政资金直接支付申请书》，本项目资金性质为“公共财政预算”功能分类为“2100202”经济分类为“30905”属于公共财政支持范围，符合中央、地方事权支出责任划分原则；经检查我单位财政应用平台指标，本项目不存在重复。</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（2）立项程序规范性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本项目根据《关于下达2019年全民健康保障工程中央基建投资预算通知》（和发改项目〔2022〕97号）、（和地财建〔2019〕85号）；本项目立项符合《自治区发展改革委关于和田地区维吾尔医医院中医药传承重点中医医院建设项目初步设计的批复》（新发改项目〔2019〕672号）内容，本项目正式设立。经查看，该项目立项过程产生的相关文件，符合相关要求。本项目为跨年项目，不涉及事前绩效评估和风险评估，已委托新疆原创城市设计研究（院）有限公司编制《和田地区维吾尔医医院中医药传承创新工程重点中医医院建设项目初步设计》。</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2.绩效目标情况分析</w:t>
      </w:r>
      <w:r>
        <w:cr/>
      </w:r>
      <w:r>
        <w:rPr>
          <w:rFonts w:hint="eastAsia"/>
        </w:rPr>
        <w:t xml:space="preserve">     </w:t>
      </w:r>
      <w:r>
        <w:rPr>
          <w:rStyle w:val="19"/>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本项目已设置年度绩效目标，具体内容为“采购电脑设备1套，建设煎药室1个，项目总投资为429.67万元，项目计划于2024年12月完成。通过本项目的实施，可有效提升医疗水平，待项目实施完成，争取使受益人群满意度不低于95%”；本项目实际工作内容为：截至2024年12月31日，本项目实际支出资金429.67万元，预算执行率为100.00%。绩效目标与实际工作内容一致，两者具有相关性;本项目按照绩效目标完成了数量指标、质量指标、时效指标、成本指标，有效提升医疗水平，年度绩效目标完成，预期产出效益和效果符合正常的业绩水平。</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（2）绩效指标明确性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3.资金投入情况分析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（1）预算编制科学性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本项目预算编制紧密贴合工程实际需求，涵盖了从前期筹备到施工建设再到办公设备采购的各个关键环节，具备较强的科学性。施工建设阶段，路灯款、室外管网改造款、食堂及煎药室工程款的预算安排，与工程建设的实际需求匹配，推动项目逐步建成。设备质保金与项目监理费的预算编制，保障了设备质量和工程建设质量，符合项目建设规范与质量管控要求。即预算编制较科学且经过论证；</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确保项目建设的专业性和规范性；还包含办公设备采购，购买电脑设备款满足了项目管理和办公的基本需求，保障项目日常运营的顺利开展，无明显的预算缺漏；</w:t>
      </w:r>
      <w:r>
        <w:rPr>
          <w:rFonts w:hint="eastAsia" w:ascii="仿宋_GB2312" w:hAnsi="仿宋_GB2312" w:eastAsia="仿宋_GB2312" w:cs="仿宋_GB2312"/>
          <w:spacing w:val="-4"/>
          <w:sz w:val="32"/>
          <w:szCs w:val="32"/>
        </w:rPr>
        <w:br w:type="textWrapping"/>
      </w:r>
      <w:r>
        <w:rPr>
          <w:rStyle w:val="19"/>
          <w:rFonts w:hint="eastAsia" w:ascii="仿宋_GB2312" w:hAnsi="仿宋_GB2312" w:eastAsia="仿宋_GB2312" w:cs="仿宋_GB2312"/>
          <w:b w:val="0"/>
          <w:bCs w:val="0"/>
          <w:spacing w:val="-4"/>
          <w:sz w:val="32"/>
          <w:szCs w:val="32"/>
        </w:rPr>
        <w:t xml:space="preserve">    本项目预算申请资金429.67万元，我单位在预算申请中严格按照单位标准和数量进行核算。本项目预算额度测算依据充分，严格按照标准编制，预算确定资金量与实际工作任务相匹配；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p>
    <w:p w14:paraId="30EE30D4">
      <w:pPr>
        <w:tabs>
          <w:tab w:val="center" w:pos="4295"/>
        </w:tabs>
        <w:spacing w:line="560" w:lineRule="exact"/>
        <w:ind w:left="155" w:leftChars="74"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（2）资金分配合理性</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 xml:space="preserve">    本项目实际分配资金以《关于申请2019年全民健康保障工程（第一批）中央基建投资预算（拨款）-和地财建[20219]85号（2年以上结转）项目资金的请示》和《2019年全民健康保障工程（第一批）中央基建投资预算（拨款）-和地财建[20219]85号（2年以上结转）项目实施方案》为依据进行资金分配，预算资金分配依据充分。根据《2019年全民健康保障工程（第一批）中央基建投资预算（拨款）-和地财建[20219]85号（2年以上结转）项目》文件显示，本项目实际到位资金429.67万元，实际分配资金与我单位提交申请的资金额度一致，资金分配额度合理，与我单位实际需求相适应。</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rPr>
        <w:tab/>
      </w:r>
    </w:p>
    <w:p w14:paraId="43A3411F">
      <w:pPr>
        <w:spacing w:line="560" w:lineRule="exact"/>
        <w:ind w:firstLine="564" w:firstLineChars="181"/>
        <w:rPr>
          <w:rStyle w:val="19"/>
          <w:rFonts w:ascii="楷体_GB2312" w:hAnsi="楷体_GB2312" w:eastAsia="楷体_GB2312" w:cs="楷体_GB2312"/>
          <w:b w:val="0"/>
          <w:spacing w:val="-4"/>
          <w:sz w:val="32"/>
          <w:szCs w:val="32"/>
        </w:rPr>
      </w:pPr>
      <w:r>
        <w:rPr>
          <w:rFonts w:hint="eastAsia" w:ascii="楷体_GB2312" w:hAnsi="楷体_GB2312" w:eastAsia="楷体_GB2312" w:cs="楷体_GB2312"/>
          <w:bCs/>
          <w:spacing w:val="-4"/>
          <w:sz w:val="32"/>
          <w:szCs w:val="32"/>
        </w:rPr>
        <w:t>（二）</w:t>
      </w:r>
      <w:r>
        <w:rPr>
          <w:rStyle w:val="19"/>
          <w:rFonts w:hint="eastAsia" w:ascii="楷体_GB2312" w:hAnsi="楷体_GB2312" w:eastAsia="楷体_GB2312" w:cs="楷体_GB2312"/>
          <w:b w:val="0"/>
          <w:spacing w:val="-4"/>
          <w:sz w:val="32"/>
          <w:szCs w:val="32"/>
        </w:rPr>
        <w:t>项目过程情况</w:t>
      </w:r>
    </w:p>
    <w:p w14:paraId="57D7CD0F">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1.资金管理情况分析</w:t>
      </w:r>
      <w:r>
        <w:rPr>
          <w:rFonts w:hint="eastAsia" w:ascii="仿宋_GB2312" w:hAnsi="仿宋_GB2312" w:eastAsia="仿宋_GB2312" w:cs="仿宋_GB2312"/>
          <w:b/>
          <w:bCs/>
          <w:sz w:val="32"/>
          <w:szCs w:val="32"/>
        </w:rPr>
        <w:cr/>
      </w:r>
      <w:r>
        <w:rPr>
          <w:rFonts w:hint="eastAsia" w:ascii="仿宋_GB2312" w:hAnsi="仿宋_GB2312" w:eastAsia="仿宋_GB2312" w:cs="仿宋_GB2312"/>
          <w:b/>
          <w:bCs/>
          <w:sz w:val="32"/>
          <w:szCs w:val="32"/>
        </w:rPr>
        <w:t xml:space="preserve">    </w:t>
      </w:r>
      <w:r>
        <w:rPr>
          <w:rStyle w:val="19"/>
          <w:rFonts w:hint="eastAsia" w:ascii="仿宋_GB2312" w:hAnsi="仿宋_GB2312" w:eastAsia="仿宋_GB2312" w:cs="仿宋_GB2312"/>
          <w:b w:val="0"/>
          <w:bCs w:val="0"/>
          <w:spacing w:val="-4"/>
          <w:sz w:val="32"/>
          <w:szCs w:val="32"/>
        </w:rPr>
        <w:t>（1）资金到位率</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本项目预算资金为429.67万元，其中：本级财政安排资金429.67万元，其他资金0万元，实际到位资金429.67万元，资金到位率=（实际到位资金/预算资金）×100%=（429.67/429.67）*100%=100%。得分=资金到位率*分值=100%*4=4分。</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本项目实际支出资金429.67万元，预算执行率=（实际支出资金/实际到位资金）×100%=（429.67/429.67）*100%=100%。得分=预算执行率*分值=100%*5=5分。</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（3）资金使用合规性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维吾尔医医院单位资金管理办法》《和田地区维吾尔医医院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2.组织实施情况分析</w:t>
      </w:r>
      <w:r>
        <w:cr/>
      </w:r>
      <w:r>
        <w:rPr>
          <w:rFonts w:hint="eastAsia"/>
        </w:rPr>
        <w:t xml:space="preserve">     </w:t>
      </w:r>
      <w:r>
        <w:rPr>
          <w:rStyle w:val="19"/>
          <w:rFonts w:hint="eastAsia" w:ascii="仿宋_GB2312" w:hAnsi="仿宋_GB2312" w:eastAsia="仿宋_GB2312" w:cs="仿宋_GB2312"/>
          <w:b w:val="0"/>
          <w:bCs w:val="0"/>
          <w:spacing w:val="-4"/>
          <w:sz w:val="32"/>
          <w:szCs w:val="32"/>
        </w:rPr>
        <w:t>（1）管理制度健全性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我单位已制定《和田地区维吾尔医医院资金管理办法》《和田地区维吾尔医医院收支业务管理制度》《和田地区维吾尔医医院政府采购业务管理制度》《和田地区维吾尔医医院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（2）制度执行有效性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项目工作领导小组，由党组书记罗新任组长，负责项目的组织工作；麦麦提明任副组长，负责项目的实施工作；组员包括：图尔荪尼亚孜和买托合提，主要负责项目监督管理、验收以及资金核拨等工作。</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0BEC0CBF">
      <w:pPr>
        <w:spacing w:line="56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（三）</w:t>
      </w:r>
      <w:r>
        <w:rPr>
          <w:rStyle w:val="19"/>
          <w:rFonts w:hint="eastAsia" w:ascii="楷体_GB2312" w:hAnsi="楷体_GB2312" w:eastAsia="楷体_GB2312" w:cs="楷体_GB2312"/>
          <w:b w:val="0"/>
          <w:spacing w:val="-4"/>
          <w:sz w:val="32"/>
          <w:szCs w:val="32"/>
        </w:rPr>
        <w:t>项目产出情况</w:t>
      </w:r>
    </w:p>
    <w:p w14:paraId="0A1DAE6D">
      <w:pPr>
        <w:spacing w:line="560" w:lineRule="exact"/>
        <w:ind w:firstLine="720" w:firstLineChars="23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项目产出类指标由4个二级指标和6个三级指标构成，权重分20分，实际得分20分。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1.数量指标完成情况分析</w:t>
      </w:r>
      <w:r>
        <w:cr/>
      </w:r>
      <w:r>
        <w:rPr>
          <w:rFonts w:hint="eastAsia"/>
        </w:rPr>
        <w:t xml:space="preserve">     </w:t>
      </w:r>
      <w:r>
        <w:rPr>
          <w:rStyle w:val="19"/>
          <w:rFonts w:hint="eastAsia" w:ascii="仿宋_GB2312" w:hAnsi="仿宋_GB2312" w:eastAsia="仿宋_GB2312" w:cs="仿宋_GB2312"/>
          <w:b w:val="0"/>
          <w:bCs w:val="0"/>
          <w:spacing w:val="-4"/>
          <w:sz w:val="32"/>
          <w:szCs w:val="32"/>
        </w:rPr>
        <w:t>“采购电脑设备数量”指标：预期指标值为≥1套，实际完成指标值为1套，指标完成率为100%。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“建设煎药室”指标：预期指标值为≥1个，实际完成指标值为1个，指标完成率为100%。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2.质量指标完成情况分析</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“设备质量验收合格率”指标：预期指标值为=100%，实际完成指标值为100%，指标完成率为100%。</w:t>
      </w:r>
      <w:r>
        <w:rPr>
          <w:rFonts w:hint="eastAsia" w:ascii="仿宋_GB2312" w:hAnsi="仿宋_GB2312" w:eastAsia="仿宋_GB2312" w:cs="仿宋_GB2312"/>
          <w:spacing w:val="-4"/>
          <w:sz w:val="32"/>
          <w:szCs w:val="32"/>
        </w:rPr>
        <w:br w:type="textWrapping"/>
      </w:r>
      <w:r>
        <w:rPr>
          <w:rStyle w:val="19"/>
          <w:rFonts w:hint="eastAsia" w:ascii="仿宋_GB2312" w:hAnsi="仿宋_GB2312" w:eastAsia="仿宋_GB2312" w:cs="仿宋_GB2312"/>
          <w:b w:val="0"/>
          <w:bCs w:val="0"/>
          <w:spacing w:val="-4"/>
          <w:sz w:val="32"/>
          <w:szCs w:val="32"/>
        </w:rPr>
        <w:t xml:space="preserve">   </w:t>
      </w:r>
      <w:r>
        <w:rPr>
          <w:rStyle w:val="19"/>
          <w:rFonts w:hint="eastAsia" w:ascii="仿宋_GB2312" w:hAnsi="仿宋_GB2312" w:eastAsia="仿宋_GB2312" w:cs="仿宋_GB2312"/>
          <w:spacing w:val="-4"/>
          <w:sz w:val="32"/>
          <w:szCs w:val="32"/>
        </w:rPr>
        <w:t xml:space="preserve">  3.时效指标完成情况分析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“项目完成时间”指标：预期指标值为2024年12月31日，实际完成指标值为2024年12月31日，指标完成率为100%。</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“资金支付及时率”指标：预期指标值为=100%，实际完成指标值为100%，指标完成率为100%。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 xml:space="preserve"> </w:t>
      </w:r>
      <w:r>
        <w:rPr>
          <w:rStyle w:val="19"/>
          <w:rFonts w:hint="eastAsia" w:ascii="仿宋_GB2312" w:hAnsi="仿宋_GB2312" w:eastAsia="仿宋_GB2312" w:cs="仿宋_GB2312"/>
          <w:b w:val="0"/>
          <w:bCs w:val="0"/>
          <w:spacing w:val="-4"/>
          <w:sz w:val="32"/>
          <w:szCs w:val="32"/>
        </w:rPr>
        <w:t>4.成本指标完成情况分析</w:t>
      </w:r>
      <w:r>
        <w:rPr>
          <w:rFonts w:hint="eastAsia" w:ascii="仿宋_GB2312" w:hAnsi="仿宋_GB2312" w:eastAsia="仿宋_GB2312" w:cs="仿宋_GB2312"/>
          <w:b/>
          <w:bCs/>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“项目总成本”指标：预期指标值为≤429.67万元，实际完成指标值为429.67万元，指标完成率为100.00%。</w:t>
      </w:r>
    </w:p>
    <w:p w14:paraId="62AA5048">
      <w:pPr>
        <w:spacing w:line="56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（四）</w:t>
      </w:r>
      <w:r>
        <w:rPr>
          <w:rStyle w:val="19"/>
          <w:rFonts w:hint="eastAsia" w:ascii="楷体_GB2312" w:hAnsi="楷体_GB2312" w:eastAsia="楷体_GB2312" w:cs="楷体_GB2312"/>
          <w:b w:val="0"/>
          <w:spacing w:val="-4"/>
          <w:sz w:val="32"/>
          <w:szCs w:val="32"/>
        </w:rPr>
        <w:t>项目效益情况</w:t>
      </w:r>
    </w:p>
    <w:p w14:paraId="7A7E803D">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项目效益类指标由2个二级指标和2个三级指标构成，权重分20分，实际得分20分。</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1.经济效益完成情况分析</w:t>
      </w:r>
      <w:r>
        <w:rPr>
          <w:rFonts w:hint="eastAsia" w:ascii="仿宋_GB2312" w:hAnsi="仿宋_GB2312" w:eastAsia="仿宋_GB2312" w:cs="仿宋_GB2312"/>
          <w:b/>
          <w:bCs/>
          <w:sz w:val="32"/>
          <w:szCs w:val="32"/>
        </w:rPr>
        <w:cr/>
      </w:r>
      <w:r>
        <w:rPr>
          <w:rFonts w:hint="eastAsia" w:ascii="仿宋_GB2312" w:hAnsi="仿宋_GB2312" w:eastAsia="仿宋_GB2312" w:cs="仿宋_GB2312"/>
          <w:b/>
          <w:bCs/>
          <w:sz w:val="32"/>
          <w:szCs w:val="32"/>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2.社会效益完成情况分析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“提升医疗水平”指标：预期指标值为有效提升，实际完成指标值为基本达成目标，指标完成率为100.00%。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3.生态效益完成情况分析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4.可持续影响完成情况分析</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spacing w:val="-4"/>
          <w:sz w:val="32"/>
          <w:szCs w:val="32"/>
        </w:rPr>
        <w:t>5.满意度指标完成情况分析</w:t>
      </w:r>
      <w:r>
        <w:rPr>
          <w:rFonts w:hint="eastAsia" w:ascii="仿宋_GB2312" w:hAnsi="仿宋_GB2312" w:eastAsia="仿宋_GB2312" w:cs="仿宋_GB2312"/>
          <w:b/>
          <w:bCs/>
          <w:sz w:val="32"/>
          <w:szCs w:val="32"/>
        </w:rPr>
        <w:cr/>
      </w:r>
      <w:r>
        <w:rPr>
          <w:rFonts w:hint="eastAsia" w:ascii="仿宋_GB2312" w:hAnsi="仿宋_GB2312" w:eastAsia="仿宋_GB2312" w:cs="仿宋_GB2312"/>
          <w:b/>
          <w:bCs/>
          <w:sz w:val="32"/>
          <w:szCs w:val="32"/>
        </w:rPr>
        <w:t xml:space="preserve">   </w:t>
      </w:r>
      <w:r>
        <w:rPr>
          <w:rStyle w:val="19"/>
          <w:rFonts w:hint="eastAsia" w:ascii="仿宋_GB2312" w:hAnsi="仿宋_GB2312" w:eastAsia="仿宋_GB2312" w:cs="仿宋_GB2312"/>
          <w:b w:val="0"/>
          <w:bCs w:val="0"/>
          <w:spacing w:val="-4"/>
          <w:sz w:val="32"/>
          <w:szCs w:val="32"/>
        </w:rPr>
        <w:t>“患者满意度”指标：预期指标值为≥95%，实际完成指标值为100%，指标完成率为100%。</w:t>
      </w:r>
    </w:p>
    <w:p w14:paraId="2E2D4FDA">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1ACFFB4A">
      <w:pPr>
        <w:spacing w:line="560" w:lineRule="exact"/>
        <w:ind w:firstLine="567"/>
        <w:rPr>
          <w:rStyle w:val="19"/>
          <w:rFonts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本项目年初预算资金总额为429.67万元，全年预算数为429.67万元，全年执行数为429.67万元，预算执行率为100%。</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rPr>
        <w:t>本项目共设置三级指标数量19个，满分指标数量19个，扣分指标数量0个，经分析计算所有三级指标完成率得出，本项目总体完成率为100%。</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1D7E2C0E">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34F0C4A9">
      <w:pPr>
        <w:spacing w:line="560" w:lineRule="exact"/>
        <w:ind w:firstLine="567"/>
        <w:rPr>
          <w:rFonts w:ascii="仿宋_GB2312" w:hAnsi="仿宋_GB2312" w:eastAsia="仿宋_GB2312" w:cs="仿宋_GB2312"/>
          <w:spacing w:val="-4"/>
          <w:sz w:val="32"/>
          <w:szCs w:val="32"/>
        </w:rPr>
      </w:pPr>
      <w:r>
        <w:rPr>
          <w:rStyle w:val="19"/>
          <w:rFonts w:hint="eastAsia" w:ascii="楷体_GB2312" w:hAnsi="楷体_GB2312" w:eastAsia="楷体_GB2312" w:cs="楷体_GB2312"/>
          <w:b w:val="0"/>
          <w:bCs w:val="0"/>
          <w:spacing w:val="-4"/>
          <w:sz w:val="32"/>
          <w:szCs w:val="32"/>
        </w:rPr>
        <w:t>（一）主要经验及做法</w:t>
      </w:r>
      <w:r>
        <w:rPr>
          <w:rFonts w:hint="eastAsia" w:ascii="楷体_GB2312" w:hAnsi="楷体_GB2312" w:eastAsia="楷体_GB2312" w:cs="楷体_GB2312"/>
          <w:sz w:val="32"/>
          <w:szCs w:val="32"/>
        </w:rPr>
        <w:cr/>
      </w:r>
      <w:r>
        <w:rPr>
          <w:rStyle w:val="19"/>
          <w:rFonts w:hint="eastAsia" w:ascii="仿宋_GB2312" w:hAnsi="仿宋_GB2312" w:eastAsia="仿宋_GB2312" w:cs="仿宋_GB2312"/>
          <w:b w:val="0"/>
          <w:bCs w:val="0"/>
          <w:spacing w:val="-4"/>
          <w:sz w:val="32"/>
          <w:szCs w:val="32"/>
        </w:rPr>
        <w:t xml:space="preserve">    资金管理层面，严格遵循专款专用原则，对每一笔资金流向进行细致跟踪，结合工程实际进度精准拨付，避免资金沉淀或超支。同时合理预留质保金，有效约束施工单位保障工程质量。 项目进度把控上，借助先进项目管理软件，科学制定施工计划，将工程拆解为多个子任务，明确各阶段时间节点，实现各环节紧密衔接。</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在资金支付上严格遵循合同约定比例，如支付传承楼前路灯款（95%）、食堂和煎药室建设工程 20%款等，避免资金过度预付带来的风险。同时，预留质保金（设备质保金、监理费质保金等），有效督促施工方和供应商保障工程及设备质量。</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楷体_GB2312" w:hAnsi="楷体_GB2312" w:eastAsia="楷体_GB2312" w:cs="楷体_GB2312"/>
          <w:b w:val="0"/>
          <w:bCs w:val="0"/>
          <w:spacing w:val="-4"/>
          <w:sz w:val="32"/>
          <w:szCs w:val="32"/>
        </w:rPr>
        <w:t>（二）存在的问题及原因分析</w:t>
      </w:r>
      <w:r>
        <w:rPr>
          <w:rFonts w:hint="eastAsia" w:ascii="楷体_GB2312" w:hAnsi="楷体_GB2312" w:eastAsia="楷体_GB2312" w:cs="楷体_GB2312"/>
          <w:sz w:val="32"/>
          <w:szCs w:val="32"/>
        </w:rPr>
        <w:cr/>
      </w:r>
      <w:r>
        <w:rPr>
          <w:rFonts w:hint="eastAsia" w:ascii="楷体_GB2312" w:hAnsi="楷体_GB2312" w:eastAsia="楷体_GB2312" w:cs="楷体_GB2312"/>
          <w:sz w:val="32"/>
          <w:szCs w:val="32"/>
        </w:rPr>
        <w:t xml:space="preserve">   </w:t>
      </w:r>
      <w:r>
        <w:rPr>
          <w:rStyle w:val="19"/>
          <w:rFonts w:hint="eastAsia" w:ascii="仿宋_GB2312" w:hAnsi="仿宋_GB2312" w:eastAsia="仿宋_GB2312" w:cs="仿宋_GB2312"/>
          <w:b w:val="0"/>
          <w:bCs w:val="0"/>
          <w:spacing w:val="-4"/>
          <w:sz w:val="32"/>
          <w:szCs w:val="32"/>
        </w:rPr>
        <w:t>1.对各项指标和指标值需进一步优化、完善，主要在细化、量化上改进。</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4C16ADFC">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七、有关建议</w:t>
      </w:r>
    </w:p>
    <w:p w14:paraId="6F97AD76">
      <w:pPr>
        <w:spacing w:line="560" w:lineRule="exact"/>
        <w:ind w:firstLine="567"/>
        <w:rPr>
          <w:rStyle w:val="19"/>
          <w:rFonts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70B552E8">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八、其他需要说明的问题</w:t>
      </w:r>
    </w:p>
    <w:p w14:paraId="7942D634">
      <w:pPr>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5BE881E">
      <w:pPr>
        <w:spacing w:line="560" w:lineRule="exact"/>
        <w:ind w:firstLine="567"/>
        <w:rPr>
          <w:rStyle w:val="19"/>
          <w:rFonts w:ascii="仿宋" w:hAnsi="仿宋" w:eastAsia="仿宋"/>
          <w:b w:val="0"/>
          <w:spacing w:val="-4"/>
          <w:sz w:val="32"/>
          <w:szCs w:val="32"/>
        </w:rPr>
      </w:pPr>
    </w:p>
    <w:sectPr>
      <w:footerReference r:id="rId3" w:type="default"/>
      <w:pgSz w:w="11906" w:h="16838"/>
      <w:pgMar w:top="2098" w:right="1531" w:bottom="198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0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452F4F8">
        <w:pPr>
          <w:pStyle w:val="12"/>
          <w:jc w:val="center"/>
        </w:pPr>
        <w:r>
          <w:fldChar w:fldCharType="begin"/>
        </w:r>
        <w:r>
          <w:instrText xml:space="preserve">PAGE   \* MERGEFORMAT</w:instrText>
        </w:r>
        <w:r>
          <w:fldChar w:fldCharType="separate"/>
        </w:r>
        <w:r>
          <w:rPr>
            <w:lang w:val="zh-CN"/>
          </w:rPr>
          <w:t>2</w:t>
        </w:r>
        <w:r>
          <w:fldChar w:fldCharType="end"/>
        </w:r>
      </w:p>
    </w:sdtContent>
  </w:sdt>
  <w:p w14:paraId="5BE5B27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239"/>
    <w:rsid w:val="0004265B"/>
    <w:rsid w:val="00387027"/>
    <w:rsid w:val="00402239"/>
    <w:rsid w:val="004A2D0A"/>
    <w:rsid w:val="00666991"/>
    <w:rsid w:val="0084555F"/>
    <w:rsid w:val="008E1815"/>
    <w:rsid w:val="009501D3"/>
    <w:rsid w:val="00AD15A5"/>
    <w:rsid w:val="00E72CD3"/>
    <w:rsid w:val="00ED44B4"/>
    <w:rsid w:val="00FA63EC"/>
    <w:rsid w:val="5FBE8D46"/>
    <w:rsid w:val="6EE7052A"/>
  </w:rsids>
  <m:mathPr>
    <m:mathFont m:val="Cambria Math"/>
    <m:brkBin m:val="before"/>
    <m:brkBinSub m:val="--"/>
    <m:smallFrac m:val="1"/>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2052-11.8.2.8053</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F5CE6FF0-D4AB-4FBB-957B-B93B4781F4E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1968</Words>
  <Characters>11219</Characters>
  <Lines>93</Lines>
  <Paragraphs>26</Paragraphs>
  <TotalTime>41</TotalTime>
  <ScaleCrop>false</ScaleCrop>
  <LinksUpToDate>false</LinksUpToDate>
  <CharactersWithSpaces>13161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sugon</cp:lastModifiedBy>
  <cp:lastPrinted>2025-09-26T18:03:09Z</cp:lastPrinted>
  <dcterms:modified xsi:type="dcterms:W3CDTF">2025-09-26T18:03:34Z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