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jc w:val="left"/>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left"/>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left"/>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left"/>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left"/>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和田地区特种设备检验检测所2024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05E01D">
      <w:pPr>
        <w:jc w:val="left"/>
      </w:pPr>
      <w:r>
        <w:br w:type="page"/>
      </w:r>
    </w:p>
    <w:p w14:paraId="74E18E90">
      <w:pPr>
        <w:spacing w:line="640" w:lineRule="exact"/>
        <w:ind w:firstLine="640" w:firstLineChars="200"/>
        <w:jc w:val="left"/>
        <w:outlineLvl w:val="1"/>
      </w:pPr>
      <w:r>
        <w:rPr>
          <w:rFonts w:ascii="黑体" w:hAnsi="黑体" w:eastAsia="黑体"/>
          <w:sz w:val="32"/>
        </w:rPr>
        <w:t>第一部分 单位概况</w:t>
      </w:r>
    </w:p>
    <w:p w14:paraId="2A6EB105">
      <w:pPr>
        <w:spacing w:line="640" w:lineRule="exact"/>
        <w:ind w:firstLine="640"/>
        <w:jc w:val="left"/>
        <w:outlineLvl w:val="2"/>
      </w:pPr>
      <w:r>
        <w:rPr>
          <w:rFonts w:ascii="黑体" w:hAnsi="黑体" w:eastAsia="黑体"/>
          <w:sz w:val="32"/>
        </w:rPr>
        <w:t>一、主要职能</w:t>
      </w:r>
    </w:p>
    <w:p w14:paraId="796E04DB">
      <w:pPr>
        <w:spacing w:line="580" w:lineRule="exact"/>
        <w:ind w:firstLine="643" w:firstLineChars="200"/>
        <w:jc w:val="left"/>
      </w:pPr>
      <w:r>
        <w:rPr>
          <w:rFonts w:ascii="仿宋_GB2312" w:hAnsi="仿宋_GB2312" w:eastAsia="仿宋_GB2312"/>
          <w:b/>
          <w:bCs/>
          <w:sz w:val="32"/>
        </w:rPr>
        <w:t>（1）检验检测工作</w:t>
      </w:r>
      <w:r>
        <w:rPr>
          <w:rFonts w:hint="eastAsia" w:ascii="仿宋_GB2312" w:hAnsi="仿宋_GB2312" w:eastAsia="仿宋_GB2312"/>
          <w:b/>
          <w:bCs/>
          <w:sz w:val="32"/>
          <w:lang w:eastAsia="zh-CN"/>
        </w:rPr>
        <w:t>、</w:t>
      </w:r>
      <w:r>
        <w:rPr>
          <w:rFonts w:ascii="仿宋_GB2312" w:hAnsi="仿宋_GB2312" w:eastAsia="仿宋_GB2312"/>
          <w:b/>
          <w:bCs/>
          <w:sz w:val="32"/>
        </w:rPr>
        <w:t>制造过程监督检验：</w:t>
      </w:r>
      <w:r>
        <w:rPr>
          <w:rFonts w:ascii="仿宋_GB2312" w:hAnsi="仿宋_GB2312" w:eastAsia="仿宋_GB2312"/>
          <w:sz w:val="32"/>
        </w:rPr>
        <w:t>对特种设备的制造过程进行严格监督检验，确保新生产的特种设备符合相关的质量标准和安全要求。例如，在锅炉、压力容器等特种设备的制造环节，检验其原材料、焊接工艺、结构设计等是否符合规定。</w:t>
      </w:r>
    </w:p>
    <w:p w14:paraId="022D1C2A">
      <w:pPr>
        <w:spacing w:line="580" w:lineRule="exact"/>
        <w:ind w:firstLine="640"/>
        <w:jc w:val="left"/>
      </w:pPr>
      <w:r>
        <w:rPr>
          <w:rFonts w:ascii="仿宋_GB2312" w:hAnsi="仿宋_GB2312" w:eastAsia="仿宋_GB2312"/>
          <w:b/>
          <w:bCs/>
          <w:sz w:val="32"/>
        </w:rPr>
        <w:t>（2）安装、改造、重大维修过程监督检验：</w:t>
      </w:r>
      <w:r>
        <w:rPr>
          <w:rFonts w:ascii="仿宋_GB2312" w:hAnsi="仿宋_GB2312" w:eastAsia="仿宋_GB2312"/>
          <w:sz w:val="32"/>
        </w:rPr>
        <w:t>对特种设备的安装、改造以及重大维修过程进行监督，检查施工单位的资质、施工方案、施工过程是否合规，保障特种设备在这些</w:t>
      </w:r>
      <w:r>
        <w:rPr>
          <w:rFonts w:hint="eastAsia" w:ascii="仿宋_GB2312" w:hAnsi="仿宋_GB2312" w:eastAsia="仿宋_GB2312"/>
          <w:sz w:val="32"/>
          <w:lang w:eastAsia="zh-CN"/>
        </w:rPr>
        <w:t>关键环节</w:t>
      </w:r>
      <w:r>
        <w:rPr>
          <w:rFonts w:ascii="仿宋_GB2312" w:hAnsi="仿宋_GB2312" w:eastAsia="仿宋_GB2312"/>
          <w:sz w:val="32"/>
        </w:rPr>
        <w:t>的安全性和可靠性。比如，电梯的安装、起重机的改造等作业过程都需要进行监督检验。</w:t>
      </w:r>
    </w:p>
    <w:p w14:paraId="77B0FBB7">
      <w:pPr>
        <w:spacing w:line="580" w:lineRule="exact"/>
        <w:ind w:firstLine="640"/>
        <w:jc w:val="left"/>
      </w:pPr>
      <w:r>
        <w:rPr>
          <w:rFonts w:ascii="仿宋_GB2312" w:hAnsi="仿宋_GB2312" w:eastAsia="仿宋_GB2312"/>
          <w:b/>
          <w:bCs/>
          <w:sz w:val="32"/>
        </w:rPr>
        <w:t>（3）定期检验：</w:t>
      </w:r>
      <w:r>
        <w:rPr>
          <w:rFonts w:ascii="仿宋_GB2312" w:hAnsi="仿宋_GB2312" w:eastAsia="仿宋_GB2312"/>
          <w:sz w:val="32"/>
        </w:rPr>
        <w:t>按照规定的时间周期对在用特种设备进行全面检验，及时发现设备在使用过程中产生的安全隐患和性能问题。例如，对使用一定年限的压力容器、起重机械等进行定期的全面检测，包括外观检查、内部探伤、性能测试等。</w:t>
      </w:r>
    </w:p>
    <w:p w14:paraId="332B6729">
      <w:pPr>
        <w:spacing w:line="640" w:lineRule="exact"/>
        <w:ind w:firstLine="640"/>
        <w:jc w:val="left"/>
        <w:outlineLvl w:val="2"/>
      </w:pPr>
      <w:r>
        <w:rPr>
          <w:rFonts w:ascii="黑体" w:hAnsi="黑体" w:eastAsia="黑体"/>
          <w:sz w:val="32"/>
        </w:rPr>
        <w:t>二、机构设置及人员情况</w:t>
      </w:r>
    </w:p>
    <w:p w14:paraId="08834E31">
      <w:pPr>
        <w:spacing w:line="580" w:lineRule="exact"/>
        <w:ind w:firstLine="640"/>
        <w:jc w:val="left"/>
      </w:pPr>
      <w:r>
        <w:rPr>
          <w:rFonts w:ascii="仿宋_GB2312" w:hAnsi="仿宋_GB2312" w:eastAsia="仿宋_GB2312"/>
          <w:sz w:val="32"/>
        </w:rPr>
        <w:t>和田地区特种设备检验检测所2024年度，实有人数22人，其中：在职人员15人，减少1人；离休人员0人，增加0人；退休人员7人,增加1人。</w:t>
      </w:r>
    </w:p>
    <w:p w14:paraId="0D869071">
      <w:pPr>
        <w:spacing w:line="580" w:lineRule="exact"/>
        <w:ind w:firstLine="640"/>
        <w:jc w:val="left"/>
      </w:pPr>
      <w:r>
        <w:rPr>
          <w:rFonts w:ascii="仿宋_GB2312" w:hAnsi="仿宋_GB2312" w:eastAsia="仿宋_GB2312"/>
          <w:sz w:val="32"/>
        </w:rPr>
        <w:t>和田地区特种设备检验检测所无下属预算单位，下设3个科室，分别是：办公室、财务室、检验室。</w:t>
      </w:r>
    </w:p>
    <w:p w14:paraId="49DC367A">
      <w:pPr>
        <w:jc w:val="left"/>
      </w:pPr>
      <w:r>
        <w:br w:type="page"/>
      </w:r>
    </w:p>
    <w:p w14:paraId="66EF0EE1">
      <w:pPr>
        <w:spacing w:line="240" w:lineRule="auto"/>
        <w:ind w:firstLine="640" w:firstLineChars="200"/>
        <w:jc w:val="left"/>
        <w:outlineLvl w:val="1"/>
      </w:pPr>
      <w:r>
        <w:rPr>
          <w:rFonts w:ascii="黑体" w:hAnsi="黑体" w:eastAsia="黑体"/>
          <w:sz w:val="32"/>
        </w:rPr>
        <w:t>第二部分 部门决算情况说明</w:t>
      </w:r>
    </w:p>
    <w:p w14:paraId="0F3F4022">
      <w:pPr>
        <w:spacing w:line="640" w:lineRule="exact"/>
        <w:ind w:firstLine="640"/>
        <w:jc w:val="left"/>
        <w:outlineLvl w:val="2"/>
      </w:pPr>
      <w:r>
        <w:rPr>
          <w:rFonts w:ascii="黑体" w:hAnsi="黑体" w:eastAsia="黑体"/>
          <w:sz w:val="32"/>
        </w:rPr>
        <w:t>一、收入支出决算总体情况说明</w:t>
      </w:r>
    </w:p>
    <w:p w14:paraId="70A8E383">
      <w:pPr>
        <w:spacing w:line="580" w:lineRule="exact"/>
        <w:ind w:firstLine="640"/>
        <w:jc w:val="left"/>
      </w:pPr>
      <w:r>
        <w:rPr>
          <w:rFonts w:ascii="仿宋_GB2312" w:hAnsi="仿宋_GB2312" w:eastAsia="仿宋_GB2312"/>
          <w:b w:val="0"/>
          <w:sz w:val="32"/>
        </w:rPr>
        <w:t>2024年度支出总计668.70万元</w:t>
      </w:r>
      <w:r>
        <w:rPr>
          <w:rFonts w:hint="eastAsia" w:ascii="仿宋_GB2312" w:hAnsi="仿宋_GB2312" w:eastAsia="仿宋_GB2312"/>
          <w:b w:val="0"/>
          <w:sz w:val="32"/>
          <w:lang w:eastAsia="zh-CN"/>
        </w:rPr>
        <w:t>。</w:t>
      </w:r>
      <w:r>
        <w:rPr>
          <w:rFonts w:ascii="仿宋_GB2312" w:hAnsi="仿宋_GB2312" w:eastAsia="仿宋_GB2312"/>
          <w:b w:val="0"/>
          <w:sz w:val="32"/>
        </w:rPr>
        <w:t>其中：本年支出合计668.70万元，结余分配0.00万元，年末结转和结余0.00万元。</w:t>
      </w:r>
    </w:p>
    <w:p w14:paraId="0FADCDBE">
      <w:pPr>
        <w:spacing w:line="580" w:lineRule="exact"/>
        <w:ind w:firstLine="640"/>
        <w:jc w:val="left"/>
      </w:pPr>
      <w:r>
        <w:rPr>
          <w:rFonts w:ascii="仿宋_GB2312" w:hAnsi="仿宋_GB2312" w:eastAsia="仿宋_GB2312"/>
          <w:b w:val="0"/>
          <w:sz w:val="32"/>
        </w:rPr>
        <w:t>收入支出总体与上年相比，减少48.54万元，下降6.77%，主要原因是：本年减少存量资金-专用设备购置业务经费，导致经费较上年减少。</w:t>
      </w:r>
    </w:p>
    <w:p w14:paraId="03783DC1">
      <w:pPr>
        <w:spacing w:line="640" w:lineRule="exact"/>
        <w:ind w:firstLine="640"/>
        <w:jc w:val="left"/>
        <w:outlineLvl w:val="2"/>
      </w:pPr>
      <w:r>
        <w:rPr>
          <w:rFonts w:ascii="黑体" w:hAnsi="黑体" w:eastAsia="黑体"/>
          <w:sz w:val="32"/>
        </w:rPr>
        <w:t>二、收入决算情况说明</w:t>
      </w:r>
    </w:p>
    <w:p w14:paraId="4337F7DC">
      <w:pPr>
        <w:spacing w:line="580" w:lineRule="exact"/>
        <w:ind w:firstLine="640"/>
        <w:jc w:val="left"/>
      </w:pPr>
      <w:r>
        <w:rPr>
          <w:rFonts w:ascii="仿宋_GB2312" w:hAnsi="仿宋_GB2312" w:eastAsia="仿宋_GB2312"/>
          <w:b w:val="0"/>
          <w:sz w:val="32"/>
        </w:rPr>
        <w:t>本年收入659.91万元</w:t>
      </w:r>
      <w:r>
        <w:rPr>
          <w:rFonts w:hint="eastAsia" w:ascii="仿宋_GB2312" w:hAnsi="仿宋_GB2312" w:eastAsia="仿宋_GB2312"/>
          <w:b w:val="0"/>
          <w:sz w:val="32"/>
          <w:lang w:eastAsia="zh-CN"/>
        </w:rPr>
        <w:t>。</w:t>
      </w:r>
      <w:r>
        <w:rPr>
          <w:rFonts w:ascii="仿宋_GB2312" w:hAnsi="仿宋_GB2312" w:eastAsia="仿宋_GB2312"/>
          <w:b w:val="0"/>
          <w:sz w:val="32"/>
        </w:rPr>
        <w:t>其中：财政拨款收入659.91万元，占100.00%；上级补助收入0.00万元，占0.00%；事业收入0.00万元，占0.00%；经营收入0.00万元，占0.00%；附属单位上缴收入0.00万元，占0.00%；其他收入0.00万元，占0.00%。</w:t>
      </w:r>
    </w:p>
    <w:p w14:paraId="01240B74">
      <w:pPr>
        <w:spacing w:line="640" w:lineRule="exact"/>
        <w:ind w:firstLine="640"/>
        <w:jc w:val="left"/>
        <w:outlineLvl w:val="2"/>
      </w:pPr>
      <w:r>
        <w:rPr>
          <w:rFonts w:ascii="黑体" w:hAnsi="黑体" w:eastAsia="黑体"/>
          <w:sz w:val="32"/>
        </w:rPr>
        <w:t>三、支出决算情况说明</w:t>
      </w:r>
    </w:p>
    <w:p w14:paraId="3A318579">
      <w:pPr>
        <w:spacing w:line="580" w:lineRule="exact"/>
        <w:ind w:firstLine="640"/>
        <w:jc w:val="left"/>
      </w:pPr>
      <w:r>
        <w:rPr>
          <w:rFonts w:ascii="仿宋_GB2312" w:hAnsi="仿宋_GB2312" w:eastAsia="仿宋_GB2312"/>
          <w:b w:val="0"/>
          <w:sz w:val="32"/>
        </w:rPr>
        <w:t>本年支出668.70万元</w:t>
      </w:r>
      <w:r>
        <w:rPr>
          <w:rFonts w:hint="eastAsia" w:ascii="仿宋_GB2312" w:hAnsi="仿宋_GB2312" w:eastAsia="仿宋_GB2312"/>
          <w:b w:val="0"/>
          <w:sz w:val="32"/>
          <w:lang w:eastAsia="zh-CN"/>
        </w:rPr>
        <w:t>。</w:t>
      </w:r>
      <w:r>
        <w:rPr>
          <w:rFonts w:ascii="仿宋_GB2312" w:hAnsi="仿宋_GB2312" w:eastAsia="仿宋_GB2312"/>
          <w:b w:val="0"/>
          <w:sz w:val="32"/>
        </w:rPr>
        <w:t>其中：基本支出360.55万元，占53.92%；项目支出308.14万元，占46.08%；上缴上级支出0.00万元，占0.00%；经营支出0.00万元，占0.00%；对附属单位补助支出0.00万元，占0.00%。</w:t>
      </w:r>
    </w:p>
    <w:p w14:paraId="0C706199">
      <w:pPr>
        <w:spacing w:line="640" w:lineRule="exact"/>
        <w:ind w:firstLine="640"/>
        <w:jc w:val="left"/>
        <w:outlineLvl w:val="2"/>
      </w:pPr>
      <w:r>
        <w:rPr>
          <w:rFonts w:ascii="黑体" w:hAnsi="黑体" w:eastAsia="黑体"/>
          <w:sz w:val="32"/>
        </w:rPr>
        <w:t>四、财政拨款收入支出决算总体情况说明</w:t>
      </w:r>
    </w:p>
    <w:p w14:paraId="3AADCC0D">
      <w:pPr>
        <w:spacing w:line="580" w:lineRule="exact"/>
        <w:ind w:firstLine="640"/>
        <w:jc w:val="left"/>
        <w:rPr>
          <w:rFonts w:ascii="仿宋_GB2312" w:hAnsi="仿宋_GB2312" w:eastAsia="仿宋_GB2312"/>
          <w:b w:val="0"/>
          <w:sz w:val="32"/>
        </w:rPr>
      </w:pPr>
      <w:r>
        <w:rPr>
          <w:rFonts w:ascii="仿宋_GB2312" w:hAnsi="仿宋_GB2312" w:eastAsia="仿宋_GB2312"/>
          <w:b w:val="0"/>
          <w:sz w:val="32"/>
        </w:rPr>
        <w:t>2024年度财政拨款收入总计668.70万元</w:t>
      </w:r>
      <w:r>
        <w:rPr>
          <w:rFonts w:hint="eastAsia" w:ascii="仿宋_GB2312" w:hAnsi="仿宋_GB2312" w:eastAsia="仿宋_GB2312"/>
          <w:b w:val="0"/>
          <w:sz w:val="32"/>
          <w:lang w:eastAsia="zh-CN"/>
        </w:rPr>
        <w:t>。</w:t>
      </w:r>
      <w:r>
        <w:rPr>
          <w:rFonts w:ascii="仿宋_GB2312" w:hAnsi="仿宋_GB2312" w:eastAsia="仿宋_GB2312"/>
          <w:b w:val="0"/>
          <w:sz w:val="32"/>
        </w:rPr>
        <w:t>其中：年初财政拨款结转和结余8.78万元，本年财政拨款收入659.91万元。财政拨款支出总计668.70万元</w:t>
      </w:r>
      <w:r>
        <w:rPr>
          <w:rFonts w:hint="eastAsia" w:ascii="仿宋_GB2312" w:hAnsi="仿宋_GB2312" w:eastAsia="仿宋_GB2312"/>
          <w:b w:val="0"/>
          <w:sz w:val="32"/>
          <w:lang w:eastAsia="zh-CN"/>
        </w:rPr>
        <w:t>。</w:t>
      </w:r>
      <w:r>
        <w:rPr>
          <w:rFonts w:ascii="仿宋_GB2312" w:hAnsi="仿宋_GB2312" w:eastAsia="仿宋_GB2312"/>
          <w:b w:val="0"/>
          <w:sz w:val="32"/>
        </w:rPr>
        <w:t>其中：年末财政拨款结转和结余0.00万元，本年财政拨款支出668.70万元。</w:t>
      </w:r>
    </w:p>
    <w:p w14:paraId="1E829FD8">
      <w:pPr>
        <w:spacing w:line="580" w:lineRule="exact"/>
        <w:ind w:firstLine="640"/>
        <w:jc w:val="left"/>
      </w:pPr>
      <w:r>
        <w:rPr>
          <w:rFonts w:ascii="仿宋_GB2312" w:hAnsi="仿宋_GB2312" w:eastAsia="仿宋_GB2312"/>
          <w:b w:val="0"/>
          <w:sz w:val="32"/>
        </w:rPr>
        <w:t>财政拨款收入支出总体与上年相比，增加49.94万元，增长8.07%，主要原因是：本年专用设备业务经费项目资金较上年增加。与年初预算相比，年初预算数675.12万元，决算数668.70万元，预决算差异率-0.95%，主要原因是：本年在职人员减少，年中调减人员经费，导致预决算存在差异。</w:t>
      </w:r>
    </w:p>
    <w:p w14:paraId="2470F7A0">
      <w:pPr>
        <w:spacing w:line="640" w:lineRule="exact"/>
        <w:ind w:firstLine="640"/>
        <w:jc w:val="left"/>
        <w:outlineLvl w:val="2"/>
      </w:pPr>
      <w:r>
        <w:rPr>
          <w:rFonts w:ascii="黑体" w:hAnsi="黑体" w:eastAsia="黑体"/>
          <w:sz w:val="32"/>
        </w:rPr>
        <w:t>五、一般公共预算财政拨款支出决算情况说明</w:t>
      </w:r>
    </w:p>
    <w:p w14:paraId="38B63652">
      <w:pPr>
        <w:spacing w:line="640" w:lineRule="exact"/>
        <w:ind w:firstLine="640"/>
        <w:jc w:val="left"/>
        <w:outlineLvl w:val="3"/>
      </w:pPr>
      <w:r>
        <w:rPr>
          <w:rFonts w:ascii="楷体_GB2312" w:hAnsi="楷体_GB2312" w:eastAsia="楷体_GB2312"/>
          <w:b/>
          <w:sz w:val="32"/>
        </w:rPr>
        <w:t>（一）一般公共预算财政拨款支出决算总体情况</w:t>
      </w:r>
    </w:p>
    <w:p w14:paraId="695C90DF">
      <w:pPr>
        <w:spacing w:line="580" w:lineRule="exact"/>
        <w:ind w:firstLine="640"/>
        <w:jc w:val="left"/>
      </w:pPr>
      <w:r>
        <w:rPr>
          <w:rFonts w:ascii="仿宋_GB2312" w:hAnsi="仿宋_GB2312" w:eastAsia="仿宋_GB2312"/>
          <w:b w:val="0"/>
          <w:sz w:val="32"/>
        </w:rPr>
        <w:t>2024年度一般公共预算财政拨款支出668.70万元</w:t>
      </w:r>
      <w:r>
        <w:rPr>
          <w:rFonts w:hint="eastAsia" w:ascii="仿宋_GB2312" w:hAnsi="仿宋_GB2312" w:eastAsia="仿宋_GB2312"/>
          <w:b w:val="0"/>
          <w:sz w:val="32"/>
          <w:lang w:eastAsia="zh-CN"/>
        </w:rPr>
        <w:t>，</w:t>
      </w:r>
      <w:r>
        <w:rPr>
          <w:rFonts w:ascii="仿宋_GB2312" w:hAnsi="仿宋_GB2312" w:eastAsia="仿宋_GB2312"/>
          <w:b w:val="0"/>
          <w:sz w:val="32"/>
        </w:rPr>
        <w:t>占本年支出合计的100.00%。与上年相比，增加58.72万元，增长9.63%，主要原因是：本年专用设备业务经费项目资金较上年增加。与年初预算相比,年初预算数675.12万元，决算数668.70万元，预决算差异率-0.95%，主要原因是：本年在职人员减少，年中调减人员经费，导致预决算存在差异。</w:t>
      </w:r>
    </w:p>
    <w:p w14:paraId="051AB440">
      <w:pPr>
        <w:spacing w:line="640" w:lineRule="exact"/>
        <w:ind w:firstLine="640"/>
        <w:jc w:val="left"/>
        <w:outlineLvl w:val="3"/>
      </w:pPr>
      <w:r>
        <w:rPr>
          <w:rFonts w:ascii="楷体_GB2312" w:hAnsi="楷体_GB2312" w:eastAsia="楷体_GB2312"/>
          <w:b/>
          <w:sz w:val="32"/>
        </w:rPr>
        <w:t>（二）一般公共预算财政拨款支出决算结构情况</w:t>
      </w:r>
    </w:p>
    <w:p w14:paraId="418CBE87">
      <w:pPr>
        <w:spacing w:line="580" w:lineRule="exact"/>
        <w:ind w:firstLine="640"/>
        <w:jc w:val="left"/>
      </w:pPr>
      <w:r>
        <w:rPr>
          <w:rFonts w:ascii="仿宋_GB2312" w:hAnsi="仿宋_GB2312" w:eastAsia="仿宋_GB2312"/>
          <w:b w:val="0"/>
          <w:sz w:val="32"/>
        </w:rPr>
        <w:t>1.一般公共服务支出(类)573.03万元,占85.69%。</w:t>
      </w:r>
    </w:p>
    <w:p w14:paraId="1F6F340C">
      <w:pPr>
        <w:spacing w:line="580" w:lineRule="exact"/>
        <w:ind w:firstLine="640"/>
        <w:jc w:val="left"/>
      </w:pPr>
      <w:r>
        <w:rPr>
          <w:rFonts w:ascii="仿宋_GB2312" w:hAnsi="仿宋_GB2312" w:eastAsia="仿宋_GB2312"/>
          <w:b w:val="0"/>
          <w:sz w:val="32"/>
        </w:rPr>
        <w:t>2.社会保障和就业支出(类)49.81万元,占7.45%。</w:t>
      </w:r>
    </w:p>
    <w:p w14:paraId="1F73E160">
      <w:pPr>
        <w:spacing w:line="580" w:lineRule="exact"/>
        <w:ind w:firstLine="640"/>
        <w:jc w:val="left"/>
      </w:pPr>
      <w:r>
        <w:rPr>
          <w:rFonts w:ascii="仿宋_GB2312" w:hAnsi="仿宋_GB2312" w:eastAsia="仿宋_GB2312"/>
          <w:b w:val="0"/>
          <w:sz w:val="32"/>
        </w:rPr>
        <w:t>3.卫生健康支出(类)20.81万元,占3.11%。</w:t>
      </w:r>
    </w:p>
    <w:p w14:paraId="31588C1F">
      <w:pPr>
        <w:spacing w:line="580" w:lineRule="exact"/>
        <w:ind w:firstLine="640" w:firstLineChars="200"/>
        <w:jc w:val="left"/>
      </w:pPr>
      <w:r>
        <w:rPr>
          <w:rFonts w:ascii="仿宋_GB2312" w:hAnsi="仿宋_GB2312" w:eastAsia="仿宋_GB2312"/>
          <w:b w:val="0"/>
          <w:sz w:val="32"/>
        </w:rPr>
        <w:t>4.住房保障支出(类)25.05万元,占3.75%。</w:t>
      </w:r>
    </w:p>
    <w:p w14:paraId="28513AFE">
      <w:pPr>
        <w:spacing w:line="640" w:lineRule="exact"/>
        <w:ind w:firstLine="640"/>
        <w:jc w:val="left"/>
        <w:outlineLvl w:val="3"/>
      </w:pPr>
      <w:r>
        <w:rPr>
          <w:rFonts w:ascii="楷体_GB2312" w:hAnsi="楷体_GB2312" w:eastAsia="楷体_GB2312"/>
          <w:b/>
          <w:sz w:val="32"/>
        </w:rPr>
        <w:t>（三）一般公共预算财政拨款支出决算具体情况</w:t>
      </w:r>
    </w:p>
    <w:p w14:paraId="0306B28A">
      <w:pPr>
        <w:spacing w:line="580" w:lineRule="exact"/>
        <w:ind w:firstLine="640"/>
        <w:jc w:val="left"/>
      </w:pPr>
      <w:r>
        <w:rPr>
          <w:rFonts w:ascii="仿宋_GB2312" w:hAnsi="仿宋_GB2312" w:eastAsia="仿宋_GB2312"/>
          <w:b w:val="0"/>
          <w:sz w:val="32"/>
        </w:rPr>
        <w:t>1.一般公共服务支出(类)市场监督管理事务(款)行政运行(项):支出决算数为0.64万元，比上年决算增加0.64万元，增长100.00%,主要原因是：本年度年中追加办公经费时科目使用有误，导致行政运行较上年增加。</w:t>
      </w:r>
    </w:p>
    <w:p w14:paraId="0A9999CA">
      <w:pPr>
        <w:spacing w:line="580" w:lineRule="exact"/>
        <w:ind w:firstLine="640"/>
        <w:jc w:val="left"/>
      </w:pPr>
      <w:r>
        <w:rPr>
          <w:rFonts w:ascii="仿宋_GB2312" w:hAnsi="仿宋_GB2312" w:eastAsia="仿宋_GB2312"/>
          <w:b w:val="0"/>
          <w:sz w:val="32"/>
        </w:rPr>
        <w:t>2.一般公共服务支出(类)市场监督管理事务(款)事业运行(项):支出决算数为264.24万元，比上年决算减少62.53万元，下降19.14%,主要原因是：本年功能科目调整，行政、事业单位退休</w:t>
      </w:r>
      <w:r>
        <w:rPr>
          <w:rFonts w:hint="eastAsia" w:ascii="仿宋_GB2312" w:hAnsi="仿宋_GB2312" w:eastAsia="仿宋_GB2312"/>
          <w:b w:val="0"/>
          <w:sz w:val="32"/>
          <w:lang w:val="en-US" w:eastAsia="zh-CN"/>
        </w:rPr>
        <w:t>费</w:t>
      </w:r>
      <w:r>
        <w:rPr>
          <w:rFonts w:ascii="仿宋_GB2312" w:hAnsi="仿宋_GB2312" w:eastAsia="仿宋_GB2312"/>
          <w:b w:val="0"/>
          <w:sz w:val="32"/>
        </w:rPr>
        <w:t>，事业单位医疗，公务员医疗补助，住房公积金等经费上年度在此科目列支，本年单独列支，导致经费较上年增加。</w:t>
      </w:r>
    </w:p>
    <w:p w14:paraId="4C24A0FF">
      <w:pPr>
        <w:spacing w:line="580" w:lineRule="exact"/>
        <w:ind w:firstLine="640"/>
        <w:jc w:val="left"/>
      </w:pPr>
      <w:r>
        <w:rPr>
          <w:rFonts w:ascii="仿宋_GB2312" w:hAnsi="仿宋_GB2312" w:eastAsia="仿宋_GB2312"/>
          <w:b w:val="0"/>
          <w:sz w:val="32"/>
        </w:rPr>
        <w:t>3.一般公共服务支出(类)市场监督管理事务(款)其他市场监督管理事务(项):支出决算数为308.14万元，比上年决算增加66.16万元，增长27.34%,主要原因是：本年专用设备业务经费项目资金较上年增加。</w:t>
      </w:r>
    </w:p>
    <w:p w14:paraId="7F212D8E">
      <w:pPr>
        <w:spacing w:line="580" w:lineRule="exact"/>
        <w:ind w:firstLine="640"/>
        <w:jc w:val="left"/>
      </w:pPr>
      <w:r>
        <w:rPr>
          <w:rFonts w:ascii="仿宋_GB2312" w:hAnsi="仿宋_GB2312" w:eastAsia="仿宋_GB2312"/>
          <w:b w:val="0"/>
          <w:sz w:val="32"/>
        </w:rPr>
        <w:t>4.社会保障和就业支出(类)行政事业单位养老支出(款)行政单位离退休(项):支出决算数为0.12万元，比上年决算增加0.12万元，增长100.00%,主要原因是：本年功能科目调整，行政单位退休经费上年度在主科目列支，本年单独列支，导致经费较上年增加。</w:t>
      </w:r>
    </w:p>
    <w:p w14:paraId="068657E7">
      <w:pPr>
        <w:spacing w:line="580" w:lineRule="exact"/>
        <w:ind w:firstLine="640"/>
        <w:jc w:val="left"/>
      </w:pPr>
      <w:r>
        <w:rPr>
          <w:rFonts w:ascii="仿宋_GB2312" w:hAnsi="仿宋_GB2312" w:eastAsia="仿宋_GB2312"/>
          <w:b w:val="0"/>
          <w:sz w:val="32"/>
        </w:rPr>
        <w:t>5.社会保障和就业支出(类)行政事业单位养老支出(款)事业单位离退休(项):支出决算数为8.50万元，比上年决算增加8.50万元，增长100.00%,主要原因是：本年功能科目调整，事业单位退休经费上年度在主科目列支，本年单独列支，导致经费较上年增加。</w:t>
      </w:r>
    </w:p>
    <w:p w14:paraId="76F1046D">
      <w:pPr>
        <w:spacing w:line="580" w:lineRule="exact"/>
        <w:ind w:firstLine="640"/>
        <w:jc w:val="left"/>
      </w:pPr>
      <w:r>
        <w:rPr>
          <w:rFonts w:ascii="仿宋_GB2312" w:hAnsi="仿宋_GB2312" w:eastAsia="仿宋_GB2312"/>
          <w:b w:val="0"/>
          <w:sz w:val="32"/>
        </w:rPr>
        <w:t>6.社会保障和就业支出(类)行政事业单位养老支出(款)机关事业单位基本养老保险缴费支出(项):支出决算数为31.44万元，比上年决算增加0.19万元，增长0.61%,主要原因是：本年在职人员工资基数调增，养老缴费基数上涨，相应支出增加。</w:t>
      </w:r>
    </w:p>
    <w:p w14:paraId="7EDE12EA">
      <w:pPr>
        <w:spacing w:line="580" w:lineRule="exact"/>
        <w:ind w:firstLine="640"/>
        <w:jc w:val="left"/>
      </w:pPr>
      <w:r>
        <w:rPr>
          <w:rFonts w:ascii="仿宋_GB2312" w:hAnsi="仿宋_GB2312" w:eastAsia="仿宋_GB2312"/>
          <w:b w:val="0"/>
          <w:sz w:val="32"/>
        </w:rPr>
        <w:t>7.社会保障和就业支出(类)行政事业单位养老支出(款)机关事业单位职业年金缴费支出(项):支出决算数为9.74万元，比上年决算减少0.24万元，下降2.40%,主要原因是：本年新增退休人员较上年减少，职业年金缴费较上年减少。</w:t>
      </w:r>
    </w:p>
    <w:p w14:paraId="3F71E194">
      <w:pPr>
        <w:spacing w:line="580" w:lineRule="exact"/>
        <w:ind w:firstLine="640"/>
        <w:jc w:val="left"/>
      </w:pPr>
      <w:r>
        <w:rPr>
          <w:rFonts w:ascii="仿宋_GB2312" w:hAnsi="仿宋_GB2312" w:eastAsia="仿宋_GB2312"/>
          <w:b w:val="0"/>
          <w:sz w:val="32"/>
        </w:rPr>
        <w:t>8.卫生健康支出(类)行政事业单位医疗(款)事业单位医疗(项):支出决算数为12.95万元，比上年决算增加12.95万元，增长100.00%,主要原因是：本年功能科目调整，事业单位医疗支出上年度在主科目列支，本年单独列支，导致经费较上年增加。</w:t>
      </w:r>
    </w:p>
    <w:p w14:paraId="2F8A283A">
      <w:pPr>
        <w:spacing w:line="580" w:lineRule="exact"/>
        <w:ind w:firstLine="640"/>
        <w:jc w:val="left"/>
      </w:pPr>
      <w:r>
        <w:rPr>
          <w:rFonts w:ascii="仿宋_GB2312" w:hAnsi="仿宋_GB2312" w:eastAsia="仿宋_GB2312"/>
          <w:b w:val="0"/>
          <w:sz w:val="32"/>
        </w:rPr>
        <w:t>9.卫生健康支出(类)行政事业单位医疗(款)公务员医疗补助(项):支出决算数为7.86万元，比上年决算增加7.86万元，增长100.00%,主要原因是：本年功能科目调整，公务员医疗补助上年度在主科目列支，本年单独列支，导致经费较上年增加。</w:t>
      </w:r>
    </w:p>
    <w:p w14:paraId="5FEE3AE3">
      <w:pPr>
        <w:spacing w:line="580" w:lineRule="exact"/>
        <w:ind w:firstLine="640"/>
        <w:jc w:val="left"/>
      </w:pPr>
      <w:r>
        <w:rPr>
          <w:rFonts w:ascii="仿宋_GB2312" w:hAnsi="仿宋_GB2312" w:eastAsia="仿宋_GB2312"/>
          <w:b w:val="0"/>
          <w:sz w:val="32"/>
        </w:rPr>
        <w:t>10.住房保障支出(类)住房改革支出(款)住房公积金(项):支出决算数为25.05万元，比上年决算增加25.05万元，增长100.00%,主要原因是：本年功能科目调整，住房公积金上年度在主科目列支，本年单独列支，导致经费较上年增加。</w:t>
      </w:r>
    </w:p>
    <w:p w14:paraId="5AFAC167">
      <w:pPr>
        <w:spacing w:line="640" w:lineRule="exact"/>
        <w:ind w:firstLine="640"/>
        <w:jc w:val="left"/>
        <w:outlineLvl w:val="2"/>
      </w:pPr>
      <w:r>
        <w:rPr>
          <w:rFonts w:ascii="黑体" w:hAnsi="黑体" w:eastAsia="黑体"/>
          <w:sz w:val="32"/>
        </w:rPr>
        <w:t>六、一般公共预算财政拨款基本支出决算情况说明</w:t>
      </w:r>
    </w:p>
    <w:p w14:paraId="60AB6FD3">
      <w:pPr>
        <w:spacing w:line="580" w:lineRule="exact"/>
        <w:ind w:firstLine="640"/>
        <w:jc w:val="left"/>
      </w:pPr>
      <w:r>
        <w:rPr>
          <w:rFonts w:ascii="仿宋_GB2312" w:hAnsi="仿宋_GB2312" w:eastAsia="仿宋_GB2312"/>
          <w:b w:val="0"/>
          <w:sz w:val="32"/>
        </w:rPr>
        <w:t>2024年度一般公共预算财政拨款基本支出360.55万元</w:t>
      </w:r>
      <w:r>
        <w:rPr>
          <w:rFonts w:hint="eastAsia" w:ascii="仿宋_GB2312" w:hAnsi="仿宋_GB2312" w:eastAsia="仿宋_GB2312"/>
          <w:b w:val="0"/>
          <w:sz w:val="32"/>
          <w:lang w:eastAsia="zh-CN"/>
        </w:rPr>
        <w:t>。</w:t>
      </w:r>
      <w:r>
        <w:rPr>
          <w:rFonts w:ascii="仿宋_GB2312" w:hAnsi="仿宋_GB2312" w:eastAsia="仿宋_GB2312"/>
          <w:b w:val="0"/>
          <w:sz w:val="32"/>
        </w:rPr>
        <w:t>其中：人员经费337.11万元，包括：基本工资、津贴补贴、绩效工资、机关事业单位基本养老保险缴费、职业年金缴费、职工基本医疗保险缴费、公务员医疗补助缴费、其他社会保障缴费、住房公积金、退休费、生活补助、奖励金。</w:t>
      </w:r>
    </w:p>
    <w:p w14:paraId="7F984C47">
      <w:pPr>
        <w:spacing w:line="580" w:lineRule="exact"/>
        <w:ind w:firstLine="640"/>
        <w:jc w:val="left"/>
      </w:pPr>
      <w:r>
        <w:rPr>
          <w:rFonts w:ascii="仿宋_GB2312" w:hAnsi="仿宋_GB2312" w:eastAsia="仿宋_GB2312"/>
          <w:b w:val="0"/>
          <w:sz w:val="32"/>
        </w:rPr>
        <w:t>公用经费23.44万元</w:t>
      </w:r>
      <w:r>
        <w:rPr>
          <w:rFonts w:hint="eastAsia" w:ascii="仿宋_GB2312" w:hAnsi="仿宋_GB2312" w:eastAsia="仿宋_GB2312"/>
          <w:b w:val="0"/>
          <w:sz w:val="32"/>
          <w:lang w:eastAsia="zh-CN"/>
        </w:rPr>
        <w:t>。</w:t>
      </w:r>
      <w:r>
        <w:rPr>
          <w:rFonts w:ascii="仿宋_GB2312" w:hAnsi="仿宋_GB2312" w:eastAsia="仿宋_GB2312"/>
          <w:b w:val="0"/>
          <w:sz w:val="32"/>
        </w:rPr>
        <w:t>包括：办公费、印刷费、手续费、水费、电费、邮电费、取暖费、差旅费、维修（护）费、工会经费、福利费、公务用车运行维护费、其他交通费用、其他商品和服务支出。</w:t>
      </w:r>
    </w:p>
    <w:p w14:paraId="699BC6A5">
      <w:pPr>
        <w:spacing w:line="640" w:lineRule="exact"/>
        <w:ind w:firstLine="640"/>
        <w:jc w:val="left"/>
        <w:outlineLvl w:val="2"/>
      </w:pPr>
      <w:r>
        <w:rPr>
          <w:rFonts w:ascii="黑体" w:hAnsi="黑体" w:eastAsia="黑体"/>
          <w:sz w:val="32"/>
        </w:rPr>
        <w:t>七、政府性基金预算财政拨款收入支出决算情况说明</w:t>
      </w:r>
    </w:p>
    <w:p w14:paraId="390F52E3">
      <w:pPr>
        <w:spacing w:line="580" w:lineRule="exact"/>
        <w:ind w:firstLine="640"/>
        <w:jc w:val="left"/>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5D542C">
      <w:pPr>
        <w:spacing w:line="640" w:lineRule="exact"/>
        <w:ind w:firstLine="640"/>
        <w:jc w:val="left"/>
        <w:outlineLvl w:val="2"/>
      </w:pPr>
      <w:r>
        <w:rPr>
          <w:rFonts w:ascii="黑体" w:hAnsi="黑体" w:eastAsia="黑体"/>
          <w:sz w:val="32"/>
        </w:rPr>
        <w:t>八、国有资本经营预算财政拨款收入支出决算情况说明</w:t>
      </w:r>
    </w:p>
    <w:p w14:paraId="1FA40B72">
      <w:pPr>
        <w:spacing w:line="580" w:lineRule="exact"/>
        <w:ind w:firstLine="640"/>
        <w:jc w:val="left"/>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B7C6D6">
      <w:pPr>
        <w:spacing w:line="640" w:lineRule="exact"/>
        <w:ind w:firstLine="640"/>
        <w:jc w:val="left"/>
        <w:outlineLvl w:val="2"/>
      </w:pPr>
      <w:r>
        <w:rPr>
          <w:rFonts w:ascii="黑体" w:hAnsi="黑体" w:eastAsia="黑体"/>
          <w:sz w:val="32"/>
        </w:rPr>
        <w:t>九、财政拨款“三公”经费支出决算情况说明</w:t>
      </w:r>
    </w:p>
    <w:p w14:paraId="00B7804D">
      <w:pPr>
        <w:spacing w:line="580" w:lineRule="exact"/>
        <w:ind w:firstLine="640"/>
        <w:jc w:val="left"/>
      </w:pPr>
      <w:r>
        <w:rPr>
          <w:rFonts w:ascii="仿宋_GB2312" w:hAnsi="仿宋_GB2312" w:eastAsia="仿宋_GB2312"/>
          <w:b w:val="0"/>
          <w:sz w:val="32"/>
        </w:rPr>
        <w:t>2024年度财政拨款“三公”经费支出2.44万元，比上年减少2.09万元，下降46.14%，主要原因是：严格落实中央八项规定精神，厉行节约，本年减少车辆使用次数，燃油费较上年减少。其中：因公出国（境）费支出0.00万元，占0.00%，比上年增加0.00万元，增长0.00%，主要原因是：2023年与2024年均未安排因公出国（境）费支出。公务用车购置及运行维护费支出2.44万元，占100.00%，比上年减少2.09万元，下降46.14%，主要原因是：严格落实中央八项规定精神，厉行节约，本年减少车辆使用次数，燃油费较上年减少。公务接待费支出0.00万元，占0.00%，比上年增加0.00万元，增长0.00%，主要原因是：2023年与2024年均未安排公务接待费支出。</w:t>
      </w:r>
    </w:p>
    <w:p w14:paraId="759CFF77">
      <w:pPr>
        <w:spacing w:line="580" w:lineRule="exact"/>
        <w:ind w:firstLine="640"/>
        <w:jc w:val="left"/>
      </w:pPr>
      <w:r>
        <w:rPr>
          <w:rFonts w:ascii="仿宋_GB2312" w:hAnsi="仿宋_GB2312" w:eastAsia="仿宋_GB2312"/>
          <w:b/>
          <w:sz w:val="32"/>
        </w:rPr>
        <w:t>具体情况如下：</w:t>
      </w:r>
    </w:p>
    <w:p w14:paraId="65720A6E">
      <w:pPr>
        <w:spacing w:line="580" w:lineRule="exact"/>
        <w:ind w:firstLine="640"/>
        <w:jc w:val="left"/>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0962EF6">
      <w:pPr>
        <w:spacing w:line="580" w:lineRule="exact"/>
        <w:ind w:firstLine="640"/>
        <w:jc w:val="left"/>
      </w:pPr>
      <w:r>
        <w:rPr>
          <w:rFonts w:ascii="仿宋_GB2312" w:hAnsi="仿宋_GB2312" w:eastAsia="仿宋_GB2312"/>
          <w:b w:val="0"/>
          <w:sz w:val="32"/>
        </w:rPr>
        <w:t>公务用车购置及运行维护费2.44万元，其中：公务用车购置费0.00万元，公务用车运行维护费2.44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5F896F74">
      <w:pPr>
        <w:spacing w:line="580" w:lineRule="exact"/>
        <w:ind w:firstLine="640"/>
        <w:jc w:val="left"/>
      </w:pPr>
      <w:r>
        <w:rPr>
          <w:rFonts w:ascii="仿宋_GB2312" w:hAnsi="仿宋_GB2312" w:eastAsia="仿宋_GB2312"/>
          <w:b w:val="0"/>
          <w:sz w:val="32"/>
        </w:rPr>
        <w:t>公务接待费0.00万元，开支内容包括本单位无公务接待费。单位全年安排的国内公务接待0批次，0人次。</w:t>
      </w:r>
    </w:p>
    <w:p w14:paraId="7D13DA80">
      <w:pPr>
        <w:spacing w:line="580" w:lineRule="exact"/>
        <w:ind w:firstLine="640"/>
        <w:jc w:val="left"/>
      </w:pPr>
      <w:r>
        <w:rPr>
          <w:rFonts w:ascii="仿宋_GB2312" w:hAnsi="仿宋_GB2312" w:eastAsia="仿宋_GB2312"/>
          <w:b w:val="0"/>
          <w:sz w:val="32"/>
        </w:rPr>
        <w:t>与全年预算相比</w:t>
      </w:r>
      <w:r>
        <w:rPr>
          <w:rFonts w:hint="eastAsia" w:ascii="仿宋_GB2312" w:hAnsi="仿宋_GB2312" w:eastAsia="仿宋_GB2312"/>
          <w:b w:val="0"/>
          <w:sz w:val="32"/>
          <w:lang w:eastAsia="zh-CN"/>
        </w:rPr>
        <w:t>：</w:t>
      </w:r>
      <w:r>
        <w:rPr>
          <w:rFonts w:ascii="仿宋_GB2312" w:hAnsi="仿宋_GB2312" w:eastAsia="仿宋_GB2312"/>
          <w:b w:val="0"/>
          <w:sz w:val="32"/>
        </w:rPr>
        <w:t>财政拨款“三公”经费支出全年预算数2.44万元，决算数2.44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2.44万元，决算数2.44万元，预决算差异率0.00%，主要原因是：严格按照预算执行，预决算无差异。公务接待费全年预算数0.00万元，决算数0.00万元，预决算差异率0.00%，主要原因是：本单位无公务接待费。</w:t>
      </w:r>
    </w:p>
    <w:p w14:paraId="218B49E2">
      <w:pPr>
        <w:spacing w:line="640" w:lineRule="exact"/>
        <w:ind w:firstLine="640"/>
        <w:jc w:val="left"/>
        <w:outlineLvl w:val="2"/>
      </w:pPr>
      <w:r>
        <w:rPr>
          <w:rFonts w:ascii="黑体" w:hAnsi="黑体" w:eastAsia="黑体"/>
          <w:sz w:val="32"/>
        </w:rPr>
        <w:t>十、其他重要事项的情况说明</w:t>
      </w:r>
    </w:p>
    <w:p w14:paraId="7097FCA7">
      <w:pPr>
        <w:spacing w:line="640" w:lineRule="exact"/>
        <w:ind w:firstLine="640"/>
        <w:jc w:val="left"/>
        <w:outlineLvl w:val="3"/>
      </w:pPr>
      <w:r>
        <w:rPr>
          <w:rFonts w:ascii="楷体_GB2312" w:hAnsi="楷体_GB2312" w:eastAsia="楷体_GB2312"/>
          <w:b/>
          <w:sz w:val="32"/>
        </w:rPr>
        <w:t>（一）机关运行经费及公用经费支出情况</w:t>
      </w:r>
    </w:p>
    <w:p w14:paraId="28CD57D1">
      <w:pPr>
        <w:spacing w:line="580" w:lineRule="exact"/>
        <w:ind w:firstLine="640"/>
        <w:jc w:val="left"/>
      </w:pPr>
      <w:r>
        <w:rPr>
          <w:rFonts w:ascii="仿宋_GB2312" w:hAnsi="仿宋_GB2312" w:eastAsia="仿宋_GB2312"/>
          <w:b w:val="0"/>
          <w:sz w:val="32"/>
        </w:rPr>
        <w:t>2024年度和田地区特种设备检验检测所（事业单位）公用经费支出23.44万元，比上年增加10.17万元，增长76.64%，主要原因是：本年办公用费，取暖费，福利费比上年增加，导致公用经费较上年增加。</w:t>
      </w:r>
    </w:p>
    <w:p w14:paraId="158E3194">
      <w:pPr>
        <w:spacing w:line="640" w:lineRule="exact"/>
        <w:ind w:firstLine="640"/>
        <w:jc w:val="left"/>
        <w:outlineLvl w:val="3"/>
      </w:pPr>
      <w:r>
        <w:rPr>
          <w:rFonts w:ascii="楷体_GB2312" w:hAnsi="楷体_GB2312" w:eastAsia="楷体_GB2312"/>
          <w:b/>
          <w:sz w:val="32"/>
        </w:rPr>
        <w:t>（二）政府采购情况</w:t>
      </w:r>
    </w:p>
    <w:p w14:paraId="31AC58CB">
      <w:pPr>
        <w:spacing w:line="580" w:lineRule="exact"/>
        <w:ind w:firstLine="640"/>
        <w:jc w:val="left"/>
      </w:pPr>
      <w:r>
        <w:rPr>
          <w:rFonts w:ascii="仿宋_GB2312" w:hAnsi="仿宋_GB2312" w:eastAsia="仿宋_GB2312"/>
          <w:b w:val="0"/>
          <w:sz w:val="32"/>
        </w:rPr>
        <w:t>2024年度政府采购支出总额6.25万元，其中：政府采购货物支出0.70万元、政府采购工程支出0.00万元、政府采购服务支出5.55万元。</w:t>
      </w:r>
    </w:p>
    <w:p w14:paraId="06207356">
      <w:pPr>
        <w:spacing w:line="580" w:lineRule="exact"/>
        <w:ind w:firstLine="640"/>
        <w:jc w:val="left"/>
      </w:pPr>
      <w:r>
        <w:rPr>
          <w:rFonts w:ascii="仿宋_GB2312" w:hAnsi="仿宋_GB2312" w:eastAsia="仿宋_GB2312"/>
          <w:b w:val="0"/>
          <w:sz w:val="32"/>
        </w:rPr>
        <w:t>授予中小企业合同金额6.25万元，占政府采购支出总额的100.00%，其中：授予小微企业合同金额6.25万元，占政府采购支出总额的100.00%。</w:t>
      </w:r>
    </w:p>
    <w:p w14:paraId="4FED3D42">
      <w:pPr>
        <w:spacing w:line="640" w:lineRule="exact"/>
        <w:ind w:firstLine="640"/>
        <w:jc w:val="left"/>
        <w:outlineLvl w:val="3"/>
      </w:pPr>
      <w:r>
        <w:rPr>
          <w:rFonts w:ascii="楷体_GB2312" w:hAnsi="楷体_GB2312" w:eastAsia="楷体_GB2312"/>
          <w:b/>
          <w:sz w:val="32"/>
        </w:rPr>
        <w:t>（三）国有资产占用情况说明</w:t>
      </w:r>
    </w:p>
    <w:p w14:paraId="16D0C7A9">
      <w:pPr>
        <w:spacing w:line="580" w:lineRule="exact"/>
        <w:ind w:firstLine="640"/>
        <w:jc w:val="left"/>
      </w:pPr>
      <w:r>
        <w:rPr>
          <w:rFonts w:ascii="仿宋_GB2312" w:hAnsi="仿宋_GB2312" w:eastAsia="仿宋_GB2312"/>
          <w:b w:val="0"/>
          <w:sz w:val="32"/>
        </w:rPr>
        <w:t>截至2024年12月31日，房屋2,138.80平方米，价值642.86万元。车辆3辆，价值40.86万元，其中：副部（省）级及以上领导用车0辆、主要负责人用车0辆、机要通信用车0辆、应急保障用车0辆、执法执勤用车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3</w:t>
      </w:r>
      <w:bookmarkStart w:id="0" w:name="_GoBack"/>
      <w:bookmarkEnd w:id="0"/>
      <w:r>
        <w:rPr>
          <w:rFonts w:ascii="仿宋_GB2312" w:hAnsi="仿宋_GB2312" w:eastAsia="仿宋_GB2312"/>
          <w:b w:val="0"/>
          <w:sz w:val="32"/>
        </w:rPr>
        <w:t>辆，其他用车主要是：一般公务用车。单价100万元（含）以上设备（不含车辆）0台（套）。</w:t>
      </w:r>
    </w:p>
    <w:p w14:paraId="635452E8">
      <w:pPr>
        <w:spacing w:line="640" w:lineRule="exact"/>
        <w:ind w:firstLine="640"/>
        <w:jc w:val="left"/>
        <w:outlineLvl w:val="2"/>
      </w:pPr>
      <w:r>
        <w:rPr>
          <w:rFonts w:ascii="黑体" w:hAnsi="黑体" w:eastAsia="黑体"/>
          <w:sz w:val="32"/>
        </w:rPr>
        <w:t>十一、预算绩效的情况说明</w:t>
      </w:r>
    </w:p>
    <w:p w14:paraId="366D4DA5">
      <w:pPr>
        <w:spacing w:line="580" w:lineRule="exact"/>
        <w:ind w:firstLine="640"/>
        <w:jc w:val="left"/>
      </w:pPr>
      <w:r>
        <w:rPr>
          <w:rFonts w:ascii="仿宋_GB2312" w:hAnsi="仿宋_GB2312" w:eastAsia="仿宋_GB2312"/>
          <w:b w:val="0"/>
          <w:sz w:val="32"/>
        </w:rPr>
        <w:t>根据预算绩效管理要求，本单位2024年度预算绩效管理形成整体支出绩效自评表1个，全年预算总额668.70万元，实际执行总额668.70万元；预算绩效评价项目2个，全年预算数425.62万元，全年执行数425.62万元。预算绩效管理取得的成效：一是绩效评价结果应用不充分具体表现：绩效评价结果未能有效应用于预算编制、资源分配和人员考核等方面，对工作的改进作用不明显。原因分析：缺乏绩效评价结果应用的制度保障和具体措施；对绩效评价结果的重视程度不够，未能充分认识到其对工作的指导意义。二是人员绩效意识不强具体表现：部分工作人员对预算绩效管理的认识不足，缺乏绩效意识，工作积极性和主动性不高。原因分析：培训和宣传力度不够，工作人员对预算绩效管理的重要性和方法了解不够；缺乏有效的激励机制；难以调动工作人员的积极性。发现的问题及原因：一是绩效评价结果应用不充分具体表现：绩效评价结果未能有效应用于预算编制、资源分配和人员考核等方面，对工作的改进作用不明显。原因分析：缺乏绩效评价结果应用的制度保障和具体措施；对绩效评价结果的重视程度不够，未能充分认识到其对工作的指导意义。二是人员绩效意识不强具体表现：部分工作人员对预算绩效管理的认识不足，缺乏绩效意识，工作积极性和主动性不高。原因分析：培训和宣传力度不够，工作人员对预算绩效管理的重要性和方法了解不够；缺乏有效的激励机制；难以调动工作人员的积极性。下一步改进措施：针对绩效目标设定不够精准的问题加强培训与学习：定期组织相关人员参加绩效目标设定的培训课程，学习先进的目标管理理念和方法，深入了解特种设备检验检测业务的特点和需求，提高绩效目标设定的能力和水平。邀请专业的绩效管理专家</w:t>
      </w:r>
      <w:r>
        <w:rPr>
          <w:rFonts w:hint="eastAsia" w:ascii="仿宋_GB2312" w:hAnsi="仿宋_GB2312" w:eastAsia="仿宋_GB2312"/>
          <w:b w:val="0"/>
          <w:sz w:val="32"/>
          <w:lang w:eastAsia="zh-CN"/>
        </w:rPr>
        <w:t>举办讲座</w:t>
      </w:r>
      <w:r>
        <w:rPr>
          <w:rFonts w:ascii="仿宋_GB2312" w:hAnsi="仿宋_GB2312" w:eastAsia="仿宋_GB2312"/>
          <w:b w:val="0"/>
          <w:sz w:val="32"/>
        </w:rPr>
        <w:t>和指导，分享成功案例和经验，拓宽工作人员的视野和思路。深入调研与分析：在设定绩效目标之前，对特种设备检验检测所的业务流程、工作任务、资源需求等进行全面深入的调研和分析。与一线工作人员、业务骨干进行沟通交流，了解工作中的实际情况和存在的问题，收集相关的数据和信息，为绩效目标的设定提供依据。根据调研结果，制定明确、具体、可衡量、可实现、有时限的绩效目标，并确保目标与单位的战略目标和工作重点相契合。建立动态调整机制：定期对绩效目标进行评估和调整，根据业务的发展变化、外部环境的影响以及工作中的实际情况，及时对绩效目标进行修订和完善。建立绩效目标的反馈机制，鼓励工作人员对绩效目标的合理性和可行性提出意见和建议，不断提高绩效目标的质量和有效性。具体附整体支出绩效自评表，项目支出绩效自评表和评价报告。</w:t>
      </w:r>
    </w:p>
    <w:p w14:paraId="5065C259">
      <w:pPr>
        <w:jc w:val="left"/>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482DEFB">
        <w:tblPrEx>
          <w:tblCellMar>
            <w:top w:w="0" w:type="dxa"/>
            <w:left w:w="108" w:type="dxa"/>
            <w:bottom w:w="0" w:type="dxa"/>
            <w:right w:w="108" w:type="dxa"/>
          </w:tblCellMar>
        </w:tblPrEx>
        <w:tc>
          <w:tcPr>
            <w:tcW w:w="8847" w:type="dxa"/>
            <w:gridSpan w:val="9"/>
            <w:vAlign w:val="center"/>
          </w:tcPr>
          <w:p w14:paraId="7739F0CC">
            <w:pPr>
              <w:jc w:val="left"/>
            </w:pPr>
            <w:r>
              <w:rPr>
                <w:rFonts w:ascii="宋体" w:hAnsi="宋体" w:eastAsia="宋体"/>
                <w:sz w:val="24"/>
              </w:rPr>
              <w:t>单位整体支出绩效自评表</w:t>
            </w:r>
          </w:p>
        </w:tc>
      </w:tr>
      <w:tr w14:paraId="79245589">
        <w:tblPrEx>
          <w:tblCellMar>
            <w:top w:w="0" w:type="dxa"/>
            <w:left w:w="108" w:type="dxa"/>
            <w:bottom w:w="0" w:type="dxa"/>
            <w:right w:w="108" w:type="dxa"/>
          </w:tblCellMar>
        </w:tblPrEx>
        <w:tc>
          <w:tcPr>
            <w:tcW w:w="8847" w:type="dxa"/>
            <w:gridSpan w:val="9"/>
            <w:vAlign w:val="center"/>
          </w:tcPr>
          <w:p w14:paraId="14E575A3">
            <w:pPr>
              <w:jc w:val="left"/>
            </w:pPr>
            <w:r>
              <w:rPr>
                <w:rFonts w:ascii="宋体" w:hAnsi="宋体" w:eastAsia="宋体"/>
                <w:sz w:val="24"/>
              </w:rPr>
              <w:t>（2024年度）</w:t>
            </w:r>
          </w:p>
        </w:tc>
      </w:tr>
      <w:tr w14:paraId="48C880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DD24F">
            <w:pPr>
              <w:jc w:val="left"/>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7CDB9C">
            <w:pPr>
              <w:jc w:val="left"/>
            </w:pPr>
            <w:r>
              <w:rPr>
                <w:rFonts w:ascii="宋体" w:hAnsi="宋体" w:eastAsia="宋体"/>
                <w:sz w:val="16"/>
              </w:rPr>
              <w:t>和田地区特种设备检验检测所</w:t>
            </w:r>
          </w:p>
        </w:tc>
      </w:tr>
      <w:tr w14:paraId="02673B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AEDFF">
            <w:pPr>
              <w:jc w:val="left"/>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913C">
            <w:pPr>
              <w:jc w:val="left"/>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70E61">
            <w:pPr>
              <w:jc w:val="left"/>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3093">
            <w:pPr>
              <w:jc w:val="left"/>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8164">
            <w:pPr>
              <w:jc w:val="left"/>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6212C">
            <w:pPr>
              <w:jc w:val="left"/>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6E05A">
            <w:pPr>
              <w:jc w:val="left"/>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8DF3">
            <w:pPr>
              <w:jc w:val="left"/>
            </w:pPr>
            <w:r>
              <w:rPr>
                <w:rFonts w:ascii="宋体" w:hAnsi="宋体" w:eastAsia="宋体"/>
                <w:sz w:val="16"/>
              </w:rPr>
              <w:t>得分</w:t>
            </w:r>
          </w:p>
        </w:tc>
      </w:tr>
      <w:tr w14:paraId="325EF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D9EEC">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1F6F">
            <w:pPr>
              <w:jc w:val="left"/>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E5870">
            <w:pPr>
              <w:jc w:val="left"/>
            </w:pPr>
            <w:r>
              <w:rPr>
                <w:rFonts w:ascii="宋体" w:hAnsi="宋体" w:eastAsia="宋体"/>
                <w:sz w:val="16"/>
              </w:rPr>
              <w:t>675.12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B578A">
            <w:pPr>
              <w:jc w:val="left"/>
            </w:pPr>
            <w:r>
              <w:rPr>
                <w:rFonts w:ascii="宋体" w:hAnsi="宋体" w:eastAsia="宋体"/>
                <w:sz w:val="16"/>
              </w:rPr>
              <w:t>668.70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5BFFB">
            <w:pPr>
              <w:jc w:val="left"/>
            </w:pPr>
            <w:r>
              <w:rPr>
                <w:rFonts w:ascii="宋体" w:hAnsi="宋体" w:eastAsia="宋体"/>
                <w:sz w:val="16"/>
              </w:rPr>
              <w:t>668.70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B491D">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9D811">
            <w:pPr>
              <w:jc w:val="left"/>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E0BD6">
            <w:pPr>
              <w:jc w:val="left"/>
            </w:pPr>
            <w:r>
              <w:rPr>
                <w:rFonts w:ascii="宋体" w:hAnsi="宋体" w:eastAsia="宋体"/>
                <w:sz w:val="16"/>
              </w:rPr>
              <w:t>10</w:t>
            </w:r>
          </w:p>
        </w:tc>
      </w:tr>
      <w:tr w14:paraId="7412D1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4D164">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775E">
            <w:pPr>
              <w:jc w:val="left"/>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086F">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7A45">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4C7C">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C79A">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57F4">
            <w:pPr>
              <w:jc w:val="left"/>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4019F">
            <w:pPr>
              <w:jc w:val="left"/>
            </w:pPr>
            <w:r>
              <w:rPr>
                <w:rFonts w:ascii="宋体" w:hAnsi="宋体" w:eastAsia="宋体"/>
                <w:sz w:val="16"/>
              </w:rPr>
              <w:t>—</w:t>
            </w:r>
          </w:p>
        </w:tc>
      </w:tr>
      <w:tr w14:paraId="47A13F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2559D">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8CCD0">
            <w:pPr>
              <w:jc w:val="left"/>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C76D">
            <w:pPr>
              <w:jc w:val="left"/>
            </w:pPr>
            <w:r>
              <w:rPr>
                <w:rFonts w:ascii="宋体" w:hAnsi="宋体" w:eastAsia="宋体"/>
                <w:sz w:val="16"/>
              </w:rPr>
              <w:t>675.12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EED93">
            <w:pPr>
              <w:jc w:val="left"/>
            </w:pPr>
            <w:r>
              <w:rPr>
                <w:rFonts w:ascii="宋体" w:hAnsi="宋体" w:eastAsia="宋体"/>
                <w:sz w:val="16"/>
              </w:rPr>
              <w:t>668.70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FC80">
            <w:pPr>
              <w:jc w:val="left"/>
            </w:pPr>
            <w:r>
              <w:rPr>
                <w:rFonts w:ascii="宋体" w:hAnsi="宋体" w:eastAsia="宋体"/>
                <w:sz w:val="16"/>
              </w:rPr>
              <w:t>668.70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5DC13">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521F0">
            <w:pPr>
              <w:jc w:val="left"/>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8888E">
            <w:pPr>
              <w:jc w:val="left"/>
            </w:pPr>
            <w:r>
              <w:rPr>
                <w:rFonts w:ascii="宋体" w:hAnsi="宋体" w:eastAsia="宋体"/>
                <w:sz w:val="16"/>
              </w:rPr>
              <w:t>—</w:t>
            </w:r>
          </w:p>
        </w:tc>
      </w:tr>
      <w:tr w14:paraId="02A6C1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173E5">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BB814">
            <w:pPr>
              <w:jc w:val="left"/>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B53C">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02EBA">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BB883">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317B9">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6FEDA">
            <w:pPr>
              <w:jc w:val="left"/>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3656">
            <w:pPr>
              <w:jc w:val="left"/>
            </w:pPr>
            <w:r>
              <w:rPr>
                <w:rFonts w:ascii="宋体" w:hAnsi="宋体" w:eastAsia="宋体"/>
                <w:sz w:val="16"/>
              </w:rPr>
              <w:t>—</w:t>
            </w:r>
          </w:p>
        </w:tc>
      </w:tr>
      <w:tr w14:paraId="4C1D84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01C5F">
            <w:pPr>
              <w:jc w:val="left"/>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23C178">
            <w:pPr>
              <w:jc w:val="left"/>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4946CF">
            <w:pPr>
              <w:jc w:val="left"/>
            </w:pPr>
            <w:r>
              <w:rPr>
                <w:rFonts w:ascii="宋体" w:hAnsi="宋体" w:eastAsia="宋体"/>
                <w:sz w:val="16"/>
              </w:rPr>
              <w:t>实际完成目标</w:t>
            </w:r>
          </w:p>
        </w:tc>
      </w:tr>
      <w:tr w14:paraId="1EBDB0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1E09F">
            <w:pPr>
              <w:jc w:val="left"/>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1747FE">
            <w:pPr>
              <w:jc w:val="left"/>
            </w:pPr>
            <w:r>
              <w:rPr>
                <w:rFonts w:ascii="宋体" w:hAnsi="宋体" w:eastAsia="宋体"/>
                <w:sz w:val="16"/>
              </w:rPr>
              <w:t>目标1：通过抓支部党建有力促进业务工作，特种设备检验检测</w:t>
            </w:r>
            <w:r>
              <w:rPr>
                <w:rFonts w:hint="eastAsia" w:ascii="宋体" w:hAnsi="宋体"/>
                <w:sz w:val="16"/>
                <w:lang w:eastAsia="zh-CN"/>
              </w:rPr>
              <w:t>数量</w:t>
            </w:r>
            <w:r>
              <w:rPr>
                <w:rFonts w:ascii="宋体" w:hAnsi="宋体" w:eastAsia="宋体"/>
                <w:sz w:val="16"/>
              </w:rPr>
              <w:t>不小于300件，开展特种设备技能检测培训次数大于等于3次，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目标2：特种设备定期检验率到达95%以上，开展特种设备技能检测培训合格率到达95%以上，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始终坚持严的主基调不变，驰而不息抓党风廉政建设和干部作风转变，进一步加强学习效果变重参学、领学为讨论、发言谈心得为主，巩固学习效果，以学习成果指导工作实践。做好特种设备作业人员考试基地建设项目和新建民用液化石油气钢瓶检测线项目，确保如期开展特种设备作业人员考试和气瓶定期检验工作；提前谋划主动对接，为和田河作业区新建处理厂设备安装监督检验工作提供服务。保障电梯检验检测分离顺利开展，有序衔接，确保电梯使用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0F7C4">
            <w:pPr>
              <w:jc w:val="left"/>
            </w:pPr>
            <w:r>
              <w:rPr>
                <w:rFonts w:hint="eastAsia" w:ascii="宋体" w:hAnsi="宋体"/>
                <w:sz w:val="16"/>
                <w:lang w:eastAsia="zh-CN"/>
              </w:rPr>
              <w:t>截至2024</w:t>
            </w:r>
            <w:r>
              <w:rPr>
                <w:rFonts w:ascii="宋体" w:hAnsi="宋体" w:eastAsia="宋体"/>
                <w:sz w:val="16"/>
              </w:rPr>
              <w:t>年12月31日，本单位实际已完成特种设备检验检测4428件，开展特种设备技能检测培训8次，实际形成资金668.7万元，通过完成以上工作，有效保障了各类特种设备应检尽检，为地区经济安全运行提供保障，项目实施完成，受益人群满意度达到95%。</w:t>
            </w:r>
          </w:p>
        </w:tc>
      </w:tr>
      <w:tr w14:paraId="79D1C4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47BC2">
            <w:pPr>
              <w:jc w:val="left"/>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9D6F">
            <w:pPr>
              <w:jc w:val="left"/>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474B3">
            <w:pPr>
              <w:jc w:val="left"/>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7752">
            <w:pPr>
              <w:jc w:val="left"/>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C9550">
            <w:pPr>
              <w:jc w:val="left"/>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C1E3C">
            <w:pPr>
              <w:jc w:val="left"/>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352D">
            <w:pPr>
              <w:jc w:val="left"/>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76B3">
            <w:pPr>
              <w:jc w:val="left"/>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6ADA8">
            <w:pPr>
              <w:jc w:val="left"/>
            </w:pPr>
            <w:r>
              <w:rPr>
                <w:rFonts w:ascii="宋体" w:hAnsi="宋体" w:eastAsia="宋体"/>
                <w:sz w:val="16"/>
              </w:rPr>
              <w:t>得分</w:t>
            </w:r>
          </w:p>
        </w:tc>
      </w:tr>
      <w:tr w14:paraId="1BBF49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A4FFF">
            <w:pPr>
              <w:jc w:val="left"/>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C7854">
            <w:pPr>
              <w:jc w:val="left"/>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4468B">
            <w:pPr>
              <w:jc w:val="left"/>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51CB6">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11298">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3B5B">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EC513">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FAD5">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8BC0">
            <w:pPr>
              <w:jc w:val="left"/>
            </w:pPr>
            <w:r>
              <w:rPr>
                <w:rFonts w:ascii="宋体" w:hAnsi="宋体" w:eastAsia="宋体"/>
                <w:sz w:val="16"/>
              </w:rPr>
              <w:t>10</w:t>
            </w:r>
          </w:p>
        </w:tc>
      </w:tr>
      <w:tr w14:paraId="6EA087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7F9EC">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3BB65">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EA7D3">
            <w:pPr>
              <w:jc w:val="left"/>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3478">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DB5C1">
            <w:pPr>
              <w:jc w:val="left"/>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w:t>
            </w:r>
            <w:r>
              <w:rPr>
                <w:rFonts w:hint="eastAsia" w:ascii="宋体" w:hAnsi="宋体"/>
                <w:sz w:val="16"/>
                <w:lang w:eastAsia="zh-CN"/>
              </w:rPr>
              <w:t>〔2022〕126号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BF3A0">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2545D">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2AAC5">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FEFDE">
            <w:pPr>
              <w:jc w:val="left"/>
            </w:pPr>
            <w:r>
              <w:rPr>
                <w:rFonts w:ascii="宋体" w:hAnsi="宋体" w:eastAsia="宋体"/>
                <w:sz w:val="16"/>
              </w:rPr>
              <w:t>10</w:t>
            </w:r>
          </w:p>
        </w:tc>
      </w:tr>
      <w:tr w14:paraId="4A8386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7DE1A">
            <w:pPr>
              <w:jc w:val="left"/>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B9859">
            <w:pPr>
              <w:jc w:val="left"/>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5E3F">
            <w:pPr>
              <w:jc w:val="left"/>
            </w:pPr>
            <w:r>
              <w:rPr>
                <w:rFonts w:ascii="宋体" w:hAnsi="宋体" w:eastAsia="宋体"/>
                <w:sz w:val="16"/>
              </w:rPr>
              <w:t>特种设备检验检测数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6787">
            <w:pPr>
              <w:jc w:val="left"/>
            </w:pPr>
            <w:r>
              <w:rPr>
                <w:rFonts w:hint="default" w:ascii="Arial" w:hAnsi="Arial" w:eastAsia="宋体" w:cs="Arial"/>
                <w:sz w:val="16"/>
              </w:rPr>
              <w:t>≥</w:t>
            </w:r>
            <w:r>
              <w:rPr>
                <w:rFonts w:ascii="宋体" w:hAnsi="宋体" w:eastAsia="宋体"/>
                <w:sz w:val="16"/>
              </w:rPr>
              <w:t>3000件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C1F10">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4579">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BCC28">
            <w:pPr>
              <w:jc w:val="left"/>
            </w:pPr>
            <w:r>
              <w:rPr>
                <w:rFonts w:ascii="宋体" w:hAnsi="宋体" w:eastAsia="宋体"/>
                <w:sz w:val="16"/>
              </w:rPr>
              <w:t>4428件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3670">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E5338">
            <w:pPr>
              <w:jc w:val="left"/>
            </w:pPr>
            <w:r>
              <w:rPr>
                <w:rFonts w:ascii="宋体" w:hAnsi="宋体" w:eastAsia="宋体"/>
                <w:sz w:val="16"/>
              </w:rPr>
              <w:t>10</w:t>
            </w:r>
          </w:p>
        </w:tc>
      </w:tr>
      <w:tr w14:paraId="080AA8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21FA4">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054E7">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D91F7">
            <w:pPr>
              <w:jc w:val="left"/>
            </w:pPr>
            <w:r>
              <w:rPr>
                <w:rFonts w:ascii="宋体" w:hAnsi="宋体" w:eastAsia="宋体"/>
                <w:sz w:val="16"/>
              </w:rPr>
              <w:t>开展特种设备技能检测培训次数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A495">
            <w:pPr>
              <w:jc w:val="left"/>
            </w:pPr>
            <w:r>
              <w:rPr>
                <w:rFonts w:hint="default" w:ascii="Arial" w:hAnsi="Arial" w:eastAsia="宋体" w:cs="Arial"/>
                <w:sz w:val="16"/>
              </w:rPr>
              <w:t>≥</w:t>
            </w: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EBEA">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B734">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C7C1E">
            <w:pPr>
              <w:jc w:val="left"/>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4A0A7">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154B">
            <w:pPr>
              <w:jc w:val="left"/>
            </w:pPr>
            <w:r>
              <w:rPr>
                <w:rFonts w:ascii="宋体" w:hAnsi="宋体" w:eastAsia="宋体"/>
                <w:sz w:val="16"/>
              </w:rPr>
              <w:t>10</w:t>
            </w:r>
          </w:p>
        </w:tc>
      </w:tr>
      <w:tr w14:paraId="769F3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6B4B2">
            <w:pPr>
              <w:jc w:val="left"/>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1A899">
            <w:pPr>
              <w:jc w:val="left"/>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814C2">
            <w:pPr>
              <w:jc w:val="left"/>
            </w:pPr>
            <w:r>
              <w:rPr>
                <w:rFonts w:ascii="宋体" w:hAnsi="宋体" w:eastAsia="宋体"/>
                <w:sz w:val="16"/>
              </w:rPr>
              <w:t>特种设备定期检验率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8F7A">
            <w:pPr>
              <w:jc w:val="left"/>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1AFDD">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9B8F">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DF7B">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432EC">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C8E0F">
            <w:pPr>
              <w:jc w:val="left"/>
            </w:pPr>
            <w:r>
              <w:rPr>
                <w:rFonts w:ascii="宋体" w:hAnsi="宋体" w:eastAsia="宋体"/>
                <w:sz w:val="16"/>
              </w:rPr>
              <w:t>10</w:t>
            </w:r>
          </w:p>
        </w:tc>
      </w:tr>
      <w:tr w14:paraId="7C057C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7F0ED">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06FC0">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C5F0">
            <w:pPr>
              <w:jc w:val="left"/>
            </w:pPr>
            <w:r>
              <w:rPr>
                <w:rFonts w:ascii="宋体" w:hAnsi="宋体" w:eastAsia="宋体"/>
                <w:sz w:val="16"/>
              </w:rPr>
              <w:t>开展特种设备技能检测培训合格率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36DE">
            <w:pPr>
              <w:jc w:val="left"/>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CE5A6">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690F3">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FDD09">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D18BA">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167F2">
            <w:pPr>
              <w:jc w:val="left"/>
            </w:pPr>
            <w:r>
              <w:rPr>
                <w:rFonts w:ascii="宋体" w:hAnsi="宋体" w:eastAsia="宋体"/>
                <w:sz w:val="16"/>
              </w:rPr>
              <w:t>10</w:t>
            </w:r>
          </w:p>
        </w:tc>
      </w:tr>
      <w:tr w14:paraId="4C0D3F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5A93E">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589B7">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486F">
            <w:pPr>
              <w:jc w:val="left"/>
            </w:pPr>
            <w:r>
              <w:rPr>
                <w:rFonts w:ascii="宋体" w:hAnsi="宋体" w:eastAsia="宋体"/>
                <w:sz w:val="16"/>
              </w:rPr>
              <w:t>特种设备检验完成率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A2DA4">
            <w:pPr>
              <w:jc w:val="left"/>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10F4">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F855">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7246E">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88A2E">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A87A3">
            <w:pPr>
              <w:jc w:val="left"/>
            </w:pPr>
            <w:r>
              <w:rPr>
                <w:rFonts w:ascii="宋体" w:hAnsi="宋体" w:eastAsia="宋体"/>
                <w:sz w:val="16"/>
              </w:rPr>
              <w:t>10</w:t>
            </w:r>
          </w:p>
        </w:tc>
      </w:tr>
      <w:tr w14:paraId="534DD4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DB02">
            <w:pPr>
              <w:jc w:val="left"/>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222DD">
            <w:pPr>
              <w:jc w:val="left"/>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25889">
            <w:pPr>
              <w:jc w:val="left"/>
            </w:pPr>
            <w:r>
              <w:rPr>
                <w:rFonts w:ascii="宋体" w:hAnsi="宋体" w:eastAsia="宋体"/>
                <w:sz w:val="16"/>
              </w:rPr>
              <w:t>为地区经济安全运行提供保障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C8030">
            <w:pPr>
              <w:jc w:val="left"/>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E8449">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B7E6">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6D5DE">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BEB2F">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1EC9">
            <w:pPr>
              <w:jc w:val="left"/>
            </w:pPr>
            <w:r>
              <w:rPr>
                <w:rFonts w:ascii="宋体" w:hAnsi="宋体" w:eastAsia="宋体"/>
                <w:sz w:val="16"/>
              </w:rPr>
              <w:t>10</w:t>
            </w:r>
          </w:p>
        </w:tc>
      </w:tr>
      <w:tr w14:paraId="2BB3ED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C7433">
            <w:pPr>
              <w:jc w:val="left"/>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E9C7A">
            <w:pPr>
              <w:jc w:val="left"/>
            </w:pPr>
            <w:r>
              <w:rPr>
                <w:rFonts w:ascii="宋体" w:hAnsi="宋体" w:eastAsia="宋体"/>
                <w:sz w:val="16"/>
              </w:rPr>
              <w:t>满意制度</w:t>
            </w:r>
            <w:r>
              <w:rPr>
                <w:rFonts w:hint="eastAsia" w:ascii="宋体" w:hAnsi="宋体"/>
                <w:sz w:val="16"/>
                <w:lang w:eastAsia="zh-CN"/>
              </w:rPr>
              <w:t>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41FBD">
            <w:pPr>
              <w:jc w:val="left"/>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1F35">
            <w:pPr>
              <w:jc w:val="left"/>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713CB">
            <w:pPr>
              <w:jc w:val="left"/>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2249B">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311C7">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D7DB">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4755">
            <w:pPr>
              <w:jc w:val="left"/>
            </w:pPr>
            <w:r>
              <w:rPr>
                <w:rFonts w:ascii="宋体" w:hAnsi="宋体" w:eastAsia="宋体"/>
                <w:sz w:val="16"/>
              </w:rPr>
              <w:t>10</w:t>
            </w:r>
          </w:p>
        </w:tc>
      </w:tr>
    </w:tbl>
    <w:p w14:paraId="68341DE6">
      <w:pPr>
        <w:jc w:val="left"/>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5A4BBF">
        <w:tblPrEx>
          <w:tblCellMar>
            <w:top w:w="0" w:type="dxa"/>
            <w:left w:w="108" w:type="dxa"/>
            <w:bottom w:w="0" w:type="dxa"/>
            <w:right w:w="108" w:type="dxa"/>
          </w:tblCellMar>
        </w:tblPrEx>
        <w:tc>
          <w:tcPr>
            <w:tcW w:w="8847" w:type="dxa"/>
            <w:gridSpan w:val="9"/>
            <w:vAlign w:val="center"/>
          </w:tcPr>
          <w:p w14:paraId="2C14CBA0">
            <w:pPr>
              <w:jc w:val="left"/>
            </w:pPr>
            <w:r>
              <w:rPr>
                <w:rFonts w:ascii="宋体" w:hAnsi="宋体" w:eastAsia="宋体"/>
                <w:sz w:val="24"/>
              </w:rPr>
              <w:t>项目支出绩效自评表</w:t>
            </w:r>
          </w:p>
        </w:tc>
      </w:tr>
      <w:tr w14:paraId="34D206B8">
        <w:tblPrEx>
          <w:tblCellMar>
            <w:top w:w="0" w:type="dxa"/>
            <w:left w:w="108" w:type="dxa"/>
            <w:bottom w:w="0" w:type="dxa"/>
            <w:right w:w="108" w:type="dxa"/>
          </w:tblCellMar>
        </w:tblPrEx>
        <w:tc>
          <w:tcPr>
            <w:tcW w:w="8847" w:type="dxa"/>
            <w:gridSpan w:val="9"/>
            <w:vAlign w:val="center"/>
          </w:tcPr>
          <w:p w14:paraId="04F6DCA8">
            <w:pPr>
              <w:jc w:val="left"/>
            </w:pPr>
            <w:r>
              <w:rPr>
                <w:rFonts w:ascii="宋体" w:hAnsi="宋体" w:eastAsia="宋体"/>
                <w:sz w:val="24"/>
              </w:rPr>
              <w:t>(2024年度)</w:t>
            </w:r>
          </w:p>
        </w:tc>
      </w:tr>
      <w:tr w14:paraId="3FBF70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E9A27">
            <w:pPr>
              <w:jc w:val="left"/>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7BD1E1">
            <w:pPr>
              <w:jc w:val="left"/>
            </w:pPr>
            <w:r>
              <w:rPr>
                <w:rFonts w:ascii="宋体" w:hAnsi="宋体" w:eastAsia="宋体"/>
                <w:sz w:val="16"/>
              </w:rPr>
              <w:t>专用设备购置业务经费项目</w:t>
            </w:r>
          </w:p>
        </w:tc>
      </w:tr>
      <w:tr w14:paraId="384618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641FD">
            <w:pPr>
              <w:jc w:val="left"/>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D1A981">
            <w:pPr>
              <w:jc w:val="left"/>
            </w:pPr>
            <w:r>
              <w:rPr>
                <w:rFonts w:ascii="宋体" w:hAnsi="宋体" w:eastAsia="宋体"/>
                <w:sz w:val="16"/>
              </w:rPr>
              <w:t>和田地区特种设备检验检测所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FEDB2">
            <w:pPr>
              <w:jc w:val="left"/>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18B498">
            <w:pPr>
              <w:jc w:val="left"/>
            </w:pPr>
            <w:r>
              <w:rPr>
                <w:rFonts w:ascii="宋体" w:hAnsi="宋体" w:eastAsia="宋体"/>
                <w:sz w:val="16"/>
              </w:rPr>
              <w:t>和田地区特种设备检验检测所</w:t>
            </w:r>
          </w:p>
        </w:tc>
      </w:tr>
      <w:tr w14:paraId="7B1616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9CD1B">
            <w:pPr>
              <w:jc w:val="left"/>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CB1D4">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CAB77">
            <w:pPr>
              <w:jc w:val="left"/>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973E">
            <w:pPr>
              <w:jc w:val="left"/>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F0FB">
            <w:pPr>
              <w:jc w:val="left"/>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2C9C1">
            <w:pPr>
              <w:jc w:val="left"/>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8F53A">
            <w:pPr>
              <w:jc w:val="left"/>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3132B">
            <w:pPr>
              <w:jc w:val="left"/>
            </w:pPr>
            <w:r>
              <w:rPr>
                <w:rFonts w:ascii="宋体" w:hAnsi="宋体" w:eastAsia="宋体"/>
                <w:sz w:val="16"/>
              </w:rPr>
              <w:t>得分</w:t>
            </w:r>
          </w:p>
        </w:tc>
      </w:tr>
      <w:tr w14:paraId="7EE557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B6E41">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54E2">
            <w:pPr>
              <w:jc w:val="left"/>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5C2D">
            <w:pPr>
              <w:jc w:val="left"/>
            </w:pPr>
            <w:r>
              <w:rPr>
                <w:rFonts w:ascii="宋体" w:hAnsi="宋体" w:eastAsia="宋体"/>
                <w:sz w:val="16"/>
              </w:rPr>
              <w:t>308.14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BDB78">
            <w:pPr>
              <w:jc w:val="left"/>
            </w:pPr>
            <w:r>
              <w:rPr>
                <w:rFonts w:ascii="宋体" w:hAnsi="宋体" w:eastAsia="宋体"/>
                <w:sz w:val="16"/>
              </w:rPr>
              <w:t>308.14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ABB3C">
            <w:pPr>
              <w:jc w:val="left"/>
            </w:pPr>
            <w:r>
              <w:rPr>
                <w:rFonts w:ascii="宋体" w:hAnsi="宋体" w:eastAsia="宋体"/>
                <w:sz w:val="16"/>
              </w:rPr>
              <w:t>308.14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B301D">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F5F3E">
            <w:pPr>
              <w:jc w:val="left"/>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695EE">
            <w:pPr>
              <w:jc w:val="left"/>
            </w:pPr>
            <w:r>
              <w:rPr>
                <w:rFonts w:ascii="宋体" w:hAnsi="宋体" w:eastAsia="宋体"/>
                <w:sz w:val="16"/>
              </w:rPr>
              <w:t>10.00分</w:t>
            </w:r>
          </w:p>
        </w:tc>
      </w:tr>
      <w:tr w14:paraId="6890B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6280C">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7568">
            <w:pPr>
              <w:jc w:val="left"/>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EDD93">
            <w:pPr>
              <w:jc w:val="left"/>
            </w:pPr>
            <w:r>
              <w:rPr>
                <w:rFonts w:ascii="宋体" w:hAnsi="宋体" w:eastAsia="宋体"/>
                <w:sz w:val="16"/>
              </w:rPr>
              <w:t>308.14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0B12">
            <w:pPr>
              <w:jc w:val="left"/>
            </w:pPr>
            <w:r>
              <w:rPr>
                <w:rFonts w:ascii="宋体" w:hAnsi="宋体" w:eastAsia="宋体"/>
                <w:sz w:val="16"/>
              </w:rPr>
              <w:t>308.14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33895">
            <w:pPr>
              <w:jc w:val="left"/>
            </w:pPr>
            <w:r>
              <w:rPr>
                <w:rFonts w:ascii="宋体" w:hAnsi="宋体" w:eastAsia="宋体"/>
                <w:sz w:val="16"/>
              </w:rPr>
              <w:t>308.14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B4D8">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DC455">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36156">
            <w:pPr>
              <w:jc w:val="left"/>
            </w:pPr>
            <w:r>
              <w:rPr>
                <w:rFonts w:ascii="宋体" w:hAnsi="宋体" w:eastAsia="宋体"/>
                <w:sz w:val="16"/>
              </w:rPr>
              <w:t>—</w:t>
            </w:r>
          </w:p>
        </w:tc>
      </w:tr>
      <w:tr w14:paraId="75F95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5B18E">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9AA7">
            <w:pPr>
              <w:jc w:val="left"/>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1AF7">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A21ED">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976B">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B775">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BC78B">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14A6">
            <w:pPr>
              <w:jc w:val="left"/>
            </w:pPr>
            <w:r>
              <w:rPr>
                <w:rFonts w:ascii="宋体" w:hAnsi="宋体" w:eastAsia="宋体"/>
                <w:sz w:val="16"/>
              </w:rPr>
              <w:t>—</w:t>
            </w:r>
          </w:p>
        </w:tc>
      </w:tr>
      <w:tr w14:paraId="5C5856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A5B47">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2606">
            <w:pPr>
              <w:jc w:val="left"/>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8CC5">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9228">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9D14">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CB346">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F0C57">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C3CF">
            <w:pPr>
              <w:jc w:val="left"/>
            </w:pPr>
            <w:r>
              <w:rPr>
                <w:rFonts w:ascii="宋体" w:hAnsi="宋体" w:eastAsia="宋体"/>
                <w:sz w:val="16"/>
              </w:rPr>
              <w:t>—</w:t>
            </w:r>
          </w:p>
        </w:tc>
      </w:tr>
      <w:tr w14:paraId="5131CA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8E793">
            <w:pPr>
              <w:jc w:val="left"/>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84C589">
            <w:pPr>
              <w:jc w:val="left"/>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C76AA2">
            <w:pPr>
              <w:jc w:val="left"/>
            </w:pPr>
            <w:r>
              <w:rPr>
                <w:rFonts w:ascii="宋体" w:hAnsi="宋体" w:eastAsia="宋体"/>
                <w:sz w:val="16"/>
              </w:rPr>
              <w:t>实际完成情况</w:t>
            </w:r>
          </w:p>
        </w:tc>
      </w:tr>
      <w:tr w14:paraId="22BF0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4C065">
            <w:pPr>
              <w:jc w:val="left"/>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205010">
            <w:pPr>
              <w:jc w:val="left"/>
            </w:pPr>
            <w:r>
              <w:rPr>
                <w:rFonts w:ascii="宋体" w:hAnsi="宋体" w:eastAsia="宋体"/>
                <w:sz w:val="16"/>
              </w:rPr>
              <w:t>本项目主要实施内容为：特种设备检验检测9000件，项目总投资为308.14万元，项目计划于2024年12月完成。通过本项目的实施，可有效保障各类特种设备应检尽检，为地区经济安全运行提供保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02408">
            <w:pPr>
              <w:jc w:val="left"/>
            </w:pPr>
            <w:r>
              <w:rPr>
                <w:rFonts w:hint="eastAsia" w:ascii="宋体" w:hAnsi="宋体"/>
                <w:sz w:val="16"/>
                <w:lang w:eastAsia="zh-CN"/>
              </w:rPr>
              <w:t>截至</w:t>
            </w:r>
            <w:r>
              <w:rPr>
                <w:rFonts w:ascii="宋体" w:hAnsi="宋体" w:eastAsia="宋体"/>
                <w:sz w:val="16"/>
              </w:rPr>
              <w:t>2024年12月31日，项目实际形成资金308.14万元，已完成特种设备检验检测9000件的任务，达到了有效保障各类特种设备应检尽检，为地区经济安全运行提供保障的效益，受益人群满意度达到100%。</w:t>
            </w:r>
          </w:p>
        </w:tc>
      </w:tr>
      <w:tr w14:paraId="27DE23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AB54F96">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0679F">
            <w:pPr>
              <w:jc w:val="left"/>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E2F08">
            <w:pPr>
              <w:jc w:val="left"/>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B632">
            <w:pPr>
              <w:jc w:val="left"/>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B09F9">
            <w:pPr>
              <w:jc w:val="left"/>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AEFC">
            <w:pPr>
              <w:jc w:val="left"/>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317E">
            <w:pPr>
              <w:jc w:val="left"/>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8C308">
            <w:pPr>
              <w:jc w:val="left"/>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CF25">
            <w:pPr>
              <w:jc w:val="left"/>
            </w:pPr>
            <w:r>
              <w:rPr>
                <w:rFonts w:ascii="宋体" w:hAnsi="宋体" w:eastAsia="宋体"/>
                <w:sz w:val="16"/>
              </w:rPr>
              <w:t>偏差原因分析及改进措施</w:t>
            </w:r>
          </w:p>
        </w:tc>
      </w:tr>
      <w:tr w14:paraId="35C8D5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7BCBF">
            <w:pPr>
              <w:jc w:val="left"/>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0250D">
            <w:pPr>
              <w:jc w:val="left"/>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F35F0">
            <w:pPr>
              <w:jc w:val="left"/>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5965E">
            <w:pPr>
              <w:jc w:val="left"/>
            </w:pPr>
            <w:r>
              <w:rPr>
                <w:rFonts w:ascii="宋体" w:hAnsi="宋体" w:eastAsia="宋体"/>
                <w:sz w:val="16"/>
              </w:rPr>
              <w:t>特种设备检验检测数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9F77">
            <w:pPr>
              <w:jc w:val="left"/>
            </w:pPr>
            <w:r>
              <w:rPr>
                <w:rFonts w:ascii="宋体" w:hAnsi="宋体" w:eastAsia="宋体"/>
                <w:sz w:val="16"/>
              </w:rPr>
              <w:t>≥9000件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44E41">
            <w:pPr>
              <w:jc w:val="left"/>
            </w:pPr>
            <w:r>
              <w:rPr>
                <w:rFonts w:ascii="宋体" w:hAnsi="宋体" w:eastAsia="宋体"/>
                <w:sz w:val="16"/>
              </w:rPr>
              <w:t>=9000件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430F9">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CD8D8">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2C1A1">
            <w:pPr>
              <w:jc w:val="left"/>
            </w:pPr>
          </w:p>
        </w:tc>
      </w:tr>
      <w:tr w14:paraId="4DED8A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349F1">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A2F20">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A7603">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7574">
            <w:pPr>
              <w:jc w:val="left"/>
            </w:pPr>
            <w:r>
              <w:rPr>
                <w:rFonts w:ascii="宋体" w:hAnsi="宋体" w:eastAsia="宋体"/>
                <w:sz w:val="16"/>
              </w:rPr>
              <w:t>开展特种设备技能检测培训次数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B2083">
            <w:pPr>
              <w:jc w:val="left"/>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75DA">
            <w:pPr>
              <w:jc w:val="left"/>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1EB94">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85C2">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E09E6">
            <w:pPr>
              <w:jc w:val="left"/>
            </w:pPr>
          </w:p>
        </w:tc>
      </w:tr>
      <w:tr w14:paraId="76391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E8F6F">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965AD">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657C6">
            <w:pPr>
              <w:jc w:val="left"/>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90AC">
            <w:pPr>
              <w:jc w:val="left"/>
            </w:pPr>
            <w:r>
              <w:rPr>
                <w:rFonts w:ascii="宋体" w:hAnsi="宋体" w:eastAsia="宋体"/>
                <w:sz w:val="16"/>
              </w:rPr>
              <w:t>特种设备定期检验率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1F736">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29D1">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57782">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66C0A">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1398">
            <w:pPr>
              <w:jc w:val="left"/>
            </w:pPr>
          </w:p>
        </w:tc>
      </w:tr>
      <w:tr w14:paraId="3B5246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CB033">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04548">
            <w:pPr>
              <w:jc w:val="left"/>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82E1B">
            <w:pPr>
              <w:jc w:val="left"/>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FC05C">
            <w:pPr>
              <w:jc w:val="left"/>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24417">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E4E51">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55E42">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27995">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7011">
            <w:pPr>
              <w:jc w:val="left"/>
            </w:pPr>
          </w:p>
        </w:tc>
      </w:tr>
      <w:tr w14:paraId="5A044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AD389">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D4436">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69ABD">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F720A">
            <w:pPr>
              <w:jc w:val="left"/>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CDD72">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711A5">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738A7">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633C">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15A52">
            <w:pPr>
              <w:jc w:val="left"/>
            </w:pPr>
          </w:p>
        </w:tc>
      </w:tr>
      <w:tr w14:paraId="75BF6B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5BC60">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B627B">
            <w:pPr>
              <w:jc w:val="left"/>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4857">
            <w:pPr>
              <w:jc w:val="left"/>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2B73">
            <w:pPr>
              <w:jc w:val="left"/>
            </w:pPr>
            <w:r>
              <w:rPr>
                <w:rFonts w:ascii="宋体" w:hAnsi="宋体" w:eastAsia="宋体"/>
                <w:sz w:val="16"/>
              </w:rPr>
              <w:t>专项检查费用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42574">
            <w:pPr>
              <w:jc w:val="left"/>
            </w:pPr>
            <w:r>
              <w:rPr>
                <w:rFonts w:ascii="宋体" w:hAnsi="宋体" w:eastAsia="宋体"/>
                <w:sz w:val="16"/>
              </w:rPr>
              <w:t>≤308.14万元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27663">
            <w:pPr>
              <w:jc w:val="left"/>
            </w:pPr>
            <w:r>
              <w:rPr>
                <w:rFonts w:ascii="宋体" w:hAnsi="宋体" w:eastAsia="宋体"/>
                <w:sz w:val="16"/>
              </w:rPr>
              <w:t>=308.14万元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FFB40">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854E3">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A18AA">
            <w:pPr>
              <w:jc w:val="left"/>
            </w:pPr>
          </w:p>
        </w:tc>
      </w:tr>
      <w:tr w14:paraId="06CD2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0086D">
            <w:pPr>
              <w:jc w:val="left"/>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F48FC">
            <w:pPr>
              <w:jc w:val="left"/>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1388F">
            <w:pPr>
              <w:jc w:val="left"/>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C8EB">
            <w:pPr>
              <w:jc w:val="left"/>
            </w:pPr>
            <w:r>
              <w:rPr>
                <w:rFonts w:ascii="宋体" w:hAnsi="宋体" w:eastAsia="宋体"/>
                <w:sz w:val="16"/>
              </w:rPr>
              <w:t>保障各类特种设备应检尽检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73869">
            <w:pPr>
              <w:jc w:val="left"/>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CB27">
            <w:pPr>
              <w:jc w:val="left"/>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BA0AC">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717B">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7D0E">
            <w:pPr>
              <w:jc w:val="left"/>
            </w:pPr>
          </w:p>
        </w:tc>
      </w:tr>
      <w:tr w14:paraId="67663D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8F25D">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97A9A">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E80F6">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A4D53">
            <w:pPr>
              <w:jc w:val="left"/>
            </w:pPr>
            <w:r>
              <w:rPr>
                <w:rFonts w:ascii="宋体" w:hAnsi="宋体" w:eastAsia="宋体"/>
                <w:sz w:val="16"/>
              </w:rPr>
              <w:t>为地区经济安全运行提供保障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2CC4A">
            <w:pPr>
              <w:jc w:val="left"/>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AE1C">
            <w:pPr>
              <w:jc w:val="left"/>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2D37">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1E27F">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4BA2F">
            <w:pPr>
              <w:jc w:val="left"/>
            </w:pPr>
          </w:p>
        </w:tc>
      </w:tr>
      <w:tr w14:paraId="2EAB66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EB592">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9D65">
            <w:pPr>
              <w:jc w:val="left"/>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EA14">
            <w:pPr>
              <w:jc w:val="left"/>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9A54">
            <w:pPr>
              <w:jc w:val="left"/>
            </w:pPr>
            <w:r>
              <w:rPr>
                <w:rFonts w:ascii="宋体" w:hAnsi="宋体" w:eastAsia="宋体"/>
                <w:sz w:val="16"/>
              </w:rPr>
              <w:t>服务群众满意度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28AD">
            <w:pPr>
              <w:jc w:val="left"/>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76616">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19FE3">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CB453">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D06BE">
            <w:pPr>
              <w:jc w:val="left"/>
            </w:pPr>
          </w:p>
        </w:tc>
      </w:tr>
      <w:tr w14:paraId="187782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3092">
            <w:pPr>
              <w:jc w:val="left"/>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00C727">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8D9F">
            <w:pPr>
              <w:jc w:val="left"/>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E2576D">
            <w:pPr>
              <w:jc w:val="left"/>
            </w:pPr>
            <w:r>
              <w:rPr>
                <w:rFonts w:ascii="宋体" w:hAnsi="宋体" w:eastAsia="宋体"/>
                <w:sz w:val="16"/>
              </w:rPr>
              <w:t>100分</w:t>
            </w:r>
          </w:p>
        </w:tc>
      </w:tr>
    </w:tbl>
    <w:p w14:paraId="325EE7D5">
      <w:pPr>
        <w:jc w:val="left"/>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C057DE">
        <w:tblPrEx>
          <w:tblCellMar>
            <w:top w:w="0" w:type="dxa"/>
            <w:left w:w="108" w:type="dxa"/>
            <w:bottom w:w="0" w:type="dxa"/>
            <w:right w:w="108" w:type="dxa"/>
          </w:tblCellMar>
        </w:tblPrEx>
        <w:tc>
          <w:tcPr>
            <w:tcW w:w="8847" w:type="dxa"/>
            <w:gridSpan w:val="9"/>
            <w:vAlign w:val="center"/>
          </w:tcPr>
          <w:p w14:paraId="3A2FF29F">
            <w:pPr>
              <w:jc w:val="left"/>
            </w:pPr>
            <w:r>
              <w:rPr>
                <w:rFonts w:ascii="宋体" w:hAnsi="宋体" w:eastAsia="宋体"/>
                <w:sz w:val="24"/>
              </w:rPr>
              <w:t>项目支出绩效自评表</w:t>
            </w:r>
          </w:p>
        </w:tc>
      </w:tr>
      <w:tr w14:paraId="2235EF47">
        <w:tblPrEx>
          <w:tblCellMar>
            <w:top w:w="0" w:type="dxa"/>
            <w:left w:w="108" w:type="dxa"/>
            <w:bottom w:w="0" w:type="dxa"/>
            <w:right w:w="108" w:type="dxa"/>
          </w:tblCellMar>
        </w:tblPrEx>
        <w:tc>
          <w:tcPr>
            <w:tcW w:w="8847" w:type="dxa"/>
            <w:gridSpan w:val="9"/>
            <w:vAlign w:val="center"/>
          </w:tcPr>
          <w:p w14:paraId="5007E4DC">
            <w:pPr>
              <w:jc w:val="left"/>
            </w:pPr>
            <w:r>
              <w:rPr>
                <w:rFonts w:ascii="宋体" w:hAnsi="宋体" w:eastAsia="宋体"/>
                <w:sz w:val="24"/>
              </w:rPr>
              <w:t>(2024年度)</w:t>
            </w:r>
          </w:p>
        </w:tc>
      </w:tr>
      <w:tr w14:paraId="4E29A6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362A">
            <w:pPr>
              <w:jc w:val="left"/>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ABAB25A">
            <w:pPr>
              <w:jc w:val="left"/>
            </w:pPr>
            <w:r>
              <w:rPr>
                <w:rFonts w:ascii="宋体" w:hAnsi="宋体" w:eastAsia="宋体"/>
                <w:sz w:val="16"/>
              </w:rPr>
              <w:t>民用液化石油气钢瓶监测升级改造项目</w:t>
            </w:r>
          </w:p>
        </w:tc>
      </w:tr>
      <w:tr w14:paraId="7A4183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6D6CB">
            <w:pPr>
              <w:jc w:val="left"/>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19A2C7">
            <w:pPr>
              <w:jc w:val="left"/>
            </w:pPr>
            <w:r>
              <w:rPr>
                <w:rFonts w:ascii="宋体" w:hAnsi="宋体" w:eastAsia="宋体"/>
                <w:sz w:val="16"/>
              </w:rPr>
              <w:t>和田地区特种设备检验检测所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D6A95">
            <w:pPr>
              <w:jc w:val="left"/>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09506F">
            <w:pPr>
              <w:jc w:val="left"/>
            </w:pPr>
            <w:r>
              <w:rPr>
                <w:rFonts w:ascii="宋体" w:hAnsi="宋体" w:eastAsia="宋体"/>
                <w:sz w:val="16"/>
              </w:rPr>
              <w:t>和田地区特种设备检验检测所</w:t>
            </w:r>
          </w:p>
        </w:tc>
      </w:tr>
      <w:tr w14:paraId="47A96E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F9CBB">
            <w:pPr>
              <w:jc w:val="left"/>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5878B">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E5029">
            <w:pPr>
              <w:jc w:val="left"/>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9B1C7">
            <w:pPr>
              <w:jc w:val="left"/>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ABFB2">
            <w:pPr>
              <w:jc w:val="left"/>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81504">
            <w:pPr>
              <w:jc w:val="left"/>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1FA4B">
            <w:pPr>
              <w:jc w:val="left"/>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3CB5">
            <w:pPr>
              <w:jc w:val="left"/>
            </w:pPr>
            <w:r>
              <w:rPr>
                <w:rFonts w:ascii="宋体" w:hAnsi="宋体" w:eastAsia="宋体"/>
                <w:sz w:val="16"/>
              </w:rPr>
              <w:t>得分</w:t>
            </w:r>
          </w:p>
        </w:tc>
      </w:tr>
      <w:tr w14:paraId="00FA31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18AF2">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E9D66">
            <w:pPr>
              <w:jc w:val="left"/>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7C92A">
            <w:pPr>
              <w:jc w:val="left"/>
            </w:pPr>
            <w:r>
              <w:rPr>
                <w:rFonts w:ascii="宋体" w:hAnsi="宋体" w:eastAsia="宋体"/>
                <w:sz w:val="16"/>
              </w:rPr>
              <w:t>117.48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AE0F6">
            <w:pPr>
              <w:jc w:val="left"/>
            </w:pPr>
            <w:r>
              <w:rPr>
                <w:rFonts w:ascii="宋体" w:hAnsi="宋体" w:eastAsia="宋体"/>
                <w:sz w:val="16"/>
              </w:rPr>
              <w:t>117.48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D1FE7">
            <w:pPr>
              <w:jc w:val="left"/>
            </w:pPr>
            <w:r>
              <w:rPr>
                <w:rFonts w:ascii="宋体" w:hAnsi="宋体" w:eastAsia="宋体"/>
                <w:sz w:val="16"/>
              </w:rPr>
              <w:t>117.48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9EC71">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075A">
            <w:pPr>
              <w:jc w:val="left"/>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389E">
            <w:pPr>
              <w:jc w:val="left"/>
            </w:pPr>
            <w:r>
              <w:rPr>
                <w:rFonts w:ascii="宋体" w:hAnsi="宋体" w:eastAsia="宋体"/>
                <w:sz w:val="16"/>
              </w:rPr>
              <w:t>10.00分</w:t>
            </w:r>
          </w:p>
        </w:tc>
      </w:tr>
      <w:tr w14:paraId="58985C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464AA">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2B99">
            <w:pPr>
              <w:jc w:val="left"/>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F49B">
            <w:pPr>
              <w:jc w:val="left"/>
            </w:pPr>
            <w:r>
              <w:rPr>
                <w:rFonts w:ascii="宋体" w:hAnsi="宋体" w:eastAsia="宋体"/>
                <w:sz w:val="16"/>
              </w:rPr>
              <w:t>117.48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4B091">
            <w:pPr>
              <w:jc w:val="left"/>
            </w:pPr>
            <w:r>
              <w:rPr>
                <w:rFonts w:ascii="宋体" w:hAnsi="宋体" w:eastAsia="宋体"/>
                <w:sz w:val="16"/>
              </w:rPr>
              <w:t>117.48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F2B85">
            <w:pPr>
              <w:jc w:val="left"/>
            </w:pPr>
            <w:r>
              <w:rPr>
                <w:rFonts w:ascii="宋体" w:hAnsi="宋体" w:eastAsia="宋体"/>
                <w:sz w:val="16"/>
              </w:rPr>
              <w:t>117.48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F7A6">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1C31">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3A190">
            <w:pPr>
              <w:jc w:val="left"/>
            </w:pPr>
            <w:r>
              <w:rPr>
                <w:rFonts w:ascii="宋体" w:hAnsi="宋体" w:eastAsia="宋体"/>
                <w:sz w:val="16"/>
              </w:rPr>
              <w:t>—</w:t>
            </w:r>
          </w:p>
        </w:tc>
      </w:tr>
      <w:tr w14:paraId="4A199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D5C26">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3BCCA">
            <w:pPr>
              <w:jc w:val="left"/>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B84A">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9954">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42130">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9A80C">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3D96">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460DE">
            <w:pPr>
              <w:jc w:val="left"/>
            </w:pPr>
            <w:r>
              <w:rPr>
                <w:rFonts w:ascii="宋体" w:hAnsi="宋体" w:eastAsia="宋体"/>
                <w:sz w:val="16"/>
              </w:rPr>
              <w:t>—</w:t>
            </w:r>
          </w:p>
        </w:tc>
      </w:tr>
      <w:tr w14:paraId="200885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19C24">
            <w:pPr>
              <w:jc w:val="left"/>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3E38">
            <w:pPr>
              <w:jc w:val="left"/>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21E6">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DCCF8">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A7197">
            <w:pPr>
              <w:jc w:val="left"/>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9E2A">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138CB">
            <w:pPr>
              <w:jc w:val="left"/>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7F29F">
            <w:pPr>
              <w:jc w:val="left"/>
            </w:pPr>
            <w:r>
              <w:rPr>
                <w:rFonts w:ascii="宋体" w:hAnsi="宋体" w:eastAsia="宋体"/>
                <w:sz w:val="16"/>
              </w:rPr>
              <w:t>—</w:t>
            </w:r>
          </w:p>
        </w:tc>
      </w:tr>
      <w:tr w14:paraId="191D1B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0208B">
            <w:pPr>
              <w:jc w:val="left"/>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F7F22D">
            <w:pPr>
              <w:jc w:val="left"/>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2D09B3">
            <w:pPr>
              <w:jc w:val="left"/>
            </w:pPr>
            <w:r>
              <w:rPr>
                <w:rFonts w:ascii="宋体" w:hAnsi="宋体" w:eastAsia="宋体"/>
                <w:sz w:val="16"/>
              </w:rPr>
              <w:t>实际完成情况</w:t>
            </w:r>
          </w:p>
        </w:tc>
      </w:tr>
      <w:tr w14:paraId="35C05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9A2A5">
            <w:pPr>
              <w:jc w:val="left"/>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07B583">
            <w:pPr>
              <w:jc w:val="left"/>
            </w:pPr>
            <w:r>
              <w:rPr>
                <w:rFonts w:ascii="宋体" w:hAnsi="宋体" w:eastAsia="宋体"/>
                <w:sz w:val="16"/>
              </w:rPr>
              <w:t>本项目主要实施内容为：偿还往年1个采购项目，项目总投资为117.48万元，项目计划于2024年12月完成。通过本项目的实施，可有效提高政府公信力，待项目实施完成，争取使受益企业满意度达到100%%。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C5915">
            <w:pPr>
              <w:jc w:val="left"/>
            </w:pPr>
            <w:r>
              <w:rPr>
                <w:rFonts w:ascii="宋体" w:hAnsi="宋体" w:eastAsia="宋体"/>
                <w:sz w:val="16"/>
              </w:rPr>
              <w:t>截至2024年12月31日，已偿还往年1个采购项目，项目总投资为117.48万元，项目于2024年12月完成。通过本项目的实施，有效提高了政府公信力，使受益企业满意度达到100%</w:t>
            </w:r>
          </w:p>
        </w:tc>
      </w:tr>
      <w:tr w14:paraId="5E5227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2C53C9">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1F58C">
            <w:pPr>
              <w:jc w:val="left"/>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940E">
            <w:pPr>
              <w:jc w:val="left"/>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E4EA0">
            <w:pPr>
              <w:jc w:val="left"/>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6418">
            <w:pPr>
              <w:jc w:val="left"/>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4E91">
            <w:pPr>
              <w:jc w:val="left"/>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639C">
            <w:pPr>
              <w:jc w:val="left"/>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067D">
            <w:pPr>
              <w:jc w:val="left"/>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3B65C">
            <w:pPr>
              <w:jc w:val="left"/>
            </w:pPr>
            <w:r>
              <w:rPr>
                <w:rFonts w:ascii="宋体" w:hAnsi="宋体" w:eastAsia="宋体"/>
                <w:sz w:val="16"/>
              </w:rPr>
              <w:t>偏差原因分析及改进措施</w:t>
            </w:r>
          </w:p>
        </w:tc>
      </w:tr>
      <w:tr w14:paraId="37D1C0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81AB5">
            <w:pPr>
              <w:jc w:val="left"/>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B92A9">
            <w:pPr>
              <w:jc w:val="left"/>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F9AA">
            <w:pPr>
              <w:jc w:val="left"/>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0FD3">
            <w:pPr>
              <w:jc w:val="left"/>
            </w:pPr>
            <w:r>
              <w:rPr>
                <w:rFonts w:ascii="宋体" w:hAnsi="宋体" w:eastAsia="宋体"/>
                <w:sz w:val="16"/>
              </w:rPr>
              <w:t>拟化解采购类项目数量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CD7D7">
            <w:pPr>
              <w:jc w:val="left"/>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D2302">
            <w:pPr>
              <w:jc w:val="left"/>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4EF4E">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B19D">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AE761">
            <w:pPr>
              <w:jc w:val="left"/>
            </w:pPr>
          </w:p>
        </w:tc>
      </w:tr>
      <w:tr w14:paraId="405AB9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9E231">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900DE">
            <w:pPr>
              <w:jc w:val="left"/>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A0257">
            <w:pPr>
              <w:jc w:val="left"/>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17D1">
            <w:pPr>
              <w:jc w:val="left"/>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F3DBC">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F7AE3">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55B37">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9190A">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33B88">
            <w:pPr>
              <w:jc w:val="left"/>
            </w:pPr>
          </w:p>
        </w:tc>
      </w:tr>
      <w:tr w14:paraId="2C6F20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F3164">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8A23D">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C397C">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09B1">
            <w:pPr>
              <w:jc w:val="left"/>
            </w:pPr>
            <w:r>
              <w:rPr>
                <w:rFonts w:ascii="宋体" w:hAnsi="宋体" w:eastAsia="宋体"/>
                <w:sz w:val="16"/>
              </w:rPr>
              <w:t>债务纠纷发案率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5F0B">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2FD7E">
            <w:pPr>
              <w:jc w:val="left"/>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6055E">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A4BD3">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49402">
            <w:pPr>
              <w:jc w:val="left"/>
            </w:pPr>
          </w:p>
        </w:tc>
      </w:tr>
      <w:tr w14:paraId="7ECEE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C545A">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47D29">
            <w:pPr>
              <w:jc w:val="left"/>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F7277">
            <w:pPr>
              <w:jc w:val="left"/>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2B21C">
            <w:pPr>
              <w:jc w:val="left"/>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C758E">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3E00F">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5412B">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A223">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9BE79">
            <w:pPr>
              <w:jc w:val="left"/>
            </w:pPr>
          </w:p>
        </w:tc>
      </w:tr>
      <w:tr w14:paraId="720D77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D01E2">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20FF3">
            <w:pPr>
              <w:jc w:val="left"/>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33FD0">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4D5EA">
            <w:pPr>
              <w:jc w:val="left"/>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B3DD3">
            <w:pPr>
              <w:jc w:val="left"/>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90CE">
            <w:pPr>
              <w:jc w:val="left"/>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E4856">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DB292">
            <w:pPr>
              <w:jc w:val="left"/>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0360">
            <w:pPr>
              <w:jc w:val="left"/>
            </w:pPr>
          </w:p>
        </w:tc>
      </w:tr>
      <w:tr w14:paraId="2F837E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8ADA5">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C4DD7">
            <w:pPr>
              <w:jc w:val="left"/>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5D827">
            <w:pPr>
              <w:jc w:val="left"/>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07DC">
            <w:pPr>
              <w:jc w:val="left"/>
            </w:pPr>
            <w:r>
              <w:rPr>
                <w:rFonts w:ascii="宋体" w:hAnsi="宋体" w:eastAsia="宋体"/>
                <w:sz w:val="16"/>
              </w:rPr>
              <w:t>化解采购类项目债务支出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B715D">
            <w:pPr>
              <w:jc w:val="left"/>
            </w:pPr>
            <w:r>
              <w:rPr>
                <w:rFonts w:ascii="宋体" w:hAnsi="宋体" w:eastAsia="宋体"/>
                <w:sz w:val="16"/>
              </w:rPr>
              <w:t>≤117.48万元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DAC2">
            <w:pPr>
              <w:jc w:val="left"/>
            </w:pPr>
            <w:r>
              <w:rPr>
                <w:rFonts w:ascii="宋体" w:hAnsi="宋体" w:eastAsia="宋体"/>
                <w:sz w:val="16"/>
              </w:rPr>
              <w:t>=117.48万元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590C1">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A6B4">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7167">
            <w:pPr>
              <w:jc w:val="left"/>
            </w:pPr>
          </w:p>
        </w:tc>
      </w:tr>
      <w:tr w14:paraId="7B16064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22F7B">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35BB">
            <w:pPr>
              <w:jc w:val="left"/>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4188">
            <w:pPr>
              <w:jc w:val="left"/>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A21B5">
            <w:pPr>
              <w:jc w:val="left"/>
            </w:pPr>
            <w:r>
              <w:rPr>
                <w:rFonts w:ascii="宋体" w:hAnsi="宋体" w:eastAsia="宋体"/>
                <w:sz w:val="16"/>
              </w:rPr>
              <w:t>提高政府公信力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F548E">
            <w:pPr>
              <w:jc w:val="left"/>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7FD80">
            <w:pPr>
              <w:jc w:val="left"/>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C78EF">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997C">
            <w:pPr>
              <w:jc w:val="left"/>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D0233">
            <w:pPr>
              <w:jc w:val="left"/>
            </w:pPr>
          </w:p>
        </w:tc>
      </w:tr>
      <w:tr w14:paraId="04A00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1CFF0">
            <w:pPr>
              <w:jc w:val="left"/>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7415A">
            <w:pPr>
              <w:jc w:val="left"/>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9247">
            <w:pPr>
              <w:jc w:val="left"/>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CC809">
            <w:pPr>
              <w:jc w:val="left"/>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4BB5C">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EC30">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6266C">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4B5EF">
            <w:pPr>
              <w:jc w:val="left"/>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2AF0A">
            <w:pPr>
              <w:jc w:val="left"/>
            </w:pPr>
          </w:p>
        </w:tc>
      </w:tr>
      <w:tr w14:paraId="2496C9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1B497">
            <w:pPr>
              <w:jc w:val="left"/>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0FD241">
            <w:pPr>
              <w:jc w:val="left"/>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7EB7C">
            <w:pPr>
              <w:jc w:val="left"/>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85F2E9">
            <w:pPr>
              <w:jc w:val="left"/>
            </w:pPr>
            <w:r>
              <w:rPr>
                <w:rFonts w:ascii="宋体" w:hAnsi="宋体" w:eastAsia="宋体"/>
                <w:sz w:val="16"/>
              </w:rPr>
              <w:t>100分</w:t>
            </w:r>
          </w:p>
        </w:tc>
      </w:tr>
    </w:tbl>
    <w:p w14:paraId="3081583E">
      <w:pPr>
        <w:jc w:val="left"/>
      </w:pPr>
      <w:r>
        <w:br w:type="page"/>
      </w:r>
    </w:p>
    <w:p w14:paraId="6E6C124A">
      <w:pPr>
        <w:spacing w:line="640" w:lineRule="exact"/>
        <w:ind w:firstLine="640"/>
        <w:jc w:val="left"/>
        <w:outlineLvl w:val="2"/>
      </w:pPr>
      <w:r>
        <w:rPr>
          <w:rFonts w:ascii="黑体" w:hAnsi="黑体" w:eastAsia="黑体"/>
          <w:sz w:val="32"/>
        </w:rPr>
        <w:t>十二、其他需说明的事项</w:t>
      </w:r>
    </w:p>
    <w:p w14:paraId="5D6E7AE4">
      <w:pPr>
        <w:spacing w:line="580" w:lineRule="exact"/>
        <w:ind w:firstLine="640"/>
        <w:jc w:val="left"/>
      </w:pPr>
      <w:r>
        <w:rPr>
          <w:rFonts w:ascii="仿宋_GB2312" w:hAnsi="仿宋_GB2312" w:eastAsia="仿宋_GB2312"/>
          <w:b w:val="0"/>
          <w:sz w:val="32"/>
        </w:rPr>
        <w:t>本单位无其他需说明的事项。</w:t>
      </w:r>
    </w:p>
    <w:p w14:paraId="661B1828">
      <w:pPr>
        <w:jc w:val="left"/>
      </w:pPr>
      <w:r>
        <w:br w:type="page"/>
      </w:r>
    </w:p>
    <w:p w14:paraId="5BAD0482">
      <w:pPr>
        <w:spacing w:line="240" w:lineRule="auto"/>
        <w:ind w:firstLine="640" w:firstLineChars="200"/>
        <w:jc w:val="left"/>
        <w:outlineLvl w:val="1"/>
      </w:pPr>
      <w:r>
        <w:rPr>
          <w:rFonts w:ascii="黑体" w:hAnsi="黑体" w:eastAsia="黑体"/>
          <w:sz w:val="32"/>
        </w:rPr>
        <w:t>第三部分 专业名词解释</w:t>
      </w:r>
    </w:p>
    <w:p w14:paraId="26197E01">
      <w:pPr>
        <w:spacing w:line="240" w:lineRule="auto"/>
        <w:ind w:firstLine="640"/>
        <w:jc w:val="left"/>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18B71B">
      <w:pPr>
        <w:spacing w:line="240" w:lineRule="auto"/>
        <w:ind w:firstLine="640"/>
        <w:jc w:val="left"/>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6BC7081">
      <w:pPr>
        <w:spacing w:line="240" w:lineRule="auto"/>
        <w:ind w:firstLine="640"/>
        <w:jc w:val="left"/>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5AFD48">
      <w:pPr>
        <w:spacing w:line="240" w:lineRule="auto"/>
        <w:ind w:firstLine="640"/>
        <w:jc w:val="left"/>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CDBC55">
      <w:pPr>
        <w:spacing w:line="240" w:lineRule="auto"/>
        <w:ind w:firstLine="640"/>
        <w:jc w:val="left"/>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D1050B">
      <w:pPr>
        <w:spacing w:line="240" w:lineRule="auto"/>
        <w:ind w:firstLine="640"/>
        <w:jc w:val="left"/>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5EF152">
      <w:pPr>
        <w:spacing w:line="240" w:lineRule="auto"/>
        <w:ind w:firstLine="640"/>
        <w:jc w:val="left"/>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34C872">
      <w:pPr>
        <w:spacing w:line="240" w:lineRule="auto"/>
        <w:ind w:firstLine="640"/>
        <w:jc w:val="left"/>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3A17B1">
      <w:pPr>
        <w:spacing w:line="240" w:lineRule="auto"/>
        <w:ind w:firstLine="640"/>
        <w:jc w:val="left"/>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538347">
      <w:pPr>
        <w:spacing w:line="240" w:lineRule="auto"/>
        <w:ind w:firstLine="640"/>
        <w:jc w:val="left"/>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CBFC66">
      <w:pPr>
        <w:spacing w:line="240" w:lineRule="auto"/>
        <w:ind w:firstLine="640"/>
        <w:jc w:val="left"/>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37C04A">
      <w:pPr>
        <w:spacing w:line="240" w:lineRule="auto"/>
        <w:ind w:firstLine="640"/>
        <w:jc w:val="left"/>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917004">
      <w:pPr>
        <w:spacing w:line="240" w:lineRule="auto"/>
        <w:ind w:firstLine="640"/>
        <w:jc w:val="left"/>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7B7E4F">
      <w:pPr>
        <w:spacing w:line="240" w:lineRule="auto"/>
        <w:ind w:firstLine="640"/>
        <w:jc w:val="left"/>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306CC4">
      <w:pPr>
        <w:jc w:val="left"/>
      </w:pPr>
      <w:r>
        <w:br w:type="page"/>
      </w:r>
    </w:p>
    <w:p w14:paraId="60BC3DDB">
      <w:pPr>
        <w:spacing w:line="240" w:lineRule="auto"/>
        <w:jc w:val="left"/>
        <w:outlineLvl w:val="1"/>
      </w:pPr>
      <w:r>
        <w:rPr>
          <w:rFonts w:ascii="黑体" w:hAnsi="黑体" w:eastAsia="黑体"/>
          <w:sz w:val="32"/>
        </w:rPr>
        <w:t>第四部分 部门决算报表（见附表）</w:t>
      </w:r>
    </w:p>
    <w:p w14:paraId="5A51355A">
      <w:pPr>
        <w:spacing w:line="240" w:lineRule="auto"/>
        <w:ind w:firstLine="640"/>
        <w:jc w:val="left"/>
      </w:pPr>
      <w:r>
        <w:rPr>
          <w:rFonts w:ascii="仿宋_GB2312" w:hAnsi="仿宋_GB2312" w:eastAsia="仿宋_GB2312"/>
          <w:b w:val="0"/>
          <w:sz w:val="32"/>
        </w:rPr>
        <w:t>一、《收入支出决算总表》</w:t>
      </w:r>
    </w:p>
    <w:p w14:paraId="7EE483ED">
      <w:pPr>
        <w:spacing w:line="240" w:lineRule="auto"/>
        <w:ind w:firstLine="640"/>
        <w:jc w:val="left"/>
      </w:pPr>
      <w:r>
        <w:rPr>
          <w:rFonts w:ascii="仿宋_GB2312" w:hAnsi="仿宋_GB2312" w:eastAsia="仿宋_GB2312"/>
          <w:b w:val="0"/>
          <w:sz w:val="32"/>
        </w:rPr>
        <w:t>二、《收入决算表》</w:t>
      </w:r>
    </w:p>
    <w:p w14:paraId="072F4981">
      <w:pPr>
        <w:spacing w:line="240" w:lineRule="auto"/>
        <w:ind w:firstLine="640"/>
        <w:jc w:val="left"/>
      </w:pPr>
      <w:r>
        <w:rPr>
          <w:rFonts w:ascii="仿宋_GB2312" w:hAnsi="仿宋_GB2312" w:eastAsia="仿宋_GB2312"/>
          <w:b w:val="0"/>
          <w:sz w:val="32"/>
        </w:rPr>
        <w:t>三、《支出决算表》</w:t>
      </w:r>
    </w:p>
    <w:p w14:paraId="05BD715B">
      <w:pPr>
        <w:spacing w:line="240" w:lineRule="auto"/>
        <w:ind w:firstLine="640"/>
        <w:jc w:val="left"/>
      </w:pPr>
      <w:r>
        <w:rPr>
          <w:rFonts w:ascii="仿宋_GB2312" w:hAnsi="仿宋_GB2312" w:eastAsia="仿宋_GB2312"/>
          <w:b w:val="0"/>
          <w:sz w:val="32"/>
        </w:rPr>
        <w:t>四、《财政拨款收入支出决算总表》</w:t>
      </w:r>
    </w:p>
    <w:p w14:paraId="29E53AE6">
      <w:pPr>
        <w:spacing w:line="240" w:lineRule="auto"/>
        <w:ind w:firstLine="640"/>
        <w:jc w:val="left"/>
      </w:pPr>
      <w:r>
        <w:rPr>
          <w:rFonts w:ascii="仿宋_GB2312" w:hAnsi="仿宋_GB2312" w:eastAsia="仿宋_GB2312"/>
          <w:b w:val="0"/>
          <w:sz w:val="32"/>
        </w:rPr>
        <w:t>五、《一般公共预算财政拨款支出决算表》</w:t>
      </w:r>
    </w:p>
    <w:p w14:paraId="10E3CBAE">
      <w:pPr>
        <w:spacing w:line="240" w:lineRule="auto"/>
        <w:ind w:firstLine="640"/>
        <w:jc w:val="left"/>
      </w:pPr>
      <w:r>
        <w:rPr>
          <w:rFonts w:ascii="仿宋_GB2312" w:hAnsi="仿宋_GB2312" w:eastAsia="仿宋_GB2312"/>
          <w:b w:val="0"/>
          <w:sz w:val="32"/>
        </w:rPr>
        <w:t>六、《一般公共预算财政拨款基本支出决算表》</w:t>
      </w:r>
    </w:p>
    <w:p w14:paraId="6FABD7AA">
      <w:pPr>
        <w:spacing w:line="240" w:lineRule="auto"/>
        <w:ind w:firstLine="640"/>
        <w:jc w:val="left"/>
      </w:pPr>
      <w:r>
        <w:rPr>
          <w:rFonts w:ascii="仿宋_GB2312" w:hAnsi="仿宋_GB2312" w:eastAsia="仿宋_GB2312"/>
          <w:b w:val="0"/>
          <w:sz w:val="32"/>
        </w:rPr>
        <w:t>七、《政府性基金预算财政拨款收入支出决算表》</w:t>
      </w:r>
    </w:p>
    <w:p w14:paraId="5F3BD9C5">
      <w:pPr>
        <w:spacing w:line="240" w:lineRule="auto"/>
        <w:ind w:firstLine="640"/>
        <w:jc w:val="left"/>
      </w:pPr>
      <w:r>
        <w:rPr>
          <w:rFonts w:ascii="仿宋_GB2312" w:hAnsi="仿宋_GB2312" w:eastAsia="仿宋_GB2312"/>
          <w:b w:val="0"/>
          <w:sz w:val="32"/>
        </w:rPr>
        <w:t>八、《国有资本经营预算财政拨款收入支出决算表》</w:t>
      </w:r>
    </w:p>
    <w:p w14:paraId="40DACFE5">
      <w:pPr>
        <w:spacing w:line="240" w:lineRule="auto"/>
        <w:ind w:firstLine="640"/>
        <w:jc w:val="left"/>
      </w:pPr>
      <w:r>
        <w:rPr>
          <w:rFonts w:ascii="仿宋_GB2312" w:hAnsi="仿宋_GB2312" w:eastAsia="仿宋_GB2312"/>
          <w:b w:val="0"/>
          <w:sz w:val="32"/>
        </w:rPr>
        <w:t>九、《财政拨款“三公”经费支出决算表》</w:t>
      </w:r>
    </w:p>
    <w:p w14:paraId="2BE1BEBA">
      <w:pPr>
        <w:spacing w:line="240" w:lineRule="auto"/>
        <w:ind w:firstLine="640"/>
        <w:jc w:val="left"/>
      </w:pPr>
    </w:p>
    <w:p w14:paraId="25248199">
      <w:pPr>
        <w:spacing w:line="240" w:lineRule="auto"/>
        <w:ind w:firstLine="640"/>
        <w:jc w:val="left"/>
      </w:pPr>
    </w:p>
    <w:p w14:paraId="0A944F14">
      <w:pPr>
        <w:spacing w:line="240" w:lineRule="auto"/>
        <w:ind w:firstLine="640"/>
        <w:jc w:val="left"/>
      </w:pPr>
    </w:p>
    <w:p w14:paraId="55BC2BF2">
      <w:pPr>
        <w:spacing w:line="240" w:lineRule="auto"/>
        <w:ind w:firstLine="640"/>
        <w:jc w:val="left"/>
      </w:pPr>
    </w:p>
    <w:p w14:paraId="5BFDFAE5">
      <w:pPr>
        <w:spacing w:line="240" w:lineRule="auto"/>
        <w:ind w:firstLine="640"/>
        <w:jc w:val="left"/>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E86A1F"/>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331CB5"/>
    <w:rsid w:val="38006E2C"/>
    <w:rsid w:val="3914510A"/>
    <w:rsid w:val="3B1220C9"/>
    <w:rsid w:val="3D5275AC"/>
    <w:rsid w:val="3EA7725F"/>
    <w:rsid w:val="3EC014A1"/>
    <w:rsid w:val="40834692"/>
    <w:rsid w:val="423A32B2"/>
    <w:rsid w:val="423C0CB4"/>
    <w:rsid w:val="427B5743"/>
    <w:rsid w:val="42CA55D7"/>
    <w:rsid w:val="42E64542"/>
    <w:rsid w:val="43A1373F"/>
    <w:rsid w:val="464B7E04"/>
    <w:rsid w:val="464F7E64"/>
    <w:rsid w:val="46901EEE"/>
    <w:rsid w:val="469C74D2"/>
    <w:rsid w:val="47445515"/>
    <w:rsid w:val="4B4C0111"/>
    <w:rsid w:val="4BB23021"/>
    <w:rsid w:val="4F3F074E"/>
    <w:rsid w:val="4FEE3D4C"/>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FF7F22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5587</Words>
  <Characters>6276</Characters>
  <Lines>0</Lines>
  <Paragraphs>0</Paragraphs>
  <TotalTime>19</TotalTime>
  <ScaleCrop>false</ScaleCrop>
  <LinksUpToDate>false</LinksUpToDate>
  <CharactersWithSpaces>6285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2025-10-14T16:19:25Z</cp:lastPrinted>
  <dcterms:modified xsi:type="dcterms:W3CDTF">2025-10-14T16:19:41Z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