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9A5A0"/>
    <w:p w14:paraId="4FCE48D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03DDC2">
      <w:pPr>
        <w:spacing w:line="540" w:lineRule="exact"/>
        <w:jc w:val="center"/>
        <w:rPr>
          <w:rFonts w:ascii="华文中宋" w:hAnsi="华文中宋" w:eastAsia="华文中宋" w:cs="宋体"/>
          <w:b/>
          <w:kern w:val="0"/>
          <w:sz w:val="52"/>
          <w:szCs w:val="52"/>
        </w:rPr>
      </w:pPr>
    </w:p>
    <w:p w14:paraId="7E4C4B22">
      <w:pPr>
        <w:spacing w:line="540" w:lineRule="exact"/>
        <w:jc w:val="center"/>
        <w:rPr>
          <w:rFonts w:ascii="华文中宋" w:hAnsi="华文中宋" w:eastAsia="华文中宋" w:cs="宋体"/>
          <w:b/>
          <w:kern w:val="0"/>
          <w:sz w:val="52"/>
          <w:szCs w:val="52"/>
        </w:rPr>
      </w:pPr>
    </w:p>
    <w:p w14:paraId="53E37611">
      <w:pPr>
        <w:spacing w:line="540" w:lineRule="exact"/>
        <w:jc w:val="center"/>
        <w:rPr>
          <w:rFonts w:ascii="华文中宋" w:hAnsi="华文中宋" w:eastAsia="华文中宋" w:cs="宋体"/>
          <w:b/>
          <w:kern w:val="0"/>
          <w:sz w:val="52"/>
          <w:szCs w:val="52"/>
        </w:rPr>
      </w:pPr>
    </w:p>
    <w:p w14:paraId="68AF6DA5">
      <w:pPr>
        <w:spacing w:line="540" w:lineRule="exact"/>
        <w:jc w:val="center"/>
        <w:rPr>
          <w:rFonts w:ascii="华文中宋" w:hAnsi="华文中宋" w:eastAsia="华文中宋" w:cs="宋体"/>
          <w:b/>
          <w:kern w:val="0"/>
          <w:sz w:val="52"/>
          <w:szCs w:val="52"/>
        </w:rPr>
      </w:pPr>
    </w:p>
    <w:p w14:paraId="37394C84">
      <w:pPr>
        <w:spacing w:line="540" w:lineRule="exact"/>
        <w:jc w:val="center"/>
        <w:rPr>
          <w:rFonts w:ascii="华文中宋" w:hAnsi="华文中宋" w:eastAsia="华文中宋" w:cs="宋体"/>
          <w:b/>
          <w:kern w:val="0"/>
          <w:sz w:val="52"/>
          <w:szCs w:val="52"/>
        </w:rPr>
      </w:pPr>
    </w:p>
    <w:p w14:paraId="2E19B101">
      <w:pPr>
        <w:spacing w:line="540" w:lineRule="exact"/>
        <w:jc w:val="center"/>
        <w:rPr>
          <w:rFonts w:ascii="华文中宋" w:hAnsi="华文中宋" w:eastAsia="华文中宋" w:cs="宋体"/>
          <w:b/>
          <w:kern w:val="0"/>
          <w:sz w:val="52"/>
          <w:szCs w:val="52"/>
        </w:rPr>
      </w:pPr>
    </w:p>
    <w:p w14:paraId="3E7AEDD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B6FF1DE">
      <w:pPr>
        <w:spacing w:line="540" w:lineRule="exact"/>
        <w:jc w:val="center"/>
        <w:rPr>
          <w:rFonts w:ascii="华文中宋" w:hAnsi="华文中宋" w:eastAsia="华文中宋" w:cs="宋体"/>
          <w:b/>
          <w:kern w:val="0"/>
          <w:sz w:val="52"/>
          <w:szCs w:val="52"/>
        </w:rPr>
      </w:pPr>
    </w:p>
    <w:p w14:paraId="2A194FE5">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7AAC529C">
      <w:pPr>
        <w:spacing w:line="540" w:lineRule="exact"/>
        <w:jc w:val="center"/>
        <w:rPr>
          <w:rFonts w:hAnsi="宋体" w:eastAsia="仿宋_GB2312" w:cs="宋体"/>
          <w:kern w:val="0"/>
          <w:sz w:val="30"/>
          <w:szCs w:val="30"/>
        </w:rPr>
      </w:pPr>
    </w:p>
    <w:p w14:paraId="443C1AEF">
      <w:pPr>
        <w:spacing w:line="540" w:lineRule="exact"/>
        <w:jc w:val="center"/>
        <w:rPr>
          <w:rFonts w:hAnsi="宋体" w:eastAsia="仿宋_GB2312" w:cs="宋体"/>
          <w:kern w:val="0"/>
          <w:sz w:val="30"/>
          <w:szCs w:val="30"/>
        </w:rPr>
      </w:pPr>
    </w:p>
    <w:p w14:paraId="37435E45">
      <w:pPr>
        <w:spacing w:line="540" w:lineRule="exact"/>
        <w:jc w:val="center"/>
        <w:rPr>
          <w:rFonts w:hAnsi="宋体" w:eastAsia="仿宋_GB2312" w:cs="宋体"/>
          <w:kern w:val="0"/>
          <w:sz w:val="30"/>
          <w:szCs w:val="30"/>
        </w:rPr>
      </w:pPr>
    </w:p>
    <w:p w14:paraId="3B56834D">
      <w:pPr>
        <w:spacing w:line="540" w:lineRule="exact"/>
        <w:jc w:val="center"/>
        <w:rPr>
          <w:rFonts w:hAnsi="宋体" w:eastAsia="仿宋_GB2312" w:cs="宋体"/>
          <w:kern w:val="0"/>
          <w:sz w:val="30"/>
          <w:szCs w:val="30"/>
        </w:rPr>
      </w:pPr>
    </w:p>
    <w:p w14:paraId="3A6B799B">
      <w:pPr>
        <w:spacing w:line="540" w:lineRule="exact"/>
        <w:jc w:val="center"/>
        <w:rPr>
          <w:rFonts w:hAnsi="宋体" w:eastAsia="仿宋_GB2312" w:cs="宋体"/>
          <w:kern w:val="0"/>
          <w:sz w:val="30"/>
          <w:szCs w:val="30"/>
        </w:rPr>
      </w:pPr>
    </w:p>
    <w:p w14:paraId="1A48E6BB">
      <w:pPr>
        <w:spacing w:line="540" w:lineRule="exact"/>
        <w:jc w:val="center"/>
        <w:rPr>
          <w:rFonts w:hAnsi="宋体" w:eastAsia="仿宋_GB2312" w:cs="宋体"/>
          <w:kern w:val="0"/>
          <w:sz w:val="30"/>
          <w:szCs w:val="30"/>
        </w:rPr>
      </w:pPr>
    </w:p>
    <w:p w14:paraId="39F8AC5C">
      <w:pPr>
        <w:spacing w:line="540" w:lineRule="exact"/>
        <w:rPr>
          <w:rFonts w:hAnsi="宋体" w:eastAsia="仿宋_GB2312" w:cs="宋体"/>
          <w:kern w:val="0"/>
          <w:sz w:val="30"/>
          <w:szCs w:val="30"/>
        </w:rPr>
      </w:pPr>
    </w:p>
    <w:p w14:paraId="147C7FE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4702F92">
      <w:pPr>
        <w:spacing w:line="700" w:lineRule="exact"/>
        <w:ind w:firstLine="904" w:firstLineChars="250"/>
        <w:jc w:val="left"/>
        <w:rPr>
          <w:rFonts w:hint="eastAsia" w:ascii="仿宋" w:hAnsi="仿宋" w:eastAsia="仿宋" w:cs="仿宋"/>
          <w:b/>
          <w:bCs/>
          <w:kern w:val="0"/>
          <w:sz w:val="36"/>
          <w:szCs w:val="36"/>
        </w:rPr>
      </w:pPr>
      <w:r>
        <w:rPr>
          <w:rFonts w:hint="eastAsia" w:ascii="仿宋" w:hAnsi="仿宋" w:eastAsia="仿宋" w:cs="仿宋"/>
          <w:b/>
          <w:bCs/>
          <w:kern w:val="0"/>
          <w:sz w:val="36"/>
          <w:szCs w:val="36"/>
        </w:rPr>
        <w:t>项目名称：</w:t>
      </w:r>
      <w:r>
        <w:rPr>
          <w:rStyle w:val="19"/>
          <w:rFonts w:hint="eastAsia" w:ascii="仿宋" w:hAnsi="仿宋" w:eastAsia="仿宋" w:cs="仿宋"/>
          <w:b/>
          <w:bCs/>
          <w:spacing w:val="-4"/>
          <w:sz w:val="32"/>
          <w:szCs w:val="32"/>
        </w:rPr>
        <w:t>专用设备购置业务经费项目</w:t>
      </w:r>
    </w:p>
    <w:p w14:paraId="6A46EB7B">
      <w:pPr>
        <w:spacing w:line="540" w:lineRule="exact"/>
        <w:ind w:firstLine="567"/>
        <w:rPr>
          <w:rFonts w:hint="eastAsia" w:ascii="仿宋" w:hAnsi="仿宋" w:eastAsia="仿宋" w:cs="仿宋"/>
          <w:b/>
          <w:bCs/>
          <w:spacing w:val="-4"/>
          <w:sz w:val="32"/>
          <w:szCs w:val="32"/>
        </w:rPr>
      </w:pPr>
      <w:r>
        <w:rPr>
          <w:rFonts w:hint="eastAsia" w:ascii="仿宋" w:hAnsi="仿宋" w:eastAsia="仿宋" w:cs="仿宋"/>
          <w:b/>
          <w:bCs/>
          <w:kern w:val="0"/>
          <w:sz w:val="36"/>
          <w:szCs w:val="36"/>
        </w:rPr>
        <w:t xml:space="preserve">  实施单位（公章）：</w:t>
      </w:r>
      <w:r>
        <w:rPr>
          <w:rStyle w:val="19"/>
          <w:rFonts w:hint="eastAsia" w:ascii="仿宋" w:hAnsi="仿宋" w:eastAsia="仿宋" w:cs="仿宋"/>
          <w:b/>
          <w:bCs/>
          <w:spacing w:val="-4"/>
          <w:sz w:val="28"/>
          <w:szCs w:val="28"/>
        </w:rPr>
        <w:t>和田地区特种设备检验检测所</w:t>
      </w:r>
    </w:p>
    <w:p w14:paraId="114C4041">
      <w:pPr>
        <w:spacing w:line="540" w:lineRule="exact"/>
        <w:ind w:firstLine="904" w:firstLineChars="250"/>
        <w:rPr>
          <w:rFonts w:hint="eastAsia" w:ascii="仿宋" w:hAnsi="仿宋" w:eastAsia="仿宋" w:cs="仿宋"/>
          <w:b/>
          <w:bCs/>
          <w:spacing w:val="-4"/>
          <w:sz w:val="28"/>
          <w:szCs w:val="28"/>
        </w:rPr>
      </w:pPr>
      <w:r>
        <w:rPr>
          <w:rFonts w:hint="eastAsia" w:ascii="仿宋" w:hAnsi="仿宋" w:eastAsia="仿宋" w:cs="仿宋"/>
          <w:b/>
          <w:bCs/>
          <w:kern w:val="0"/>
          <w:sz w:val="36"/>
          <w:szCs w:val="36"/>
        </w:rPr>
        <w:t>主管部门（公章）：</w:t>
      </w:r>
      <w:r>
        <w:rPr>
          <w:rStyle w:val="19"/>
          <w:rFonts w:hint="eastAsia" w:ascii="仿宋" w:hAnsi="仿宋" w:eastAsia="仿宋" w:cs="仿宋"/>
          <w:b/>
          <w:bCs/>
          <w:spacing w:val="-4"/>
          <w:sz w:val="28"/>
          <w:szCs w:val="28"/>
        </w:rPr>
        <w:t>和田地区特种设备检验检测所</w:t>
      </w:r>
    </w:p>
    <w:p w14:paraId="35D2C1BE">
      <w:pPr>
        <w:spacing w:line="540" w:lineRule="exact"/>
        <w:ind w:firstLine="904" w:firstLineChars="250"/>
        <w:rPr>
          <w:rFonts w:hint="eastAsia" w:ascii="仿宋" w:hAnsi="仿宋" w:eastAsia="仿宋" w:cs="仿宋"/>
          <w:b/>
          <w:bCs/>
          <w:spacing w:val="-4"/>
          <w:sz w:val="32"/>
          <w:szCs w:val="32"/>
        </w:rPr>
      </w:pPr>
      <w:r>
        <w:rPr>
          <w:rFonts w:hint="eastAsia" w:ascii="仿宋" w:hAnsi="仿宋" w:eastAsia="仿宋" w:cs="仿宋"/>
          <w:b/>
          <w:bCs/>
          <w:kern w:val="0"/>
          <w:sz w:val="36"/>
          <w:szCs w:val="36"/>
        </w:rPr>
        <w:t>项目负责人（签章）：</w:t>
      </w:r>
      <w:r>
        <w:rPr>
          <w:rStyle w:val="19"/>
          <w:rFonts w:hint="eastAsia" w:ascii="仿宋" w:hAnsi="仿宋" w:eastAsia="仿宋" w:cs="仿宋"/>
          <w:b/>
          <w:bCs/>
          <w:spacing w:val="-4"/>
          <w:sz w:val="32"/>
          <w:szCs w:val="32"/>
        </w:rPr>
        <w:t>李盈泽</w:t>
      </w:r>
    </w:p>
    <w:p w14:paraId="19D71324">
      <w:pPr>
        <w:spacing w:line="540" w:lineRule="exact"/>
        <w:ind w:left="273" w:firstLine="567"/>
        <w:rPr>
          <w:rStyle w:val="19"/>
          <w:rFonts w:hint="eastAsia" w:ascii="仿宋" w:hAnsi="仿宋" w:eastAsia="仿宋" w:cs="仿宋"/>
          <w:b/>
          <w:bCs/>
          <w:spacing w:val="-4"/>
          <w:sz w:val="32"/>
          <w:szCs w:val="32"/>
        </w:rPr>
      </w:pPr>
      <w:r>
        <w:rPr>
          <w:rFonts w:hint="eastAsia" w:ascii="仿宋" w:hAnsi="仿宋" w:eastAsia="仿宋" w:cs="仿宋"/>
          <w:b/>
          <w:bCs/>
          <w:kern w:val="0"/>
          <w:sz w:val="36"/>
          <w:szCs w:val="36"/>
        </w:rPr>
        <w:t>填报时间：</w:t>
      </w:r>
      <w:r>
        <w:rPr>
          <w:rStyle w:val="19"/>
          <w:rFonts w:hint="eastAsia" w:ascii="仿宋" w:hAnsi="仿宋" w:eastAsia="仿宋" w:cs="仿宋"/>
          <w:b/>
          <w:bCs/>
          <w:spacing w:val="-4"/>
          <w:sz w:val="32"/>
          <w:szCs w:val="32"/>
        </w:rPr>
        <w:t>2025年03月27日</w:t>
      </w:r>
    </w:p>
    <w:p w14:paraId="0E9B8246">
      <w:pPr>
        <w:spacing w:line="540" w:lineRule="exact"/>
        <w:rPr>
          <w:rStyle w:val="19"/>
          <w:rFonts w:ascii="黑体" w:hAnsi="黑体" w:eastAsia="黑体"/>
          <w:b w:val="0"/>
          <w:spacing w:val="-4"/>
          <w:sz w:val="32"/>
          <w:szCs w:val="32"/>
        </w:rPr>
      </w:pPr>
    </w:p>
    <w:p w14:paraId="09B4FBCF">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一、基本情况</w:t>
      </w:r>
    </w:p>
    <w:p w14:paraId="0BB9A650">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bCs w:val="0"/>
          <w:spacing w:val="-4"/>
          <w:sz w:val="32"/>
          <w:szCs w:val="32"/>
        </w:rPr>
        <w:t>（一）项目概况</w:t>
      </w:r>
    </w:p>
    <w:p w14:paraId="2605C749">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1.项目背景</w:t>
      </w:r>
    </w:p>
    <w:p w14:paraId="3E0306E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根据《中华人民共和国特种设备安全法》《中华人民共和国安全生产法》《特种设备事故调查处理规定》、部门职责要求工作部署,按照自治区市场监管局下发的《自治区市场监督管理局关于加强特种设备作业人员资格考核工作有关要求的通知》（新市监特函〔2020〕2号）的规定，全疆特种设备作业人员考试机构须依据《特种设备作业人员考核规则（TSGZ6001-2019）》和《特种设备焊接操作人员考核细则（TSGZ6002-2010）》相关规定，拥有符合设备、场地、环境等相关要求的特种设备作业人员考试基地,按照自治区市场监管局下发的《自治区市场监督管理局关于加强特种设备作业人员资格考核工作有关要求的通知》（新市监特函〔2020〕2号）的规定，根据《中华人民共和国特种设备安全法》《中华人民共和国标准化法》等部门要求工作部署，特此设立该项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2.主要内容</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根据《中华人民共和国特种设备安全法》的相关规定，对全地区特种设备生产、安装、使用等各环节开展安全监察，对重点领域、重点设备开展专项整治，保障人民群众人身和财产安全。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开展特种设备事故的调查处理、检验检测数4500件，特种设备定期检验率95%，特种设备节能管理、特种设备从业人员安全教育和安全使用特种设备的宣传；为开展特种设备技能检测培训2次，提高检测率；严格按照年度检验计划开展电梯、起重机械、锅炉、压力容器、压力管道、安全阀等特种设备检验检测工作需要专项检查费用308.14万元。</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3.实施情况</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实施主体：</w:t>
      </w:r>
      <w:r>
        <w:rPr>
          <w:rStyle w:val="19"/>
          <w:rFonts w:hint="eastAsia" w:ascii="仿宋" w:hAnsi="仿宋" w:eastAsia="仿宋" w:cs="仿宋"/>
          <w:b w:val="0"/>
          <w:bCs w:val="0"/>
          <w:spacing w:val="-4"/>
          <w:sz w:val="32"/>
          <w:szCs w:val="32"/>
        </w:rPr>
        <w:t>和田地区特种设备检验检测所</w:t>
      </w:r>
    </w:p>
    <w:p w14:paraId="52E261F4">
      <w:pPr>
        <w:keepNext w:val="0"/>
        <w:keepLines w:val="0"/>
        <w:pageBreakBefore w:val="0"/>
        <w:widowControl w:val="0"/>
        <w:kinsoku/>
        <w:wordWrap/>
        <w:overflowPunct/>
        <w:topLinePunct w:val="0"/>
        <w:autoSpaceDE/>
        <w:autoSpaceDN/>
        <w:bidi w:val="0"/>
        <w:adjustRightInd/>
        <w:snapToGrid/>
        <w:spacing w:line="540" w:lineRule="exact"/>
        <w:ind w:left="319" w:leftChars="152" w:firstLine="313" w:firstLineChars="1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实施时间：</w:t>
      </w:r>
      <w:r>
        <w:rPr>
          <w:rStyle w:val="19"/>
          <w:rFonts w:hint="eastAsia" w:ascii="仿宋" w:hAnsi="仿宋" w:eastAsia="仿宋" w:cs="仿宋"/>
          <w:b w:val="0"/>
          <w:bCs w:val="0"/>
          <w:spacing w:val="-4"/>
          <w:sz w:val="32"/>
          <w:szCs w:val="32"/>
        </w:rPr>
        <w:t>本项目实施期限为2024年1月—2024年12月</w:t>
      </w:r>
    </w:p>
    <w:p w14:paraId="0864BA0B">
      <w:pPr>
        <w:keepNext w:val="0"/>
        <w:keepLines w:val="0"/>
        <w:pageBreakBefore w:val="0"/>
        <w:widowControl w:val="0"/>
        <w:kinsoku/>
        <w:wordWrap/>
        <w:overflowPunct/>
        <w:topLinePunct w:val="0"/>
        <w:autoSpaceDE/>
        <w:autoSpaceDN/>
        <w:bidi w:val="0"/>
        <w:adjustRightInd/>
        <w:snapToGrid/>
        <w:spacing w:line="540" w:lineRule="exact"/>
        <w:ind w:left="319" w:leftChars="152" w:firstLine="313" w:firstLineChars="1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实施情况：</w:t>
      </w:r>
      <w:r>
        <w:rPr>
          <w:rStyle w:val="19"/>
          <w:rFonts w:hint="eastAsia" w:ascii="仿宋" w:hAnsi="仿宋" w:eastAsia="仿宋" w:cs="仿宋"/>
          <w:b w:val="0"/>
          <w:bCs w:val="0"/>
          <w:spacing w:val="-4"/>
          <w:sz w:val="32"/>
          <w:szCs w:val="32"/>
        </w:rPr>
        <w:t>根据《中华人民共和国特种设备安全法》《中</w:t>
      </w:r>
    </w:p>
    <w:p w14:paraId="4B549771">
      <w:pPr>
        <w:keepNext w:val="0"/>
        <w:keepLines w:val="0"/>
        <w:pageBreakBefore w:val="0"/>
        <w:widowControl w:val="0"/>
        <w:kinsoku/>
        <w:wordWrap/>
        <w:overflowPunct/>
        <w:topLinePunct w:val="0"/>
        <w:autoSpaceDE/>
        <w:autoSpaceDN/>
        <w:bidi w:val="0"/>
        <w:adjustRightInd/>
        <w:snapToGrid/>
        <w:spacing w:line="540" w:lineRule="exact"/>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eastAsia="zh-CN"/>
        </w:rPr>
        <w:t>华</w:t>
      </w:r>
      <w:r>
        <w:rPr>
          <w:rStyle w:val="19"/>
          <w:rFonts w:hint="eastAsia" w:ascii="仿宋" w:hAnsi="仿宋" w:eastAsia="仿宋" w:cs="仿宋"/>
          <w:b w:val="0"/>
          <w:bCs w:val="0"/>
          <w:spacing w:val="-4"/>
          <w:sz w:val="32"/>
          <w:szCs w:val="32"/>
        </w:rPr>
        <w:t>人民共和国安全生产法》《特种设备事故调查处理规定》，根据《中华人民共和国特种设备安全法》的相关规定，对全地区特种设备生产、安装、使用等各环节开展安全监察，对重点领域、重点设备开展专项整治，保障人民群众人身和财产安全。开展特种设备事故的调查处理、检验检测数4500件，特种设备定期检验率95%，特种设备节能管理、特种设备从业人员安全教育和安全使用特种设备的宣传。为开展特种设备技能检测培训2次，提高检测率。严格按照年度检验计划开展电梯、起重机械、锅炉、压力容器、压力管道、安全阀等特种设备检验检测工作需要专项检查费用308.14万元。</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4.资金投入和使用情况</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（1）项目资金安排落实、总投入等情况分析</w:t>
      </w:r>
      <w:r>
        <w:rPr>
          <w:rFonts w:hint="eastAsia" w:ascii="仿宋" w:hAnsi="仿宋" w:eastAsia="仿宋" w:cs="仿宋"/>
          <w:b/>
          <w:bCs/>
          <w:spacing w:val="-4"/>
          <w:sz w:val="32"/>
          <w:szCs w:val="32"/>
        </w:rPr>
        <w:br w:type="textWrapping"/>
      </w:r>
      <w:r>
        <w:rPr>
          <w:rStyle w:val="19"/>
          <w:rFonts w:hint="eastAsia" w:ascii="仿宋" w:hAnsi="仿宋" w:eastAsia="仿宋" w:cs="仿宋"/>
          <w:b w:val="0"/>
          <w:bCs w:val="0"/>
          <w:spacing w:val="-4"/>
          <w:sz w:val="32"/>
          <w:szCs w:val="32"/>
        </w:rPr>
        <w:t>本项目预算安排总额为308.14万元，资金来源为本级部门预算，其中：财政资金308.14万元，其他资金0万元，2024年实际收到预算资金308.14万元，预算资金到位率为100%。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（2）项目资金实际使用情况分析</w:t>
      </w:r>
      <w:r>
        <w:rPr>
          <w:rFonts w:hint="eastAsia" w:ascii="仿宋" w:hAnsi="仿宋" w:eastAsia="仿宋" w:cs="仿宋"/>
          <w:b/>
          <w:bCs/>
          <w:spacing w:val="-4"/>
          <w:sz w:val="32"/>
          <w:szCs w:val="32"/>
        </w:rPr>
        <w:br w:type="textWrapping"/>
      </w:r>
      <w:r>
        <w:rPr>
          <w:rStyle w:val="19"/>
          <w:rFonts w:hint="eastAsia" w:ascii="仿宋" w:hAnsi="仿宋" w:eastAsia="仿宋" w:cs="仿宋"/>
          <w:b w:val="0"/>
          <w:bCs w:val="0"/>
          <w:spacing w:val="-4"/>
          <w:sz w:val="32"/>
          <w:szCs w:val="32"/>
        </w:rPr>
        <w:t>本项目实际支付资金308.14万元，预算执行率100%。本项目资金主要用于支付专业人员工资费用97万元、购买实验室专用材料及设备费用150万元,购买办公耗材53万元、其他费用8.14万元。</w:t>
      </w:r>
    </w:p>
    <w:p w14:paraId="11EE586E">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（二）项目绩效目标</w:t>
      </w:r>
    </w:p>
    <w:p w14:paraId="7BD15877">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1.总体目标</w:t>
      </w:r>
    </w:p>
    <w:p w14:paraId="3804ABA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根据《中华人民共和国特种设备安全法》的相关规定，对全地区特种设备生产、安装、使用等各环节开展安全监察，对重点领域、重点设备开展专项整治，保障人民群众人身和财产安全；开展特种设备事故的调查处理、检验检测数4500件，特种设备定期检验率95%，特种设备节能管理、特种设备从业人员安全教育和安全使用特种设备的宣传；开展特种设备技能检测培训2次，提高检测率；严格按照年度检验计划开展电梯、起重机械、锅炉、压力容器、压力管道、安全阀等特种设备检验检测工作需要专项检查费用300万元。</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2.阶段性目标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项目前期准备工作：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需求调研与立项：完成《设备技术参数确认表》，编制《设备购置必要性分析报告》。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资源协调：</w:t>
      </w:r>
      <w:r>
        <w:rPr>
          <w:rStyle w:val="19"/>
          <w:rFonts w:hint="eastAsia" w:ascii="仿宋" w:hAnsi="仿宋" w:eastAsia="仿宋" w:cs="仿宋"/>
          <w:b w:val="0"/>
          <w:bCs w:val="0"/>
          <w:spacing w:val="-4"/>
          <w:sz w:val="32"/>
          <w:szCs w:val="32"/>
        </w:rPr>
        <w:t>组建专项小组：技术负责人（1名）+采购专员（2名）+财务监管（1名）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细化预算分配：</w:t>
      </w:r>
      <w:r>
        <w:rPr>
          <w:rStyle w:val="19"/>
          <w:rFonts w:hint="eastAsia" w:ascii="仿宋" w:hAnsi="仿宋" w:eastAsia="仿宋" w:cs="仿宋"/>
          <w:b w:val="0"/>
          <w:bCs w:val="0"/>
          <w:spacing w:val="-4"/>
          <w:sz w:val="32"/>
          <w:szCs w:val="32"/>
        </w:rPr>
        <w:t>专业人员工资费用97万元;购买实验室专</w:t>
      </w:r>
    </w:p>
    <w:p w14:paraId="7E82ECDE">
      <w:pPr>
        <w:keepNext w:val="0"/>
        <w:keepLines w:val="0"/>
        <w:pageBreakBefore w:val="0"/>
        <w:widowControl w:val="0"/>
        <w:kinsoku/>
        <w:wordWrap/>
        <w:overflowPunct/>
        <w:topLinePunct w:val="0"/>
        <w:autoSpaceDE/>
        <w:autoSpaceDN/>
        <w:bidi w:val="0"/>
        <w:adjustRightInd/>
        <w:snapToGrid/>
        <w:spacing w:line="540" w:lineRule="exac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用材料及设备费用135万元;人员培训15万元;购买办公耗材费53万元</w:t>
      </w:r>
      <w:r>
        <w:rPr>
          <w:rStyle w:val="19"/>
          <w:rFonts w:hint="eastAsia" w:ascii="仿宋" w:hAnsi="仿宋" w:eastAsia="仿宋" w:cs="仿宋"/>
          <w:b w:val="0"/>
          <w:bCs w:val="0"/>
          <w:spacing w:val="-4"/>
          <w:sz w:val="32"/>
          <w:szCs w:val="32"/>
          <w:lang w:eastAsia="zh-CN"/>
        </w:rPr>
        <w:t>。</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项目实施：</w:t>
      </w:r>
      <w:r>
        <w:rPr>
          <w:rStyle w:val="19"/>
          <w:rFonts w:hint="eastAsia" w:ascii="仿宋" w:hAnsi="仿宋" w:eastAsia="仿宋" w:cs="仿宋"/>
          <w:b w:val="0"/>
          <w:bCs w:val="0"/>
          <w:spacing w:val="-4"/>
          <w:sz w:val="32"/>
          <w:szCs w:val="32"/>
        </w:rPr>
        <w:t>完成供应商比选（4月25日前确定中标单位）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签订采购合同（含付款条款：30%预付款+60%验收款+10%质保金）。</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项目完成：</w:t>
      </w:r>
      <w:r>
        <w:rPr>
          <w:rStyle w:val="19"/>
          <w:rFonts w:hint="eastAsia" w:ascii="仿宋" w:hAnsi="仿宋" w:eastAsia="仿宋" w:cs="仿宋"/>
          <w:b w:val="0"/>
          <w:bCs w:val="0"/>
          <w:spacing w:val="-4"/>
          <w:sz w:val="32"/>
          <w:szCs w:val="32"/>
        </w:rPr>
        <w:t>组织财务审计（重点核查预算执行率，9月10日前完成）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设备性能终验（9月15日前由技术委员会签字确认）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质保金支付审批（9月20日前完成使用部门确认）</w:t>
      </w:r>
    </w:p>
    <w:p w14:paraId="359F9692">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二、绩效评价工作开展情况</w:t>
      </w:r>
    </w:p>
    <w:p w14:paraId="1F9BE1F0">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（一）绩效评价目的、对象和范围</w:t>
      </w:r>
    </w:p>
    <w:p w14:paraId="746B6651">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1.绩效评价的目的</w:t>
      </w:r>
    </w:p>
    <w:p w14:paraId="4C1A72E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为全面实施预算绩效管理，建立科学、合理的项目</w:t>
      </w:r>
      <w:r>
        <w:rPr>
          <w:rStyle w:val="19"/>
          <w:rFonts w:hint="eastAsia" w:ascii="仿宋" w:hAnsi="仿宋" w:eastAsia="仿宋" w:cs="仿宋"/>
          <w:b w:val="0"/>
          <w:bCs w:val="0"/>
          <w:spacing w:val="-4"/>
          <w:sz w:val="32"/>
          <w:szCs w:val="32"/>
          <w:lang w:eastAsia="zh-CN"/>
        </w:rPr>
        <w:t>支出</w:t>
      </w:r>
      <w:r>
        <w:rPr>
          <w:rStyle w:val="19"/>
          <w:rFonts w:hint="eastAsia" w:ascii="仿宋" w:hAnsi="仿宋" w:eastAsia="仿宋" w:cs="仿宋"/>
          <w:b w:val="0"/>
          <w:bCs w:val="0"/>
          <w:spacing w:val="-4"/>
          <w:sz w:val="32"/>
          <w:szCs w:val="32"/>
        </w:rPr>
        <w:t>绩效评价管理体系，提高财政资源配置效率和使用效益，根据财政部印发《项目支出绩效评价管理办法》（财预〔2020〕10号）《自治区财政支出绩效评价管理暂行办法》（新财预〔2018〕189号）文件精神，我单位针对专用设备购置业务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DAA983D">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CF2D2CA">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四是：</w:t>
      </w:r>
      <w:r>
        <w:rPr>
          <w:rStyle w:val="19"/>
          <w:rFonts w:hint="eastAsia" w:ascii="仿宋" w:hAnsi="仿宋" w:eastAsia="仿宋" w:cs="仿宋"/>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2.绩效评价对象</w:t>
      </w:r>
    </w:p>
    <w:p w14:paraId="0734C65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此次我单位根据《财政支出绩效评价管理暂行办法》（财预〔2020〕10号）文件要求实施评价工作，本次评价对象为专用设备购置业务经费项目，评价核心为项目的资金投入、产出及效益。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3.绩效评价范围</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D1B9D98">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（二）绩效评价原则、评价指标体系、评价方法、评价标准</w:t>
      </w:r>
    </w:p>
    <w:p w14:paraId="000E5F51">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依据《中华人民共和国预算法》《中共中央</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国务院关于全面</w:t>
      </w:r>
    </w:p>
    <w:p w14:paraId="7E97E55F">
      <w:pPr>
        <w:keepNext w:val="0"/>
        <w:keepLines w:val="0"/>
        <w:pageBreakBefore w:val="0"/>
        <w:widowControl w:val="0"/>
        <w:kinsoku/>
        <w:wordWrap/>
        <w:overflowPunct/>
        <w:topLinePunct w:val="0"/>
        <w:autoSpaceDE/>
        <w:autoSpaceDN/>
        <w:bidi w:val="0"/>
        <w:adjustRightInd/>
        <w:snapToGrid/>
        <w:spacing w:line="540" w:lineRule="exact"/>
        <w:ind w:left="312" w:hanging="312" w:hangingChars="1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实施预算绩效管理的意见》（中发〔2018〕34号）《项目支出绩效评价管理办法》（财预〔2020〕10号）《自治区党委</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（1）科学公正。</w:t>
      </w:r>
      <w:r>
        <w:rPr>
          <w:rStyle w:val="19"/>
          <w:rFonts w:hint="eastAsia" w:ascii="仿宋" w:hAnsi="仿宋" w:eastAsia="仿宋" w:cs="仿宋"/>
          <w:b w:val="0"/>
          <w:bCs w:val="0"/>
          <w:spacing w:val="-4"/>
          <w:sz w:val="32"/>
          <w:szCs w:val="32"/>
        </w:rPr>
        <w:t>绩效评价应当运用科学合理的方法，按照规范的程序，对项目绩效进行客观、公正地反映。</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（2）统筹兼顾。</w:t>
      </w:r>
      <w:r>
        <w:rPr>
          <w:rStyle w:val="19"/>
          <w:rFonts w:hint="eastAsia" w:ascii="仿宋" w:hAnsi="仿宋" w:eastAsia="仿宋" w:cs="仿宋"/>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（3）激励约束。</w:t>
      </w:r>
      <w:r>
        <w:rPr>
          <w:rStyle w:val="19"/>
          <w:rFonts w:hint="eastAsia" w:ascii="仿宋" w:hAnsi="仿宋" w:eastAsia="仿宋" w:cs="仿宋"/>
          <w:b w:val="0"/>
          <w:bCs w:val="0"/>
          <w:spacing w:val="-4"/>
          <w:sz w:val="32"/>
          <w:szCs w:val="32"/>
        </w:rPr>
        <w:t>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（4）公开透明。</w:t>
      </w:r>
      <w:r>
        <w:rPr>
          <w:rStyle w:val="19"/>
          <w:rFonts w:hint="eastAsia" w:ascii="仿宋" w:hAnsi="仿宋" w:eastAsia="仿宋" w:cs="仿宋"/>
          <w:b w:val="0"/>
          <w:bCs w:val="0"/>
          <w:spacing w:val="-4"/>
          <w:sz w:val="32"/>
          <w:szCs w:val="32"/>
        </w:rPr>
        <w:t>绩效评价结果应依法依规公开，并自觉接受社会监督。</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根据以上原则，绩效评价应遵循如下要求:</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（2）保证评价结果的真实性、公正性，提高评价报告的公信力。</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w:t>
      </w:r>
    </w:p>
    <w:p w14:paraId="0F59FC13">
      <w:pPr>
        <w:keepNext w:val="0"/>
        <w:keepLines w:val="0"/>
        <w:pageBreakBefore w:val="0"/>
        <w:widowControl w:val="0"/>
        <w:kinsoku/>
        <w:wordWrap/>
        <w:overflowPunct/>
        <w:topLinePunct w:val="0"/>
        <w:autoSpaceDE/>
        <w:autoSpaceDN/>
        <w:bidi w:val="0"/>
        <w:adjustRightInd/>
        <w:snapToGrid/>
        <w:spacing w:line="540" w:lineRule="exact"/>
        <w:ind w:left="312" w:hanging="312" w:hangingChars="1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相关的原则，采用全面、重点、现场和非现场相结合的方式进行</w:t>
      </w:r>
    </w:p>
    <w:p w14:paraId="26DE6964">
      <w:pPr>
        <w:keepNext w:val="0"/>
        <w:keepLines w:val="0"/>
        <w:pageBreakBefore w:val="0"/>
        <w:widowControl w:val="0"/>
        <w:kinsoku/>
        <w:wordWrap/>
        <w:overflowPunct/>
        <w:topLinePunct w:val="0"/>
        <w:autoSpaceDE/>
        <w:autoSpaceDN/>
        <w:bidi w:val="0"/>
        <w:adjustRightInd/>
        <w:snapToGrid/>
        <w:spacing w:line="540" w:lineRule="exact"/>
        <w:ind w:left="312" w:hanging="312" w:hangingChars="1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评价。</w:t>
      </w:r>
    </w:p>
    <w:p w14:paraId="0C3E82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lang w:val="en-US" w:eastAsia="zh-CN"/>
        </w:rPr>
        <w:t>2.</w:t>
      </w:r>
      <w:r>
        <w:rPr>
          <w:rStyle w:val="19"/>
          <w:rFonts w:hint="eastAsia" w:ascii="仿宋" w:hAnsi="仿宋" w:eastAsia="仿宋" w:cs="仿宋"/>
          <w:b/>
          <w:bCs/>
          <w:spacing w:val="-4"/>
          <w:sz w:val="32"/>
          <w:szCs w:val="32"/>
        </w:rPr>
        <w:t>绩效评价指标体系</w:t>
      </w:r>
    </w:p>
    <w:p w14:paraId="68C6AC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3.评价方法</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定量指标分析环节：</w:t>
      </w:r>
      <w:r>
        <w:rPr>
          <w:rStyle w:val="19"/>
          <w:rFonts w:hint="eastAsia" w:ascii="仿宋" w:hAnsi="仿宋" w:eastAsia="仿宋" w:cs="仿宋"/>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立项依据充分性：</w:t>
      </w:r>
      <w:r>
        <w:rPr>
          <w:rStyle w:val="19"/>
          <w:rFonts w:hint="eastAsia" w:ascii="仿宋" w:hAnsi="仿宋" w:eastAsia="仿宋" w:cs="仿宋"/>
          <w:b w:val="0"/>
          <w:bCs w:val="0"/>
          <w:spacing w:val="-4"/>
          <w:sz w:val="32"/>
          <w:szCs w:val="32"/>
        </w:rPr>
        <w:t>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绩效目标合理性：</w:t>
      </w:r>
      <w:r>
        <w:rPr>
          <w:rStyle w:val="19"/>
          <w:rFonts w:hint="eastAsia" w:ascii="仿宋" w:hAnsi="仿宋" w:eastAsia="仿宋" w:cs="仿宋"/>
          <w:b w:val="0"/>
          <w:bCs w:val="0"/>
          <w:spacing w:val="-4"/>
          <w:sz w:val="32"/>
          <w:szCs w:val="32"/>
        </w:rPr>
        <w:t>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绩效指标明确性：</w:t>
      </w:r>
      <w:r>
        <w:rPr>
          <w:rStyle w:val="19"/>
          <w:rFonts w:hint="eastAsia" w:ascii="仿宋" w:hAnsi="仿宋" w:eastAsia="仿宋" w:cs="仿宋"/>
          <w:b w:val="0"/>
          <w:bCs w:val="0"/>
          <w:spacing w:val="-4"/>
          <w:sz w:val="32"/>
          <w:szCs w:val="32"/>
        </w:rPr>
        <w:t>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预算编制科学性：</w:t>
      </w:r>
      <w:r>
        <w:rPr>
          <w:rStyle w:val="19"/>
          <w:rFonts w:hint="eastAsia" w:ascii="仿宋" w:hAnsi="仿宋" w:eastAsia="仿宋" w:cs="仿宋"/>
          <w:b w:val="0"/>
          <w:bCs w:val="0"/>
          <w:spacing w:val="-4"/>
          <w:sz w:val="32"/>
          <w:szCs w:val="32"/>
        </w:rPr>
        <w:t>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资金分配合理性：</w:t>
      </w:r>
      <w:r>
        <w:rPr>
          <w:rStyle w:val="19"/>
          <w:rFonts w:hint="eastAsia" w:ascii="仿宋" w:hAnsi="仿宋" w:eastAsia="仿宋" w:cs="仿宋"/>
          <w:b w:val="0"/>
          <w:bCs w:val="0"/>
          <w:spacing w:val="-4"/>
          <w:sz w:val="32"/>
          <w:szCs w:val="32"/>
        </w:rPr>
        <w:t>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资金到位率：</w:t>
      </w:r>
      <w:r>
        <w:rPr>
          <w:rStyle w:val="19"/>
          <w:rFonts w:hint="eastAsia" w:ascii="仿宋" w:hAnsi="仿宋" w:eastAsia="仿宋" w:cs="仿宋"/>
          <w:b w:val="0"/>
          <w:bCs w:val="0"/>
          <w:spacing w:val="-4"/>
          <w:sz w:val="32"/>
          <w:szCs w:val="32"/>
        </w:rPr>
        <w:t>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定量指标：</w:t>
      </w:r>
      <w:r>
        <w:rPr>
          <w:rStyle w:val="19"/>
          <w:rFonts w:hint="eastAsia" w:ascii="仿宋" w:hAnsi="仿宋" w:eastAsia="仿宋" w:cs="仿宋"/>
          <w:b w:val="0"/>
          <w:bCs w:val="0"/>
          <w:spacing w:val="-4"/>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定性指标：</w:t>
      </w:r>
      <w:r>
        <w:rPr>
          <w:rStyle w:val="19"/>
          <w:rFonts w:hint="eastAsia" w:ascii="仿宋" w:hAnsi="仿宋" w:eastAsia="仿宋" w:cs="仿宋"/>
          <w:b w:val="0"/>
          <w:bCs w:val="0"/>
          <w:spacing w:val="-4"/>
          <w:sz w:val="32"/>
          <w:szCs w:val="32"/>
        </w:rPr>
        <w:t>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4.评价标准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4E53C17">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（三）绩效评价工作过程</w:t>
      </w:r>
    </w:p>
    <w:p w14:paraId="3B4D7F35">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1.前期准备</w:t>
      </w:r>
    </w:p>
    <w:p w14:paraId="5136CA9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李盈泽（评价小组组长）：主要负责绩效评价工作的统筹协调;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钟斌（评价小组组员）：主要负责绩效评价前期准备工作，资料的收集整理，复核数据等工作；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努尔比耶（评价小组组员）：主要负责绩效评价报告的撰写，填报绩效自评表等相关工作。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2.组织实施</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3.分析评价</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4.撰写与提交评价报告</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5.问题整改</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6.档案整理</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0A82F5FA">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三、综合评价情况及评价结论</w:t>
      </w:r>
    </w:p>
    <w:p w14:paraId="147A3B47">
      <w:pPr>
        <w:keepNext w:val="0"/>
        <w:keepLines w:val="0"/>
        <w:pageBreakBefore w:val="0"/>
        <w:widowControl w:val="0"/>
        <w:kinsoku/>
        <w:wordWrap/>
        <w:overflowPunct/>
        <w:topLinePunct w:val="0"/>
        <w:autoSpaceDE/>
        <w:autoSpaceDN/>
        <w:bidi w:val="0"/>
        <w:adjustRightInd/>
        <w:snapToGrid/>
        <w:spacing w:line="540" w:lineRule="exact"/>
        <w:ind w:left="951" w:leftChars="304" w:hanging="313" w:hangingChars="1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（一）综合评价情况</w:t>
      </w:r>
    </w:p>
    <w:p w14:paraId="3F8B2889">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经评价，本项目达成年初设立的绩效目标，在实施过程中取得了良好的成效，具体表现在以下三方面：</w:t>
      </w:r>
    </w:p>
    <w:p w14:paraId="7DBC5A6F">
      <w:pPr>
        <w:keepNext w:val="0"/>
        <w:keepLines w:val="0"/>
        <w:pageBreakBefore w:val="0"/>
        <w:widowControl w:val="0"/>
        <w:kinsoku/>
        <w:wordWrap/>
        <w:overflowPunct/>
        <w:topLinePunct w:val="0"/>
        <w:autoSpaceDE/>
        <w:autoSpaceDN/>
        <w:bidi w:val="0"/>
        <w:adjustRightInd/>
        <w:snapToGrid/>
        <w:spacing w:line="540" w:lineRule="exact"/>
        <w:textAlignment w:val="auto"/>
        <w:rPr>
          <w:rStyle w:val="19"/>
          <w:rFonts w:hint="eastAsia" w:ascii="仿宋" w:hAnsi="仿宋" w:eastAsia="仿宋" w:cs="仿宋"/>
          <w:b w:val="0"/>
          <w:bCs w:val="0"/>
          <w:spacing w:val="-4"/>
          <w:sz w:val="32"/>
          <w:szCs w:val="32"/>
        </w:rPr>
      </w:pP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bCs/>
          <w:spacing w:val="-4"/>
          <w:sz w:val="32"/>
          <w:szCs w:val="32"/>
          <w:lang w:val="en-US" w:eastAsia="zh-CN"/>
        </w:rPr>
        <w:t>:</w:t>
      </w:r>
      <w:r>
        <w:rPr>
          <w:rStyle w:val="19"/>
          <w:rFonts w:hint="eastAsia" w:ascii="仿宋" w:hAnsi="仿宋" w:eastAsia="仿宋" w:cs="仿宋"/>
          <w:b w:val="0"/>
          <w:bCs w:val="0"/>
          <w:spacing w:val="-4"/>
          <w:sz w:val="32"/>
          <w:szCs w:val="32"/>
        </w:rPr>
        <w:t>已完成特种设备检验检测数4500件，开展特种设备技能检测培训2次任务。</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bCs/>
          <w:spacing w:val="-4"/>
          <w:sz w:val="32"/>
          <w:szCs w:val="32"/>
          <w:lang w:val="en-US" w:eastAsia="zh-CN"/>
        </w:rPr>
        <w:t>:</w:t>
      </w:r>
      <w:r>
        <w:rPr>
          <w:rStyle w:val="19"/>
          <w:rFonts w:hint="eastAsia" w:ascii="仿宋" w:hAnsi="仿宋" w:eastAsia="仿宋" w:cs="仿宋"/>
          <w:b w:val="0"/>
          <w:bCs w:val="0"/>
          <w:spacing w:val="-4"/>
          <w:sz w:val="32"/>
          <w:szCs w:val="32"/>
        </w:rPr>
        <w:t>达到了严格按照年度检验计划开展电梯、起重机械、锅炉、压力容器、压力管道、安全阀等特种设备检验检测工作的效益。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根据《中华人民共和国特种设备安全法》的相关规定，对全地区特种设备生产、安装、使用等各环节开展安全监察，对重点领域、重点设备开展专项整治，保障人民群众人身和财产安全。开展特种设备事故的调查处理、特种设备节能管理、特种设备从业人员安全教育和安全使用特种设备的宣传。为设备的大修与更新提供技术依据，确保市民出行安全。开展正常业务活动支出。</w:t>
      </w:r>
    </w:p>
    <w:p w14:paraId="22F8BECA">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（二）评价结论</w:t>
      </w:r>
    </w:p>
    <w:p w14:paraId="6F96E04E">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项目决策类指标共设置6个，满分指标6个，权重分21分，得分21分，得分率100%；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过程管理类指标共设置5个，满分指标5个，权重分19分，得分19分，得分率100%；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项目产出类指标共设置7个，满分指标7个，权重分20分，得分20分，得分率100.00%；</w:t>
      </w:r>
    </w:p>
    <w:p w14:paraId="6E657F94">
      <w:pPr>
        <w:keepNext w:val="0"/>
        <w:keepLines w:val="0"/>
        <w:pageBreakBefore w:val="0"/>
        <w:widowControl w:val="0"/>
        <w:kinsoku/>
        <w:wordWrap/>
        <w:overflowPunct/>
        <w:topLinePunct w:val="0"/>
        <w:autoSpaceDE/>
        <w:autoSpaceDN/>
        <w:bidi w:val="0"/>
        <w:adjustRightInd/>
        <w:snapToGrid/>
        <w:spacing w:line="540" w:lineRule="exact"/>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项目效益类指标共设置3个，满分指标3个，权重分40分，得分40分，得分率100.00%，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详细情况见“附件2：项目综合得分表”。</w:t>
      </w:r>
    </w:p>
    <w:p w14:paraId="285D394F">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rPr>
      </w:pPr>
      <w:r>
        <w:rPr>
          <w:rStyle w:val="19"/>
          <w:rFonts w:hint="eastAsia" w:ascii="仿宋" w:hAnsi="仿宋" w:eastAsia="仿宋" w:cs="仿宋"/>
          <w:b/>
          <w:bCs w:val="0"/>
          <w:spacing w:val="-4"/>
          <w:sz w:val="32"/>
          <w:szCs w:val="32"/>
        </w:rPr>
        <w:t>四、绩效评价指标分析</w:t>
      </w:r>
      <w:r>
        <w:rPr>
          <w:rStyle w:val="19"/>
          <w:rFonts w:hint="eastAsia" w:ascii="仿宋" w:hAnsi="仿宋" w:eastAsia="仿宋" w:cs="仿宋"/>
        </w:rPr>
        <w:t xml:space="preserve"> </w:t>
      </w:r>
    </w:p>
    <w:p w14:paraId="3084329F">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w:t>
      </w:r>
      <w:r>
        <w:rPr>
          <w:rStyle w:val="19"/>
          <w:rFonts w:hint="eastAsia" w:ascii="仿宋" w:hAnsi="仿宋" w:eastAsia="仿宋" w:cs="仿宋"/>
          <w:spacing w:val="-4"/>
          <w:sz w:val="32"/>
          <w:szCs w:val="32"/>
        </w:rPr>
        <w:t>项目决策情况</w:t>
      </w:r>
    </w:p>
    <w:p w14:paraId="4BF99471">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项目决策类指标由3个二级指标和6个三级指标构成，权重分21分，实际得分21分。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1.项目立项情况分析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（1）立项依据充分性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立项符合根据《中华人民共和国特种设备安全法》《中华人民共和国安全生产法》《特种设备事故调查处理规定》等相关政策要求：本项目对全地区特种设备生产、安装、使用等各环节开展安全监察，对重点领域、重点设备开展专项整治，保障人民群众人身和财产安全。开展特种设备事故的调查处理、特种设备节能管理、特种设备从业人员安全教育和安全使用特种设备的宣传。为设备的大修与更新提供技术依据，确保市民出行安全。开展正常业务活动支出，提高检测率内容，符合行业发展规划和政策要求；本项目立项符合《和田地区特种设备检验检测所单位配置内设机构和人员编制规定》中职责范围中的“组织实施本地区特种设备检验、委托检验、仲裁检验，向社会提供技术服务”，属于我单位履职所需；根据《财政资金直接支付申请书》，本项目资金性质为“公共财政预算”功能分类为“20115其他市场监督管理支出”经济分类为“502商品和服务支出”属于公共财政支持范围，符合中央、地方事权支出责任划分原则；经检查我单位财政应用平台指标，本项目不存在重复。综上所述，本指标满分为5分，根据评分标准得5分，本项目立项依据充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综上所述，本指标满分为5分，根据评分标准得5分，本项目立项依据充分。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（2）立项程序规范性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根据《中华人民共和国特种设备安全法》《中华人民共和国安全生产法》《特种设备事故调查处理规定》、部门职责要求和工作部署，项目立项过程中产生的文件均符合相关要求。本项目为通过此项目实施进一步达到依法负责特种设备检验工作类项目，属于经常性项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综上所述，本指标满分为3分，根据评分标准得3分，本项目立项程序规范。</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2.绩效目标情况分析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（1）绩效目标合理性</w:t>
      </w:r>
    </w:p>
    <w:p w14:paraId="4646C4D4">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1872" w:firstLineChars="6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已设置年度绩效目标，具体内容为“目标1：根据《中华人民共和国特种设备安全法》的相关规定，对全地区特种设备生产、安装、使用等各环节开展安全监察，对重点领域、重点设备开展专项整治，保障人民群众人身和财产安全。目标2：开展特种设备事故的调查处理、检验检测数4500件，特种设备定期检验率95%，特种设备节能管理、特种设备从业人员安全教育和安全使用特种设备的宣传。目标3：开展特种设备技能检测培训2次，提高检测率。目标4：严格按照年度检验计划开展电梯、起重机械、锅炉、压力容器、压力管道、安全阀等特种设备检验检测工作需要专项检查费用300万元。”；本项目实际工作内容为：截至2024年12月31日，本项目实际支出资金300万元，预算执行率为100.00%。绩效目标与实际工作内容一致，两者具有相关性;本项目按照绩效目标完成了数量指标、质量指标、时效指标、成本指标，有效保障了特种设备检验企业满意程度，年度绩效目标完成，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综上所述，本指标满分为4分，根据评分标准得4分，本项目绩效目标设置合理。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（2）绩效指标明确性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综上所述，本指标满分为3分，根据评分标准得3分，本项目所设置绩效指标明确。</w:t>
      </w:r>
    </w:p>
    <w:p w14:paraId="2F29BA0A">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leftChars="304"/>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val="en-US" w:eastAsia="zh-CN"/>
        </w:rPr>
        <w:t>3.</w:t>
      </w:r>
      <w:r>
        <w:rPr>
          <w:rStyle w:val="19"/>
          <w:rFonts w:hint="eastAsia" w:ascii="仿宋" w:hAnsi="仿宋" w:eastAsia="仿宋" w:cs="仿宋"/>
          <w:b w:val="0"/>
          <w:bCs w:val="0"/>
          <w:spacing w:val="-4"/>
          <w:sz w:val="32"/>
          <w:szCs w:val="32"/>
        </w:rPr>
        <w:t>资金投入情况分析</w:t>
      </w:r>
    </w:p>
    <w:p w14:paraId="2869C18A">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（1）预算编制科学</w:t>
      </w:r>
    </w:p>
    <w:p w14:paraId="1DC8EA41">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本项目预算编制通过我单位汇总工作开展实施内容及经费需求，通过会后编制实施方案及资金申请报告上报至财政局申请项目资金，即预算编制较科学且经过论证；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业务经费项目，项目实际内容为根据《中华人民共和国特种设备安全法》《中华人民共和国安全生产法》《特种设备事故调查处理规定》、部门职责要求工作部署，预算申请与《业务经费项目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300万元，我单位在预算申请中严格按照单位标准和数量进行核算，其中：专业人员工资费用97万元，购买实验室专用材料及设备费用150万元,购买办公耗材53万元。本项目预算额度测算依据充分，严格按照标准编制，预算确定资金量与实际工作任务相匹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综上所述，本指标满分为4分，根据评分标准4分，本项目预算编制科学。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（2）资金分配合理性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实际分配资金以《关于申请业务经费项目资金的请示》和《业务经费项目实施方案》为依据进行资金分配，预算资金分配依据充分。根据《中华人民共和国特种设备安全法》《中华人民共和国安全生产法》《特种设备事故调查处理规定》、部门职责要求工作部署资金下达文件》文件显示，本项目实际到位资金308.14万元，实际分配资金与我单位提交申请的资金额度一致，资金分配额度合理，与我单位实际需求相适应。</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综上所述，本指标满分为2分，根据评分标准得2分，本项目资金分配合理。</w:t>
      </w:r>
      <w:r>
        <w:rPr>
          <w:rStyle w:val="19"/>
          <w:rFonts w:hint="eastAsia" w:ascii="仿宋" w:hAnsi="仿宋" w:eastAsia="仿宋" w:cs="仿宋"/>
          <w:b w:val="0"/>
          <w:bCs w:val="0"/>
          <w:spacing w:val="-4"/>
          <w:sz w:val="32"/>
          <w:szCs w:val="32"/>
          <w:lang w:eastAsia="zh-CN"/>
        </w:rPr>
        <w:tab/>
      </w:r>
    </w:p>
    <w:p w14:paraId="268FEDE3">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二</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项目过程情况</w:t>
      </w:r>
    </w:p>
    <w:p w14:paraId="6AE21440">
      <w:pPr>
        <w:keepNext w:val="0"/>
        <w:keepLines w:val="0"/>
        <w:pageBreakBefore w:val="0"/>
        <w:widowControl w:val="0"/>
        <w:kinsoku/>
        <w:wordWrap/>
        <w:overflowPunct/>
        <w:topLinePunct w:val="0"/>
        <w:autoSpaceDE/>
        <w:autoSpaceDN/>
        <w:bidi w:val="0"/>
        <w:adjustRightInd/>
        <w:snapToGrid/>
        <w:spacing w:line="540" w:lineRule="exact"/>
        <w:ind w:firstLine="1872" w:firstLineChars="6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项目过程管理类指标由2个二级指标和5个三级指标构成，权重分19分，实际得分19分。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1.资金管理情况分析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（1）资金到位率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本项目预算资金为308.14万元，其中：本级财政安排资金308.14万元，其他资金0万元，实际到位资金308.14万元，资金到位率=（实际到位资金/预算资金）×100%=（308.14/308.14）*100%=100%。得分=资金到位率*分值=100%*4=4分。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（2）预算执行率</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本项目实际支出资金308.14万元，预算执行率=（实际支出资金/实际到位资金）×100%=（308.14/308.14）*100%=100%。得分=预算执行率*分值=100%*5=5分。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综上所述，本指标满分为5分，根据评分标准得5分，本项目资金分配合理。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（3）资金使用合规性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特种设备检验检测所资金管理办法》《和田地区特种设备检验检测所专项资金管理办法》，资金的拨付有完整的审批程序和手续，资金实际使用方向与预算批复用途一致，不存在截留、挤占、挪用、虚列支出的情况。</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综上所述，本指标满分为4分，根据评分标准得4分，资金支出符合我单位财务管理制度规定。</w:t>
      </w:r>
    </w:p>
    <w:p w14:paraId="670851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val="en-US" w:eastAsia="zh-CN"/>
        </w:rPr>
        <w:t>2.</w:t>
      </w:r>
      <w:r>
        <w:rPr>
          <w:rStyle w:val="19"/>
          <w:rFonts w:hint="eastAsia" w:ascii="仿宋" w:hAnsi="仿宋" w:eastAsia="仿宋" w:cs="仿宋"/>
          <w:b w:val="0"/>
          <w:bCs w:val="0"/>
          <w:spacing w:val="-4"/>
          <w:sz w:val="32"/>
          <w:szCs w:val="32"/>
        </w:rPr>
        <w:t>组织实施情况分析</w:t>
      </w:r>
    </w:p>
    <w:p w14:paraId="292CE26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（1）管理制度健全性</w:t>
      </w:r>
    </w:p>
    <w:p w14:paraId="3BE667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已制定《和田地区特种设备检验检测所资金管理办法》《和田地区特种设备检验检测所收支业务管理制度》《和田地区特种设备检验检测所政府采购业务管理制度》《和田地区特种设备检验检测所合同管理制度》，上述已建立的制度均符合行政事业单位内控管理要求，财务和业务管理制度合法、合规、完整，本项目执行符合上述制度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综上所述，本指标满分为2分，根据评分标准得2分，项目制度建设健全。</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（2）制度执行有效性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 w:hAnsi="仿宋" w:eastAsia="仿宋" w:cs="仿宋"/>
          <w:b w:val="0"/>
          <w:bCs w:val="0"/>
          <w:spacing w:val="-4"/>
          <w:sz w:val="32"/>
          <w:szCs w:val="32"/>
        </w:rPr>
        <w:t>以及本单位资金管理办法执行，项目启动实施后，为了加快本项目的实施，成立了项目工作领导小组，由党组书记艾力西尔任组长，负责项目的组织工作；高飞任副组长，负责项目的实施工作；组员包括：李刚主要负责项目监督管理、验收以及资金核拨等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综上所述，本指标满分为4分，根据评分标准得4分，本项目所建立制度执行有效。</w:t>
      </w:r>
    </w:p>
    <w:p w14:paraId="04E0FE91">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三</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项目产出情况</w:t>
      </w:r>
    </w:p>
    <w:p w14:paraId="0FAE3AB1">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项目产出类指标由4个二级指标和7个三级指标构成，权重分20分，实际得分20分。</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1.数量指标完成情况分析</w:t>
      </w:r>
      <w:r>
        <w:rPr>
          <w:rFonts w:hint="eastAsia" w:ascii="仿宋" w:hAnsi="仿宋" w:eastAsia="仿宋" w:cs="仿宋"/>
          <w:b/>
          <w:bCs/>
          <w:spacing w:val="-4"/>
          <w:sz w:val="32"/>
          <w:szCs w:val="32"/>
        </w:rPr>
        <w:br w:type="textWrapping"/>
      </w:r>
      <w:r>
        <w:rPr>
          <w:rStyle w:val="19"/>
          <w:rFonts w:hint="eastAsia" w:ascii="仿宋" w:hAnsi="仿宋" w:eastAsia="仿宋" w:cs="仿宋"/>
          <w:b w:val="0"/>
          <w:bCs w:val="0"/>
          <w:spacing w:val="-4"/>
          <w:sz w:val="32"/>
          <w:szCs w:val="32"/>
        </w:rPr>
        <w:t>“特种设备检验检测数”指标：预期指标值为≥4500件，实际完成指标值为4500件，指标完成率为100.00%。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“开展特种设备技能检测培训次数”指标：预期指标值为≥2次，实际完成指标值为2次，指标完成率为100.00%。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2.质量指标完成情况分析</w:t>
      </w:r>
      <w:r>
        <w:rPr>
          <w:rFonts w:hint="eastAsia" w:ascii="仿宋" w:hAnsi="仿宋" w:eastAsia="仿宋" w:cs="仿宋"/>
          <w:b/>
          <w:bCs/>
          <w:spacing w:val="-4"/>
          <w:sz w:val="32"/>
          <w:szCs w:val="32"/>
        </w:rPr>
        <w:br w:type="textWrapping"/>
      </w:r>
      <w:r>
        <w:rPr>
          <w:rStyle w:val="19"/>
          <w:rFonts w:hint="eastAsia" w:ascii="仿宋" w:hAnsi="仿宋" w:eastAsia="仿宋" w:cs="仿宋"/>
          <w:b w:val="0"/>
          <w:bCs w:val="0"/>
          <w:spacing w:val="-4"/>
          <w:sz w:val="32"/>
          <w:szCs w:val="32"/>
        </w:rPr>
        <w:t>“特种设备定期检验率”指标：预期指标值为≥95.00%，实际完成指标值为95.00%，指标完成率为100.00%。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“政府采购率”指标：预期指标值为=100.00%，实际完成指标值为100.00%，指标完成率为100.00%。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3.时效指标完成情况分析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“资金支付及时率”指标：预期指标值为=100.00%，实际完成指标值为100.00%，指标完成率为100.00%。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“项目完成及时率”指标：预期指标值为=100.00%，实际完成指标值为100.00%，指标完成率为100.00%。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4.成本指标完成情况分析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“专项检查费用”指标：预期指标值为≤308.14万元，实际完成指标值为308.14万元，指标完成率为100.00%。</w:t>
      </w:r>
    </w:p>
    <w:p w14:paraId="2BA26726">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四</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项目效益情况</w:t>
      </w:r>
    </w:p>
    <w:p w14:paraId="5CA4DDB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项目效益类指标由2个二级指标和3个三级指标构成，权重分40.00分，实际得分40.00分。</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1.经济效益完成情况分析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无此类指标。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2.社会效益完成情况分析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“保障各类特种设备应检尽检率”指标：预期指标值为有效提高，实际完成指标值为基本达成目标，指标完成率为100.00%。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“为地区经济安全运行提供保障”指标：预期指标值为长期，实际完成指标值为基本达成目标，指标完成率为100.00%。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3.生态效益完成情况分析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无此类指标。</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4.可持续影响完成情况分析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无此类指标。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5.满意度指标完成情况分析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“服务群众满意度”指标：预期指标值为≥98.00%，实际完成指标值为100.00%，指标完成率100.00%。</w:t>
      </w:r>
    </w:p>
    <w:p w14:paraId="13C7BA7E">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五、预算执行进度与绩效指标偏差</w:t>
      </w:r>
    </w:p>
    <w:p w14:paraId="293FD74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本项目年初预算资金总额为308.14万元，全年预算数为308.14万元，全年执行数为308.14万元，预算执行率为100%。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本项目共设置三级指标数量9个，满分指标数量9个，扣分指标数量0个，经分析计算所有三级指标完成率得出，本项目总体完成率为100%。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综上所述本项目预算执行率与总体完成率之间的偏差为0%。</w:t>
      </w:r>
    </w:p>
    <w:p w14:paraId="62F1D36A">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六、主要经验及做法、存在的问题及原因分析</w:t>
      </w:r>
    </w:p>
    <w:p w14:paraId="7B17108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pacing w:val="-4"/>
          <w:sz w:val="32"/>
          <w:szCs w:val="32"/>
        </w:rPr>
      </w:pPr>
      <w:r>
        <w:rPr>
          <w:rStyle w:val="19"/>
          <w:rFonts w:hint="eastAsia" w:ascii="仿宋" w:hAnsi="仿宋" w:eastAsia="仿宋" w:cs="仿宋"/>
          <w:b w:val="0"/>
          <w:bCs/>
          <w:spacing w:val="-4"/>
          <w:sz w:val="32"/>
          <w:szCs w:val="32"/>
        </w:rPr>
        <w:t>（一）主要经验及做法</w:t>
      </w:r>
      <w:r>
        <w:rPr>
          <w:rFonts w:hint="eastAsia" w:ascii="仿宋" w:hAnsi="仿宋" w:eastAsia="仿宋" w:cs="仿宋"/>
          <w:b w:val="0"/>
          <w:bCs/>
          <w:spacing w:val="-4"/>
          <w:sz w:val="32"/>
          <w:szCs w:val="32"/>
        </w:rPr>
        <w:br w:type="textWrapping"/>
      </w:r>
      <w:r>
        <w:rPr>
          <w:rFonts w:hint="eastAsia" w:ascii="仿宋" w:hAnsi="仿宋" w:eastAsia="仿宋" w:cs="仿宋"/>
          <w:b/>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根据《中华人民共和国特种设备安全法》的相关规定，对全地区特种设备生产、安装、使用等各环节开展安全监察，对重点领域、重点设备开展专项整治，保障人民群众人身和财产安全，开展特种设备事故的调查处理、特种设备节能管理、特种设备从业人员安全教育和安全使用特种设备的宣传。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（二）存在的问题及原因分析</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1.对各项指标和指标值需进一步优化、完善，主要在细化、量化上改进。</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2.自评价工作还存在自我审定的局限性，会影响评价质量；缺少带着问题去评价的意识；现场评价的工作量少，后续效益评价具体措施和方法较少。</w:t>
      </w:r>
    </w:p>
    <w:p w14:paraId="401AC2E4">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七</w:t>
      </w:r>
      <w:r>
        <w:rPr>
          <w:rStyle w:val="19"/>
          <w:rFonts w:hint="eastAsia" w:ascii="仿宋" w:hAnsi="仿宋" w:eastAsia="仿宋" w:cs="仿宋"/>
          <w:b/>
          <w:bCs w:val="0"/>
          <w:spacing w:val="-4"/>
          <w:sz w:val="32"/>
          <w:szCs w:val="32"/>
        </w:rPr>
        <w:t>、有关建议</w:t>
      </w:r>
    </w:p>
    <w:p w14:paraId="458FDB9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1300B907">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八</w:t>
      </w:r>
      <w:r>
        <w:rPr>
          <w:rStyle w:val="19"/>
          <w:rFonts w:hint="eastAsia" w:ascii="仿宋" w:hAnsi="仿宋" w:eastAsia="仿宋" w:cs="仿宋"/>
          <w:b/>
          <w:bCs w:val="0"/>
          <w:spacing w:val="-4"/>
          <w:sz w:val="32"/>
          <w:szCs w:val="32"/>
        </w:rPr>
        <w:t>、其他需要说明的问题</w:t>
      </w:r>
    </w:p>
    <w:p w14:paraId="4DAED4B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（三）评价结果分别编入政府决算和部门预算，报送本级人民代表大会常务委员会，并依法予以公开。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1B415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 w:hAnsi="仿宋" w:eastAsia="仿宋" w:cs="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A2831F4">
        <w:pPr>
          <w:pStyle w:val="12"/>
          <w:jc w:val="center"/>
        </w:pPr>
        <w:r>
          <w:fldChar w:fldCharType="begin"/>
        </w:r>
        <w:r>
          <w:instrText xml:space="preserve">PAGE   \* MERGEFORMAT</w:instrText>
        </w:r>
        <w:r>
          <w:fldChar w:fldCharType="separate"/>
        </w:r>
        <w:r>
          <w:rPr>
            <w:lang w:val="zh-CN"/>
          </w:rPr>
          <w:t>1</w:t>
        </w:r>
        <w:r>
          <w:fldChar w:fldCharType="end"/>
        </w:r>
      </w:p>
    </w:sdtContent>
  </w:sdt>
  <w:p w14:paraId="369B13B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25E49"/>
    <w:rsid w:val="04991D9B"/>
    <w:rsid w:val="09E87645"/>
    <w:rsid w:val="0AB63135"/>
    <w:rsid w:val="16895F09"/>
    <w:rsid w:val="24AC58D3"/>
    <w:rsid w:val="34FF62E6"/>
    <w:rsid w:val="3A7022ED"/>
    <w:rsid w:val="419B52B3"/>
    <w:rsid w:val="57F26D57"/>
    <w:rsid w:val="5B873F38"/>
    <w:rsid w:val="5EBA41F7"/>
    <w:rsid w:val="65821697"/>
    <w:rsid w:val="6B7E41D7"/>
    <w:rsid w:val="73EB283A"/>
    <w:rsid w:val="76AC04F3"/>
    <w:rsid w:val="7DD148FB"/>
    <w:rsid w:val="BFFBA53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5d3dbb69-1432-4363-aaa5-bbddc8be7ec1}">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172</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2025-10-14T16:27:19Z</cp:lastPrinted>
  <dcterms:modified xsi:type="dcterms:W3CDTF">2025-10-14T16:27:31Z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