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和田地区特殊教育学校2024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黑体" w:hAnsi="黑体" w:eastAsia="黑体" w:cs="黑体"/>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黑体" w:hAnsi="黑体" w:eastAsia="黑体" w:cs="黑体"/>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楷体_GB2312" w:hAnsi="楷体_GB2312" w:eastAsia="楷体_GB2312" w:cs="楷体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楷体_GB2312" w:hAnsi="楷体_GB2312" w:eastAsia="楷体_GB2312" w:cs="楷体_GB2312"/>
          <w:b/>
          <w:bCs/>
          <w:sz w:val="32"/>
          <w:szCs w:val="32"/>
          <w:highlight w:val="none"/>
        </w:rPr>
        <w:fldChar w:fldCharType="begin"/>
      </w:r>
      <w:r>
        <w:rPr>
          <w:rFonts w:hint="eastAsia" w:ascii="楷体_GB2312" w:hAnsi="楷体_GB2312" w:eastAsia="楷体_GB2312" w:cs="楷体_GB2312"/>
          <w:b/>
          <w:bCs/>
          <w:sz w:val="32"/>
          <w:szCs w:val="32"/>
          <w:highlight w:val="none"/>
        </w:rPr>
        <w:instrText xml:space="preserve"> HYPERLINK \l _Toc31918 </w:instrText>
      </w:r>
      <w:r>
        <w:rPr>
          <w:rFonts w:hint="eastAsia" w:ascii="楷体_GB2312" w:hAnsi="楷体_GB2312" w:eastAsia="楷体_GB2312" w:cs="楷体_GB2312"/>
          <w:b/>
          <w:bCs/>
          <w:sz w:val="32"/>
          <w:szCs w:val="32"/>
          <w:highlight w:val="none"/>
        </w:rPr>
        <w:fldChar w:fldCharType="separate"/>
      </w:r>
      <w:r>
        <w:rPr>
          <w:rFonts w:hint="eastAsia" w:ascii="楷体_GB2312" w:hAnsi="楷体_GB2312" w:eastAsia="楷体_GB2312" w:cs="楷体_GB2312"/>
          <w:b/>
          <w:bCs/>
          <w:sz w:val="32"/>
          <w:szCs w:val="32"/>
          <w:highlight w:val="none"/>
        </w:rPr>
        <w:t>第一部分 单位概况</w:t>
      </w:r>
      <w:r>
        <w:rPr>
          <w:rFonts w:hint="eastAsia" w:ascii="楷体_GB2312" w:hAnsi="楷体_GB2312" w:eastAsia="楷体_GB2312" w:cs="楷体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楷体_GB2312" w:hAnsi="楷体_GB2312" w:eastAsia="楷体_GB2312" w:cs="楷体_GB2312"/>
          <w:b/>
          <w:bCs/>
          <w:sz w:val="32"/>
          <w:szCs w:val="32"/>
          <w:highlight w:val="none"/>
        </w:rPr>
      </w:pPr>
      <w:r>
        <w:rPr>
          <w:rFonts w:hint="eastAsia" w:ascii="楷体_GB2312" w:hAnsi="楷体_GB2312" w:eastAsia="楷体_GB2312" w:cs="楷体_GB2312"/>
          <w:b/>
          <w:bCs/>
          <w:sz w:val="32"/>
          <w:szCs w:val="32"/>
          <w:highlight w:val="none"/>
        </w:rPr>
        <w:fldChar w:fldCharType="begin"/>
      </w:r>
      <w:r>
        <w:rPr>
          <w:rFonts w:hint="eastAsia" w:ascii="楷体_GB2312" w:hAnsi="楷体_GB2312" w:eastAsia="楷体_GB2312" w:cs="楷体_GB2312"/>
          <w:b/>
          <w:bCs/>
          <w:sz w:val="32"/>
          <w:szCs w:val="32"/>
          <w:highlight w:val="none"/>
        </w:rPr>
        <w:instrText xml:space="preserve"> HYPERLINK \l _Toc7559 </w:instrText>
      </w:r>
      <w:r>
        <w:rPr>
          <w:rFonts w:hint="eastAsia" w:ascii="楷体_GB2312" w:hAnsi="楷体_GB2312" w:eastAsia="楷体_GB2312" w:cs="楷体_GB2312"/>
          <w:b/>
          <w:bCs/>
          <w:sz w:val="32"/>
          <w:szCs w:val="32"/>
          <w:highlight w:val="none"/>
        </w:rPr>
        <w:fldChar w:fldCharType="separate"/>
      </w:r>
      <w:r>
        <w:rPr>
          <w:rFonts w:hint="eastAsia" w:ascii="楷体_GB2312" w:hAnsi="楷体_GB2312" w:eastAsia="楷体_GB2312" w:cs="楷体_GB2312"/>
          <w:b/>
          <w:bCs/>
          <w:sz w:val="32"/>
          <w:szCs w:val="32"/>
          <w:highlight w:val="none"/>
        </w:rPr>
        <w:t>第</w:t>
      </w:r>
      <w:r>
        <w:rPr>
          <w:rFonts w:hint="eastAsia" w:ascii="楷体_GB2312" w:hAnsi="楷体_GB2312" w:eastAsia="楷体_GB2312" w:cs="楷体_GB2312"/>
          <w:b/>
          <w:bCs/>
          <w:sz w:val="32"/>
          <w:szCs w:val="32"/>
          <w:highlight w:val="none"/>
          <w:lang w:val="en-US" w:eastAsia="zh-CN"/>
        </w:rPr>
        <w:t>二</w:t>
      </w:r>
      <w:r>
        <w:rPr>
          <w:rFonts w:hint="eastAsia" w:ascii="楷体_GB2312" w:hAnsi="楷体_GB2312" w:eastAsia="楷体_GB2312" w:cs="楷体_GB2312"/>
          <w:b/>
          <w:bCs/>
          <w:sz w:val="32"/>
          <w:szCs w:val="32"/>
          <w:highlight w:val="none"/>
        </w:rPr>
        <w:t>部分 部门决算情况说明</w:t>
      </w:r>
      <w:r>
        <w:rPr>
          <w:rFonts w:hint="eastAsia" w:ascii="楷体_GB2312" w:hAnsi="楷体_GB2312" w:eastAsia="楷体_GB2312" w:cs="楷体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lang w:eastAsia="zh-CN"/>
        </w:rPr>
        <w:t>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lang w:eastAsia="zh-CN"/>
        </w:rPr>
        <w:t>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lang w:eastAsia="zh-CN"/>
        </w:rPr>
        <w:t>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val="en-US" w:eastAsia="zh-CN"/>
        </w:rPr>
        <w:t>2、</w:t>
      </w:r>
      <w:r>
        <w:rPr>
          <w:rFonts w:hint="eastAsia" w:ascii="仿宋_GB2312" w:hAnsi="仿宋_GB2312" w:eastAsia="仿宋_GB2312" w:cs="仿宋_GB2312"/>
          <w:sz w:val="32"/>
          <w:szCs w:val="32"/>
          <w:highlight w:val="none"/>
          <w:lang w:eastAsia="zh-CN"/>
        </w:rPr>
        <w:t>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val="en-US" w:eastAsia="zh-CN"/>
        </w:rPr>
        <w:t>3、</w:t>
      </w:r>
      <w:r>
        <w:rPr>
          <w:rFonts w:hint="eastAsia" w:ascii="仿宋_GB2312" w:hAnsi="仿宋_GB2312" w:eastAsia="仿宋_GB2312" w:cs="仿宋_GB2312"/>
          <w:sz w:val="32"/>
          <w:szCs w:val="32"/>
          <w:highlight w:val="none"/>
          <w:lang w:eastAsia="zh-CN"/>
        </w:rPr>
        <w:t>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楷体_GB2312" w:hAnsi="楷体_GB2312" w:eastAsia="楷体_GB2312" w:cs="楷体_GB2312"/>
          <w:b/>
          <w:bCs/>
          <w:sz w:val="32"/>
          <w:szCs w:val="32"/>
          <w:highlight w:val="none"/>
        </w:rPr>
      </w:pPr>
      <w:r>
        <w:rPr>
          <w:rFonts w:hint="eastAsia" w:ascii="楷体_GB2312" w:hAnsi="楷体_GB2312" w:eastAsia="楷体_GB2312" w:cs="楷体_GB2312"/>
          <w:b/>
          <w:bCs/>
          <w:sz w:val="32"/>
          <w:szCs w:val="32"/>
          <w:highlight w:val="none"/>
        </w:rPr>
        <w:fldChar w:fldCharType="begin"/>
      </w:r>
      <w:r>
        <w:rPr>
          <w:rFonts w:hint="eastAsia" w:ascii="楷体_GB2312" w:hAnsi="楷体_GB2312" w:eastAsia="楷体_GB2312" w:cs="楷体_GB2312"/>
          <w:b/>
          <w:bCs/>
          <w:sz w:val="32"/>
          <w:szCs w:val="32"/>
          <w:highlight w:val="none"/>
        </w:rPr>
        <w:instrText xml:space="preserve"> HYPERLINK \l _Toc30038 </w:instrText>
      </w:r>
      <w:r>
        <w:rPr>
          <w:rFonts w:hint="eastAsia" w:ascii="楷体_GB2312" w:hAnsi="楷体_GB2312" w:eastAsia="楷体_GB2312" w:cs="楷体_GB2312"/>
          <w:b/>
          <w:bCs/>
          <w:sz w:val="32"/>
          <w:szCs w:val="32"/>
          <w:highlight w:val="none"/>
        </w:rPr>
        <w:fldChar w:fldCharType="separate"/>
      </w:r>
      <w:r>
        <w:rPr>
          <w:rFonts w:hint="eastAsia" w:ascii="楷体_GB2312" w:hAnsi="楷体_GB2312" w:eastAsia="楷体_GB2312" w:cs="楷体_GB2312"/>
          <w:b/>
          <w:bCs/>
          <w:sz w:val="32"/>
          <w:szCs w:val="32"/>
          <w:highlight w:val="none"/>
        </w:rPr>
        <w:t>第</w:t>
      </w:r>
      <w:r>
        <w:rPr>
          <w:rFonts w:hint="eastAsia" w:ascii="楷体_GB2312" w:hAnsi="楷体_GB2312" w:eastAsia="楷体_GB2312" w:cs="楷体_GB2312"/>
          <w:b/>
          <w:bCs/>
          <w:sz w:val="32"/>
          <w:szCs w:val="32"/>
          <w:highlight w:val="none"/>
          <w:lang w:val="en-US" w:eastAsia="zh-CN"/>
        </w:rPr>
        <w:t>三</w:t>
      </w:r>
      <w:r>
        <w:rPr>
          <w:rFonts w:hint="eastAsia" w:ascii="楷体_GB2312" w:hAnsi="楷体_GB2312" w:eastAsia="楷体_GB2312" w:cs="楷体_GB2312"/>
          <w:b/>
          <w:bCs/>
          <w:sz w:val="32"/>
          <w:szCs w:val="32"/>
          <w:highlight w:val="none"/>
        </w:rPr>
        <w:t>部分 专业名词解释</w:t>
      </w:r>
      <w:r>
        <w:rPr>
          <w:rFonts w:hint="eastAsia" w:ascii="楷体_GB2312" w:hAnsi="楷体_GB2312" w:eastAsia="楷体_GB2312" w:cs="楷体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楷体_GB2312" w:hAnsi="楷体_GB2312" w:eastAsia="楷体_GB2312" w:cs="楷体_GB2312"/>
          <w:b/>
          <w:bCs/>
          <w:sz w:val="32"/>
          <w:szCs w:val="32"/>
          <w:highlight w:val="none"/>
        </w:rPr>
      </w:pPr>
      <w:r>
        <w:rPr>
          <w:rFonts w:hint="eastAsia" w:ascii="楷体_GB2312" w:hAnsi="楷体_GB2312" w:eastAsia="楷体_GB2312" w:cs="楷体_GB2312"/>
          <w:b/>
          <w:bCs/>
          <w:sz w:val="32"/>
          <w:szCs w:val="32"/>
          <w:highlight w:val="none"/>
        </w:rPr>
        <w:fldChar w:fldCharType="begin"/>
      </w:r>
      <w:r>
        <w:rPr>
          <w:rFonts w:hint="eastAsia" w:ascii="楷体_GB2312" w:hAnsi="楷体_GB2312" w:eastAsia="楷体_GB2312" w:cs="楷体_GB2312"/>
          <w:b/>
          <w:bCs/>
          <w:sz w:val="32"/>
          <w:szCs w:val="32"/>
          <w:highlight w:val="none"/>
        </w:rPr>
        <w:instrText xml:space="preserve"> HYPERLINK \l _Toc6831 </w:instrText>
      </w:r>
      <w:r>
        <w:rPr>
          <w:rFonts w:hint="eastAsia" w:ascii="楷体_GB2312" w:hAnsi="楷体_GB2312" w:eastAsia="楷体_GB2312" w:cs="楷体_GB2312"/>
          <w:b/>
          <w:bCs/>
          <w:sz w:val="32"/>
          <w:szCs w:val="32"/>
          <w:highlight w:val="none"/>
        </w:rPr>
        <w:fldChar w:fldCharType="separate"/>
      </w:r>
      <w:r>
        <w:rPr>
          <w:rFonts w:hint="eastAsia" w:ascii="楷体_GB2312" w:hAnsi="楷体_GB2312" w:eastAsia="楷体_GB2312" w:cs="楷体_GB2312"/>
          <w:b/>
          <w:bCs/>
          <w:sz w:val="32"/>
          <w:szCs w:val="32"/>
          <w:highlight w:val="none"/>
        </w:rPr>
        <w:t>第四部分 部门决算报表（见附表）</w:t>
      </w:r>
      <w:r>
        <w:rPr>
          <w:rFonts w:hint="eastAsia" w:ascii="楷体_GB2312" w:hAnsi="楷体_GB2312" w:eastAsia="楷体_GB2312" w:cs="楷体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spacing w:line="560" w:lineRule="exact"/>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439A7306">
      <w:pPr>
        <w:keepNext w:val="0"/>
        <w:keepLines w:val="0"/>
        <w:pageBreakBefore w:val="0"/>
        <w:widowControl w:val="0"/>
        <w:kinsoku/>
        <w:wordWrap/>
        <w:overflowPunct/>
        <w:topLinePunct w:val="0"/>
        <w:autoSpaceDE/>
        <w:autoSpaceDN/>
        <w:bidi w:val="0"/>
        <w:adjustRightInd/>
        <w:snapToGrid/>
        <w:spacing w:line="560" w:lineRule="exact"/>
        <w:textAlignment w:val="auto"/>
      </w:pPr>
      <w:r>
        <w:br w:type="page"/>
      </w:r>
    </w:p>
    <w:p w14:paraId="27041495">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1"/>
      </w:pPr>
      <w:r>
        <w:rPr>
          <w:rFonts w:ascii="黑体" w:hAnsi="黑体" w:eastAsia="黑体"/>
          <w:sz w:val="32"/>
        </w:rPr>
        <w:t>第一部分 单位概况</w:t>
      </w:r>
    </w:p>
    <w:p w14:paraId="0969C088">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rPr>
          <w:rFonts w:hint="eastAsia" w:ascii="楷体_GB2312" w:hAnsi="楷体_GB2312" w:eastAsia="楷体_GB2312" w:cs="楷体_GB2312"/>
          <w:b/>
          <w:bCs/>
        </w:rPr>
      </w:pPr>
      <w:r>
        <w:rPr>
          <w:rFonts w:hint="eastAsia" w:ascii="楷体_GB2312" w:hAnsi="楷体_GB2312" w:eastAsia="楷体_GB2312" w:cs="楷体_GB2312"/>
          <w:b/>
          <w:bCs/>
          <w:sz w:val="32"/>
        </w:rPr>
        <w:t>一、主要职能</w:t>
      </w:r>
    </w:p>
    <w:p w14:paraId="73CFE30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hint="eastAsia" w:ascii="仿宋_GB2312" w:hAnsi="仿宋_GB2312" w:eastAsia="仿宋_GB2312"/>
          <w:sz w:val="32"/>
          <w:lang w:eastAsia="zh-CN"/>
        </w:rPr>
      </w:pPr>
      <w:r>
        <w:rPr>
          <w:rFonts w:ascii="仿宋_GB2312" w:hAnsi="仿宋_GB2312" w:eastAsia="仿宋_GB2312"/>
          <w:sz w:val="32"/>
        </w:rPr>
        <w:t>和田地区特殊教育学校是和田行署正科级事业单位，归口和田地区教育局领导，主要职责是</w:t>
      </w:r>
      <w:r>
        <w:rPr>
          <w:rFonts w:hint="eastAsia" w:ascii="仿宋_GB2312" w:hAnsi="仿宋_GB2312" w:eastAsia="仿宋_GB2312"/>
          <w:sz w:val="32"/>
          <w:lang w:eastAsia="zh-CN"/>
        </w:rPr>
        <w:t>：</w:t>
      </w:r>
    </w:p>
    <w:p w14:paraId="17988FE9">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hint="eastAsia" w:ascii="仿宋_GB2312" w:hAnsi="仿宋_GB2312" w:eastAsia="仿宋_GB2312"/>
          <w:sz w:val="32"/>
          <w:lang w:eastAsia="zh-CN"/>
        </w:rPr>
        <w:t>1、</w:t>
      </w:r>
      <w:r>
        <w:rPr>
          <w:rFonts w:ascii="仿宋_GB2312" w:hAnsi="仿宋_GB2312" w:eastAsia="仿宋_GB2312"/>
          <w:sz w:val="32"/>
        </w:rPr>
        <w:t>承担和田地区七县一市听障和智障两类适龄残疾儿童少年接受九年义务教育任务。</w:t>
      </w:r>
    </w:p>
    <w:p w14:paraId="75C8AFC9">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hint="eastAsia" w:ascii="仿宋_GB2312" w:hAnsi="仿宋_GB2312" w:eastAsia="仿宋_GB2312"/>
          <w:sz w:val="32"/>
          <w:lang w:eastAsia="zh-CN"/>
        </w:rPr>
        <w:t>2、</w:t>
      </w:r>
      <w:r>
        <w:rPr>
          <w:rFonts w:ascii="仿宋_GB2312" w:hAnsi="仿宋_GB2312" w:eastAsia="仿宋_GB2312"/>
          <w:sz w:val="32"/>
        </w:rPr>
        <w:t>按照国家制定的特殊教育学校课程计划、教学大纲进行教育教学工作。</w:t>
      </w:r>
    </w:p>
    <w:p w14:paraId="68FF04BB">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hint="eastAsia" w:ascii="仿宋_GB2312" w:hAnsi="仿宋_GB2312" w:eastAsia="仿宋_GB2312"/>
          <w:sz w:val="32"/>
          <w:lang w:eastAsia="zh-CN"/>
        </w:rPr>
        <w:t>3、</w:t>
      </w:r>
      <w:r>
        <w:rPr>
          <w:rFonts w:ascii="仿宋_GB2312" w:hAnsi="仿宋_GB2312" w:eastAsia="仿宋_GB2312"/>
          <w:sz w:val="32"/>
        </w:rPr>
        <w:t>贯彻国家教育方针，根据学生身心特点和需要实施教育，让学生掌握一定的日常生活、劳动、生产的知识和技能；初步掌握补偿自身缺陷得到一定程度的康复；初步树立自重、自信、自强、</w:t>
      </w:r>
      <w:r>
        <w:rPr>
          <w:rFonts w:hint="eastAsia" w:ascii="仿宋_GB2312" w:hAnsi="仿宋_GB2312" w:eastAsia="仿宋_GB2312"/>
          <w:sz w:val="32"/>
          <w:lang w:eastAsia="zh-CN"/>
        </w:rPr>
        <w:t>自立</w:t>
      </w:r>
      <w:r>
        <w:rPr>
          <w:rFonts w:ascii="仿宋_GB2312" w:hAnsi="仿宋_GB2312" w:eastAsia="仿宋_GB2312"/>
          <w:sz w:val="32"/>
        </w:rPr>
        <w:t>的精神和维护自身合法权益的意识，形成适应社会的基本能力。</w:t>
      </w:r>
    </w:p>
    <w:p w14:paraId="652B0B7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hint="eastAsia" w:ascii="仿宋_GB2312" w:hAnsi="仿宋_GB2312" w:eastAsia="仿宋_GB2312"/>
          <w:sz w:val="32"/>
          <w:lang w:eastAsia="zh-CN"/>
        </w:rPr>
        <w:t>4、</w:t>
      </w:r>
      <w:r>
        <w:rPr>
          <w:rFonts w:ascii="仿宋_GB2312" w:hAnsi="仿宋_GB2312" w:eastAsia="仿宋_GB2312"/>
          <w:sz w:val="32"/>
        </w:rPr>
        <w:t>为全地区校外残疾人工作者、残疾儿童、少年及家长等提供教育、康复的咨询和服务。</w:t>
      </w:r>
    </w:p>
    <w:p w14:paraId="44762BD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hint="eastAsia" w:ascii="仿宋_GB2312" w:hAnsi="仿宋_GB2312" w:eastAsia="仿宋_GB2312"/>
          <w:sz w:val="32"/>
          <w:lang w:eastAsia="zh-CN"/>
        </w:rPr>
        <w:t>5、</w:t>
      </w:r>
      <w:r>
        <w:rPr>
          <w:rFonts w:ascii="仿宋_GB2312" w:hAnsi="仿宋_GB2312" w:eastAsia="仿宋_GB2312"/>
          <w:sz w:val="32"/>
        </w:rPr>
        <w:t>对入学儿童、少年的残疾类别、原因、程度和身心发展状况等进行必要的了解和测评。根据学生的残疾类别、程度，有针对性地进行康复训练，提高训练质量，指导学生正确运用康复设备和器具。</w:t>
      </w:r>
    </w:p>
    <w:p w14:paraId="2B5016DD">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rPr>
          <w:rFonts w:hint="eastAsia" w:ascii="楷体_GB2312" w:hAnsi="楷体_GB2312" w:eastAsia="楷体_GB2312" w:cs="楷体_GB2312"/>
          <w:b/>
          <w:bCs/>
        </w:rPr>
      </w:pPr>
      <w:r>
        <w:rPr>
          <w:rFonts w:hint="eastAsia" w:ascii="楷体_GB2312" w:hAnsi="楷体_GB2312" w:eastAsia="楷体_GB2312" w:cs="楷体_GB2312"/>
          <w:b/>
          <w:bCs/>
          <w:sz w:val="32"/>
        </w:rPr>
        <w:t>二、机构设置及人员情况</w:t>
      </w:r>
    </w:p>
    <w:p w14:paraId="6D436C9A">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和田地区特殊教育学校2024年度实有人数73人，其中：在职人员71人，增加1人；离休人员0人，增加0人；退休人员2人,增加0人。</w:t>
      </w:r>
    </w:p>
    <w:p w14:paraId="4365C4B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sz w:val="32"/>
        </w:rPr>
        <w:t>和田地区特殊教育学校无下属预算单位，下设11个科室，分别是：办公室、教务室、教研室、总务科、思政科、财务科、工会、安保科、党建办、宿管科、电教办。</w:t>
      </w:r>
    </w:p>
    <w:p w14:paraId="3DAA7327">
      <w:pPr>
        <w:keepNext w:val="0"/>
        <w:keepLines w:val="0"/>
        <w:pageBreakBefore w:val="0"/>
        <w:widowControl w:val="0"/>
        <w:kinsoku/>
        <w:wordWrap/>
        <w:overflowPunct/>
        <w:topLinePunct w:val="0"/>
        <w:autoSpaceDE/>
        <w:autoSpaceDN/>
        <w:bidi w:val="0"/>
        <w:adjustRightInd/>
        <w:snapToGrid/>
        <w:spacing w:line="560" w:lineRule="exact"/>
        <w:textAlignment w:val="auto"/>
      </w:pPr>
      <w:r>
        <w:br w:type="page"/>
      </w:r>
    </w:p>
    <w:p w14:paraId="2BB1CC4E">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1"/>
      </w:pPr>
      <w:r>
        <w:rPr>
          <w:rFonts w:ascii="黑体" w:hAnsi="黑体" w:eastAsia="黑体"/>
          <w:sz w:val="32"/>
        </w:rPr>
        <w:t>第二部分 部门决算情况说明</w:t>
      </w:r>
    </w:p>
    <w:p w14:paraId="6F71AAB3">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rPr>
          <w:b/>
          <w:bCs/>
        </w:rPr>
      </w:pPr>
      <w:r>
        <w:rPr>
          <w:rFonts w:hint="eastAsia" w:ascii="楷体_GB2312" w:hAnsi="楷体_GB2312" w:eastAsia="楷体_GB2312" w:cs="楷体_GB2312"/>
          <w:b/>
          <w:bCs/>
          <w:sz w:val="32"/>
        </w:rPr>
        <w:t>一、收入支出决算总体情况说明</w:t>
      </w:r>
    </w:p>
    <w:p w14:paraId="6C09CA2E">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b w:val="0"/>
          <w:bCs/>
        </w:rPr>
      </w:pPr>
      <w:r>
        <w:rPr>
          <w:rFonts w:ascii="仿宋_GB2312" w:hAnsi="仿宋_GB2312" w:eastAsia="仿宋_GB2312"/>
          <w:b w:val="0"/>
          <w:bCs/>
          <w:sz w:val="32"/>
        </w:rPr>
        <w:t>2024年度收入总计1,770.09万元，其中：本年收入合计1,770.09万元，使用非财政拨款结余（含专用结余）0.00万元，年初结转和结余0.00万元。</w:t>
      </w:r>
    </w:p>
    <w:p w14:paraId="6CD589B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bCs/>
          <w:sz w:val="32"/>
        </w:rPr>
        <w:t>2024年度支出总计1,770.09万元，其中：本年支出合计1,770.09万元，结余分配0.00万元，年末</w:t>
      </w:r>
      <w:r>
        <w:rPr>
          <w:rFonts w:ascii="仿宋_GB2312" w:hAnsi="仿宋_GB2312" w:eastAsia="仿宋_GB2312"/>
          <w:b w:val="0"/>
          <w:sz w:val="32"/>
        </w:rPr>
        <w:t>结转和结余0.00万元。</w:t>
      </w:r>
    </w:p>
    <w:p w14:paraId="2A3D3EE6">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收入支出总体与上年相比，增加131.76万元，增长8.04%，主要原因是：本年在职人员增加，相关人员经费增加；本年新增城乡义务教育补助经费预算中央直达资金-家庭经济困难学生生活补助—特教（小学）、彩票公益金支持特殊教育学校[特教班]生活补助经费-自治区彩票公益金特殊教育学校生活补助经费、城乡义务教育补助经费预算自治区城乡义教-家庭经济困难学生生活补助（初中）等项目，导致经费较上年增加。</w:t>
      </w:r>
    </w:p>
    <w:p w14:paraId="0737C4B1">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rPr>
          <w:rFonts w:hint="eastAsia" w:ascii="楷体_GB2312" w:hAnsi="楷体_GB2312" w:eastAsia="楷体_GB2312" w:cs="楷体_GB2312"/>
          <w:b/>
          <w:bCs/>
        </w:rPr>
      </w:pPr>
      <w:r>
        <w:rPr>
          <w:rFonts w:hint="eastAsia" w:ascii="楷体_GB2312" w:hAnsi="楷体_GB2312" w:eastAsia="楷体_GB2312" w:cs="楷体_GB2312"/>
          <w:b/>
          <w:bCs/>
          <w:sz w:val="32"/>
        </w:rPr>
        <w:t>二、收入决算情况说明</w:t>
      </w:r>
    </w:p>
    <w:p w14:paraId="525C50D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bCs/>
          <w:sz w:val="32"/>
        </w:rPr>
        <w:t>本年收入1,770.09万元，</w:t>
      </w:r>
      <w:r>
        <w:rPr>
          <w:rFonts w:ascii="仿宋_GB2312" w:hAnsi="仿宋_GB2312" w:eastAsia="仿宋_GB2312"/>
          <w:b w:val="0"/>
          <w:sz w:val="32"/>
        </w:rPr>
        <w:t>其中：财政拨款收入1,770.02万元，占100.00%；上级补助收入0.00万元，占0.00%；事业收入0.00万元，占0.00%；经营收入0.00万元，占0.00%；附属单位上缴收入0.00万元，占0.00%；其他收入0.07万元，占0.004%。</w:t>
      </w:r>
    </w:p>
    <w:p w14:paraId="77C38EF1">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hint="eastAsia" w:ascii="楷体_GB2312" w:hAnsi="楷体_GB2312" w:eastAsia="楷体_GB2312" w:cs="楷体_GB2312"/>
          <w:b/>
          <w:bCs/>
          <w:sz w:val="32"/>
        </w:rPr>
        <w:t>三、支出决算情况说明</w:t>
      </w:r>
    </w:p>
    <w:p w14:paraId="7E24C1BD">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bCs/>
          <w:sz w:val="32"/>
        </w:rPr>
        <w:t>本年支出1,770.09万元，</w:t>
      </w:r>
      <w:r>
        <w:rPr>
          <w:rFonts w:ascii="仿宋_GB2312" w:hAnsi="仿宋_GB2312" w:eastAsia="仿宋_GB2312"/>
          <w:b w:val="0"/>
          <w:sz w:val="32"/>
        </w:rPr>
        <w:t>其中：基本支出1,482.92万元，占83.78%；项目支出287.18万元，占16.22%；上缴上级支出0.00万元，占0.00%；经营支出0.00万元，占0.00%；对附属单位补助支出0.00万元，占0.00%。</w:t>
      </w:r>
    </w:p>
    <w:p w14:paraId="744AB45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rPr>
          <w:rFonts w:hint="eastAsia" w:ascii="楷体_GB2312" w:hAnsi="楷体_GB2312" w:eastAsia="楷体_GB2312" w:cs="楷体_GB2312"/>
          <w:b/>
          <w:bCs/>
        </w:rPr>
      </w:pPr>
      <w:r>
        <w:rPr>
          <w:rFonts w:hint="eastAsia" w:ascii="楷体_GB2312" w:hAnsi="楷体_GB2312" w:eastAsia="楷体_GB2312" w:cs="楷体_GB2312"/>
          <w:b/>
          <w:bCs/>
          <w:sz w:val="32"/>
        </w:rPr>
        <w:t>四、财政拨款收入支出决算总体情况说明</w:t>
      </w:r>
    </w:p>
    <w:p w14:paraId="5288763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b w:val="0"/>
          <w:bCs/>
        </w:rPr>
      </w:pPr>
      <w:r>
        <w:rPr>
          <w:rFonts w:ascii="仿宋_GB2312" w:hAnsi="仿宋_GB2312" w:eastAsia="仿宋_GB2312"/>
          <w:b w:val="0"/>
          <w:bCs/>
          <w:sz w:val="32"/>
        </w:rPr>
        <w:t>2024年度财政拨款收入总计1,770.02万元，其中：年初财政拨款结转和结余0.00万元，本年财政拨款收入1,770.02万元。财政拨款支出总计1,770.02万元，其中：年末财政拨款结转和结余0.00万元，本年财政拨款支出1,770.02万元。</w:t>
      </w:r>
    </w:p>
    <w:p w14:paraId="6A517A8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hAnsi="仿宋_GB2312" w:eastAsia="仿宋_GB2312"/>
          <w:b w:val="0"/>
          <w:sz w:val="32"/>
        </w:rPr>
      </w:pPr>
      <w:r>
        <w:rPr>
          <w:rFonts w:ascii="仿宋_GB2312" w:hAnsi="仿宋_GB2312" w:eastAsia="仿宋_GB2312"/>
          <w:b w:val="0"/>
          <w:bCs/>
          <w:sz w:val="32"/>
        </w:rPr>
        <w:t>财政拨款收入支出总体与上年相比，增加131.76万元，增长8.04%，主要原因是：本年在职人员增加，相关人员经</w:t>
      </w:r>
      <w:r>
        <w:rPr>
          <w:rFonts w:ascii="仿宋_GB2312" w:hAnsi="仿宋_GB2312" w:eastAsia="仿宋_GB2312"/>
          <w:b w:val="0"/>
          <w:sz w:val="32"/>
        </w:rPr>
        <w:t>费增加；本年新增城乡义务教育补助经费预算中央直达资金-家庭经济困难学生生活补助—特教（小学）、彩票公益金支持特殊教育学校[特教班]生活补助经费-自治区彩票公益金特殊教育学校生活补助经费、城乡义务教育补助经费预算自治区城乡义教-家庭经济困难学生生活补助（初中）等项目，导致经费较上年增加。</w:t>
      </w:r>
    </w:p>
    <w:p w14:paraId="0A37BC9B">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bCs/>
          <w:sz w:val="32"/>
        </w:rPr>
        <w:t>与年初预算相比，年</w:t>
      </w:r>
      <w:r>
        <w:rPr>
          <w:rFonts w:ascii="仿宋_GB2312" w:hAnsi="仿宋_GB2312" w:eastAsia="仿宋_GB2312"/>
          <w:b w:val="0"/>
          <w:sz w:val="32"/>
        </w:rPr>
        <w:t>初预算数1,725.97万元，决算数1,770.02万元，预决算差异率2.55%，主要原因是：本年在职人员增加，年中追加人员经费及人员工资、社保、公积金基数调增部分资金，导致预决算存在差异。</w:t>
      </w:r>
    </w:p>
    <w:p w14:paraId="409C5596">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hint="eastAsia" w:ascii="楷体_GB2312" w:hAnsi="楷体_GB2312" w:eastAsia="楷体_GB2312" w:cs="楷体_GB2312"/>
          <w:b/>
          <w:bCs/>
          <w:sz w:val="32"/>
        </w:rPr>
        <w:t>五、一般公共预算财政拨款支出决算情况说明</w:t>
      </w:r>
    </w:p>
    <w:p w14:paraId="3E9D7131">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3"/>
        <w:rPr>
          <w:rFonts w:hint="eastAsia" w:ascii="仿宋_GB2312" w:hAnsi="仿宋_GB2312" w:eastAsia="仿宋_GB2312" w:cs="仿宋_GB2312"/>
        </w:rPr>
      </w:pPr>
      <w:r>
        <w:rPr>
          <w:rFonts w:hint="eastAsia" w:ascii="仿宋_GB2312" w:hAnsi="仿宋_GB2312" w:eastAsia="仿宋_GB2312" w:cs="仿宋_GB2312"/>
          <w:b/>
          <w:sz w:val="32"/>
          <w:lang w:val="en-US" w:eastAsia="zh-CN"/>
        </w:rPr>
        <w:t>1、</w:t>
      </w:r>
      <w:r>
        <w:rPr>
          <w:rFonts w:hint="eastAsia" w:ascii="仿宋_GB2312" w:hAnsi="仿宋_GB2312" w:eastAsia="仿宋_GB2312" w:cs="仿宋_GB2312"/>
          <w:b/>
          <w:sz w:val="32"/>
        </w:rPr>
        <w:t>一般公共预算财政拨款支出决算总体情况</w:t>
      </w:r>
    </w:p>
    <w:p w14:paraId="404FD15A">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bCs/>
          <w:sz w:val="32"/>
        </w:rPr>
        <w:t>2024年度一般公共预算财政拨款支出1,725.65万元，占本</w:t>
      </w:r>
      <w:r>
        <w:rPr>
          <w:rFonts w:ascii="仿宋_GB2312" w:hAnsi="仿宋_GB2312" w:eastAsia="仿宋_GB2312"/>
          <w:b w:val="0"/>
          <w:sz w:val="32"/>
        </w:rPr>
        <w:t>年支出合计的97.49%。</w:t>
      </w:r>
      <w:r>
        <w:rPr>
          <w:rFonts w:ascii="仿宋_GB2312" w:hAnsi="仿宋_GB2312" w:eastAsia="仿宋_GB2312"/>
          <w:b w:val="0"/>
          <w:bCs/>
          <w:sz w:val="32"/>
        </w:rPr>
        <w:t>与上年相比，增</w:t>
      </w:r>
      <w:r>
        <w:rPr>
          <w:rFonts w:ascii="仿宋_GB2312" w:hAnsi="仿宋_GB2312" w:eastAsia="仿宋_GB2312"/>
          <w:b w:val="0"/>
          <w:sz w:val="32"/>
        </w:rPr>
        <w:t>加87.39万元，增长5.33%，主要原因是：在职人员增加及人员工资调增，相关人员经费增加；城乡义务教育补助经费预算（第二批）中央直达资金—家庭经济困难学生生活补助—特教（小学）、城乡义务教育补助经费预算-自治区城乡义教-家庭经济困难学生生活补助（初中）等项目，导致比上年增加。</w:t>
      </w:r>
      <w:r>
        <w:rPr>
          <w:rFonts w:ascii="仿宋_GB2312" w:hAnsi="仿宋_GB2312" w:eastAsia="仿宋_GB2312"/>
          <w:b w:val="0"/>
          <w:bCs/>
          <w:sz w:val="32"/>
        </w:rPr>
        <w:t>与年初预算相比,年</w:t>
      </w:r>
      <w:r>
        <w:rPr>
          <w:rFonts w:ascii="仿宋_GB2312" w:hAnsi="仿宋_GB2312" w:eastAsia="仿宋_GB2312"/>
          <w:b w:val="0"/>
          <w:sz w:val="32"/>
        </w:rPr>
        <w:t>初预算数1,681.37万元，决算数1,725.65万元，预决算差异率2.63%，主要原因是：本年在职人员增加，年中追加人员经费及人员工资、社保、公积金基数调增部分资金，导致预决算存在差异。</w:t>
      </w:r>
    </w:p>
    <w:p w14:paraId="21C2884E">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3"/>
        <w:rPr>
          <w:rFonts w:hint="eastAsia" w:ascii="仿宋_GB2312" w:hAnsi="仿宋_GB2312" w:eastAsia="仿宋_GB2312" w:cs="仿宋_GB2312"/>
          <w:b/>
          <w:bCs w:val="0"/>
        </w:rPr>
      </w:pPr>
      <w:r>
        <w:rPr>
          <w:rFonts w:hint="eastAsia" w:ascii="仿宋_GB2312" w:hAnsi="仿宋_GB2312" w:eastAsia="仿宋_GB2312" w:cs="仿宋_GB2312"/>
          <w:b/>
          <w:bCs w:val="0"/>
          <w:sz w:val="32"/>
          <w:lang w:val="en-US" w:eastAsia="zh-CN"/>
        </w:rPr>
        <w:t>2、</w:t>
      </w:r>
      <w:r>
        <w:rPr>
          <w:rFonts w:hint="eastAsia" w:ascii="仿宋_GB2312" w:hAnsi="仿宋_GB2312" w:eastAsia="仿宋_GB2312" w:cs="仿宋_GB2312"/>
          <w:b/>
          <w:bCs w:val="0"/>
          <w:sz w:val="32"/>
        </w:rPr>
        <w:t>一般公共预算财政拨款支出决算结构情况</w:t>
      </w:r>
    </w:p>
    <w:p w14:paraId="3C25BF4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1</w:t>
      </w:r>
      <w:r>
        <w:rPr>
          <w:rFonts w:hint="eastAsia" w:ascii="仿宋_GB2312" w:hAnsi="仿宋_GB2312" w:eastAsia="仿宋_GB2312"/>
          <w:b w:val="0"/>
          <w:sz w:val="32"/>
          <w:lang w:eastAsia="zh-CN"/>
        </w:rPr>
        <w:t>）</w:t>
      </w:r>
      <w:r>
        <w:rPr>
          <w:rFonts w:ascii="仿宋_GB2312" w:hAnsi="仿宋_GB2312" w:eastAsia="仿宋_GB2312"/>
          <w:b w:val="0"/>
          <w:sz w:val="32"/>
        </w:rPr>
        <w:t>教育支出(类)1,725.65万元,占100.00%。</w:t>
      </w:r>
    </w:p>
    <w:p w14:paraId="51F0B408">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3"/>
        <w:rPr>
          <w:rFonts w:hint="eastAsia" w:ascii="仿宋_GB2312" w:hAnsi="仿宋_GB2312" w:eastAsia="仿宋_GB2312" w:cs="仿宋_GB2312"/>
          <w:b/>
          <w:bCs w:val="0"/>
        </w:rPr>
      </w:pPr>
      <w:r>
        <w:rPr>
          <w:rFonts w:hint="eastAsia" w:ascii="仿宋_GB2312" w:hAnsi="仿宋_GB2312" w:eastAsia="仿宋_GB2312" w:cs="仿宋_GB2312"/>
          <w:b/>
          <w:bCs w:val="0"/>
          <w:sz w:val="32"/>
          <w:lang w:val="en-US" w:eastAsia="zh-CN"/>
        </w:rPr>
        <w:t>3、</w:t>
      </w:r>
      <w:r>
        <w:rPr>
          <w:rFonts w:hint="eastAsia" w:ascii="仿宋_GB2312" w:hAnsi="仿宋_GB2312" w:eastAsia="仿宋_GB2312" w:cs="仿宋_GB2312"/>
          <w:b/>
          <w:bCs w:val="0"/>
          <w:sz w:val="32"/>
        </w:rPr>
        <w:t>一般公共预算财政拨款支出决算具体情况</w:t>
      </w:r>
    </w:p>
    <w:p w14:paraId="63E3FC2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1</w:t>
      </w:r>
      <w:r>
        <w:rPr>
          <w:rFonts w:hint="eastAsia" w:ascii="仿宋_GB2312" w:hAnsi="仿宋_GB2312" w:eastAsia="仿宋_GB2312"/>
          <w:b w:val="0"/>
          <w:sz w:val="32"/>
          <w:lang w:eastAsia="zh-CN"/>
        </w:rPr>
        <w:t>）</w:t>
      </w:r>
      <w:r>
        <w:rPr>
          <w:rFonts w:ascii="仿宋_GB2312" w:hAnsi="仿宋_GB2312" w:eastAsia="仿宋_GB2312"/>
          <w:b w:val="0"/>
          <w:sz w:val="32"/>
        </w:rPr>
        <w:t>教育支出(类)普通教育(款)小学教育(项):支出决算数为18.11万元，比上年决算增加18.11万元，增长100.00%,主要原因是：本年新增自治区教育项目经费-南疆四地州中小学幼儿园配备人员工资补助项目、城乡义务教育补助经费预算（第二批）—家庭经济困难学生生活补助—特教（小学）、自治区教育项目经费-自治区义务教育阶段班主任津贴补助经费，导致经费较上年增加。</w:t>
      </w:r>
    </w:p>
    <w:p w14:paraId="05C5B9AE">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2</w:t>
      </w:r>
      <w:r>
        <w:rPr>
          <w:rFonts w:hint="eastAsia" w:ascii="仿宋_GB2312" w:hAnsi="仿宋_GB2312" w:eastAsia="仿宋_GB2312"/>
          <w:b w:val="0"/>
          <w:sz w:val="32"/>
          <w:lang w:eastAsia="zh-CN"/>
        </w:rPr>
        <w:t>）</w:t>
      </w:r>
      <w:r>
        <w:rPr>
          <w:rFonts w:ascii="仿宋_GB2312" w:hAnsi="仿宋_GB2312" w:eastAsia="仿宋_GB2312"/>
          <w:b w:val="0"/>
          <w:sz w:val="32"/>
        </w:rPr>
        <w:t>教育支出(类)普通教育(款)初中教育(项):支出决算数为58.66万元，比上年决算增加58.66万元，增长100.00%,主要原因是：本年新增城乡义务教育补助经费预算[自治区直达资金]-自治区城乡义教-家庭经济困难学生生活补助（初中）、城乡义务教育补助经费预算自治区城乡义教-公用经费（特教）、城乡义务教育补助经费预算（第二批）—家庭经济困难学生生活补助—特教（初中）经费，导致经费较上年增加。</w:t>
      </w:r>
    </w:p>
    <w:p w14:paraId="64926FE5">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3</w:t>
      </w:r>
      <w:r>
        <w:rPr>
          <w:rFonts w:hint="eastAsia" w:ascii="仿宋_GB2312" w:hAnsi="仿宋_GB2312" w:eastAsia="仿宋_GB2312"/>
          <w:b w:val="0"/>
          <w:sz w:val="32"/>
          <w:lang w:eastAsia="zh-CN"/>
        </w:rPr>
        <w:t>）</w:t>
      </w:r>
      <w:r>
        <w:rPr>
          <w:rFonts w:ascii="仿宋_GB2312" w:hAnsi="仿宋_GB2312" w:eastAsia="仿宋_GB2312"/>
          <w:b w:val="0"/>
          <w:sz w:val="32"/>
        </w:rPr>
        <w:t>教育支出(类)普通教育(款)其他普通教育支出(项):支出决算数为1.05万元，比上年决算增加1.05万元，增长100.00%,主要原因是：本年新增城乡义务教育补助自治区直达资金（第二批）项目，导致经费较上年增加。</w:t>
      </w:r>
    </w:p>
    <w:p w14:paraId="2E0E34B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4</w:t>
      </w:r>
      <w:r>
        <w:rPr>
          <w:rFonts w:hint="eastAsia" w:ascii="仿宋_GB2312" w:hAnsi="仿宋_GB2312" w:eastAsia="仿宋_GB2312"/>
          <w:b w:val="0"/>
          <w:sz w:val="32"/>
          <w:lang w:eastAsia="zh-CN"/>
        </w:rPr>
        <w:t>）</w:t>
      </w:r>
      <w:r>
        <w:rPr>
          <w:rFonts w:ascii="仿宋_GB2312" w:hAnsi="仿宋_GB2312" w:eastAsia="仿宋_GB2312"/>
          <w:b w:val="0"/>
          <w:sz w:val="32"/>
        </w:rPr>
        <w:t>教育支出(类)特殊教育(款)特殊学校教育(项):支出决算数为1,647.83万元，比上年决算增加9.57万元，增长0.58%,主要原因是：在职人员增加及人员工资调整，相关人员经费增加。</w:t>
      </w:r>
    </w:p>
    <w:p w14:paraId="45F687B8">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rPr>
          <w:rFonts w:hint="eastAsia" w:ascii="楷体_GB2312" w:hAnsi="楷体_GB2312" w:eastAsia="楷体_GB2312" w:cs="楷体_GB2312"/>
          <w:b/>
          <w:bCs/>
        </w:rPr>
      </w:pPr>
      <w:r>
        <w:rPr>
          <w:rFonts w:hint="eastAsia" w:ascii="楷体_GB2312" w:hAnsi="楷体_GB2312" w:eastAsia="楷体_GB2312" w:cs="楷体_GB2312"/>
          <w:b/>
          <w:bCs/>
          <w:sz w:val="32"/>
        </w:rPr>
        <w:t>六、一般公共预算财政拨款基本支出决算情况说明</w:t>
      </w:r>
    </w:p>
    <w:p w14:paraId="4F028DF3">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2024年度一般公共预算财政拨款基本支出1,482.84万元，其中：</w:t>
      </w:r>
      <w:r>
        <w:rPr>
          <w:rFonts w:ascii="仿宋_GB2312" w:hAnsi="仿宋_GB2312" w:eastAsia="仿宋_GB2312"/>
          <w:b w:val="0"/>
          <w:bCs/>
          <w:sz w:val="32"/>
        </w:rPr>
        <w:t>人员经费1,455.91万元，</w:t>
      </w:r>
      <w:r>
        <w:rPr>
          <w:rFonts w:ascii="仿宋_GB2312" w:hAnsi="仿宋_GB2312" w:eastAsia="仿宋_GB2312"/>
          <w:b w:val="0"/>
          <w:sz w:val="32"/>
        </w:rPr>
        <w:t>包括：基本工资、津贴补贴、奖金、绩效工资、机关事业单位基本养老保险缴费、职工基本医疗保险缴费、其他社会保障缴费、住房公积金、其他工资福利支出、退休费、奖励金。</w:t>
      </w:r>
    </w:p>
    <w:p w14:paraId="0073AA8B">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bCs/>
          <w:sz w:val="32"/>
        </w:rPr>
        <w:t>公用经费26.93万元，</w:t>
      </w:r>
      <w:r>
        <w:rPr>
          <w:rFonts w:ascii="仿宋_GB2312" w:hAnsi="仿宋_GB2312" w:eastAsia="仿宋_GB2312"/>
          <w:b w:val="0"/>
          <w:sz w:val="32"/>
        </w:rPr>
        <w:t>包括：工会经费、福利费、公务用车运行维护费。</w:t>
      </w:r>
    </w:p>
    <w:p w14:paraId="1AE0CA60">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rPr>
          <w:rFonts w:hint="eastAsia" w:ascii="楷体_GB2312" w:hAnsi="楷体_GB2312" w:eastAsia="楷体_GB2312" w:cs="楷体_GB2312"/>
          <w:b/>
          <w:bCs/>
        </w:rPr>
      </w:pPr>
      <w:r>
        <w:rPr>
          <w:rFonts w:hint="eastAsia" w:ascii="楷体_GB2312" w:hAnsi="楷体_GB2312" w:eastAsia="楷体_GB2312" w:cs="楷体_GB2312"/>
          <w:b/>
          <w:bCs/>
          <w:sz w:val="32"/>
        </w:rPr>
        <w:t>七、政府性基金预算财政拨款收入支出决算情况说明</w:t>
      </w:r>
    </w:p>
    <w:p w14:paraId="5B6C19B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b w:val="0"/>
          <w:bCs/>
        </w:rPr>
      </w:pPr>
      <w:r>
        <w:rPr>
          <w:rFonts w:ascii="仿宋_GB2312" w:hAnsi="仿宋_GB2312" w:eastAsia="仿宋_GB2312"/>
          <w:b w:val="0"/>
          <w:bCs/>
          <w:sz w:val="32"/>
        </w:rPr>
        <w:t>2024年度政府性基金预算财政拨款收入总计44.36万元，</w:t>
      </w:r>
      <w:r>
        <w:rPr>
          <w:rFonts w:ascii="仿宋_GB2312" w:hAnsi="仿宋_GB2312" w:eastAsia="仿宋_GB2312"/>
          <w:b w:val="0"/>
          <w:sz w:val="32"/>
        </w:rPr>
        <w:t>其中：年初结转和结余0.00万元，本年收入44.36万元。</w:t>
      </w:r>
      <w:r>
        <w:rPr>
          <w:rFonts w:ascii="仿宋_GB2312" w:hAnsi="仿宋_GB2312" w:eastAsia="仿宋_GB2312"/>
          <w:b w:val="0"/>
          <w:bCs/>
          <w:sz w:val="32"/>
        </w:rPr>
        <w:t>政府性基金预算财政拨款支出总计44.36万元，其中：年末结转和结余0.00万元，本年支出44.36万元。</w:t>
      </w:r>
    </w:p>
    <w:p w14:paraId="4EDDB445">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bCs/>
          <w:sz w:val="32"/>
        </w:rPr>
        <w:t>政府性基金预算财政拨款收入支出总体与上年相比，</w:t>
      </w:r>
      <w:r>
        <w:rPr>
          <w:rFonts w:ascii="仿宋_GB2312" w:hAnsi="仿宋_GB2312" w:eastAsia="仿宋_GB2312"/>
          <w:b w:val="0"/>
          <w:sz w:val="32"/>
        </w:rPr>
        <w:t>增加44.36万元，增长100.00%，主要原因是：本年新增特殊教育学校（特教班）生活补助经费项目、彩票公益金支持特殊教育学校[特教班]生活补助经费-自治区彩票公益金特殊教育学校生活补助经费，导致经费较上年增加。</w:t>
      </w:r>
      <w:r>
        <w:rPr>
          <w:rFonts w:ascii="仿宋_GB2312" w:hAnsi="仿宋_GB2312" w:eastAsia="仿宋_GB2312"/>
          <w:b w:val="0"/>
          <w:bCs/>
          <w:sz w:val="32"/>
        </w:rPr>
        <w:t>与年初预算相比，年</w:t>
      </w:r>
      <w:r>
        <w:rPr>
          <w:rFonts w:ascii="仿宋_GB2312" w:hAnsi="仿宋_GB2312" w:eastAsia="仿宋_GB2312"/>
          <w:b w:val="0"/>
          <w:sz w:val="32"/>
        </w:rPr>
        <w:t>初预算数44.60万元，决算数44.36万元，预决算差异率-0.54%，主要原因是：年中调减特殊教育学校（特教班）生活补助经费项目资金，导致预决算存在差异。</w:t>
      </w:r>
    </w:p>
    <w:p w14:paraId="7B1A2C5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政府性基金预算财政拨款支出44.36万元。</w:t>
      </w:r>
    </w:p>
    <w:p w14:paraId="5196BA0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其他支出(类)彩票公益金安排的支出(款)用于教育事业的彩票公益金支出(项):支出决算数为44.36万元，比上年决算增加44.36万元，增长100.00%,主要原因是：本年新增特殊教育学校（特教班）生活补助经费项目、彩票公益金支持特殊教育学校[特教班]生活补助经费-自治区彩票公益金特殊教育学校生活补助经费，导致经费较上年增加。</w:t>
      </w:r>
    </w:p>
    <w:p w14:paraId="0201838D">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rPr>
          <w:rFonts w:hint="eastAsia" w:ascii="楷体_GB2312" w:hAnsi="楷体_GB2312" w:eastAsia="楷体_GB2312" w:cs="楷体_GB2312"/>
          <w:b/>
          <w:bCs/>
        </w:rPr>
      </w:pPr>
      <w:r>
        <w:rPr>
          <w:rFonts w:hint="eastAsia" w:ascii="楷体_GB2312" w:hAnsi="楷体_GB2312" w:eastAsia="楷体_GB2312" w:cs="楷体_GB2312"/>
          <w:b/>
          <w:bCs/>
          <w:sz w:val="32"/>
        </w:rPr>
        <w:t>八、国有资本经营预算财政拨款收入支出决算情况说明</w:t>
      </w:r>
    </w:p>
    <w:p w14:paraId="470EC9CA">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本</w:t>
      </w:r>
      <w:r>
        <w:rPr>
          <w:rFonts w:hint="eastAsia" w:ascii="仿宋_GB2312" w:hAnsi="仿宋_GB2312" w:eastAsia="仿宋_GB2312"/>
          <w:b w:val="0"/>
          <w:sz w:val="32"/>
          <w:lang w:val="en-US" w:eastAsia="zh-CN"/>
        </w:rPr>
        <w:t>校</w:t>
      </w:r>
      <w:r>
        <w:rPr>
          <w:rFonts w:ascii="仿宋_GB2312" w:hAnsi="仿宋_GB2312" w:eastAsia="仿宋_GB2312"/>
          <w:b w:val="0"/>
          <w:sz w:val="32"/>
        </w:rPr>
        <w:t>本年度无国有资本经营预算财政拨款收入、支出及结转和结余，国有资本经营预算财政拨款收入支出决算表为空表。</w:t>
      </w:r>
    </w:p>
    <w:p w14:paraId="0C58B4CD">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hint="eastAsia" w:ascii="楷体_GB2312" w:hAnsi="楷体_GB2312" w:eastAsia="楷体_GB2312" w:cs="楷体_GB2312"/>
          <w:b/>
          <w:bCs/>
          <w:sz w:val="32"/>
        </w:rPr>
        <w:t>九、财政拨款“三公”经费支出决算情况说明</w:t>
      </w:r>
    </w:p>
    <w:p w14:paraId="1506F2AB">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bCs/>
          <w:sz w:val="32"/>
        </w:rPr>
        <w:t>2024年度财政拨款“三公”经费支出0.54万元，</w:t>
      </w:r>
      <w:r>
        <w:rPr>
          <w:rFonts w:ascii="仿宋_GB2312" w:hAnsi="仿宋_GB2312" w:eastAsia="仿宋_GB2312"/>
          <w:b w:val="0"/>
          <w:sz w:val="32"/>
        </w:rPr>
        <w:t>比上年减少1.46万元，下降73.00%，主要原因是：严格落实中央八项规定精神，厉行节约，减少公务用车使用频次，燃油费减少，导致财政拨款“三公”经费较上年减少。其中：因公出国（境）费支出0.00万元，占0.00%，比上年增加0.00万元，增长0.00%，主要原因是：2023年与2024年均未安排因公出国（境）费支出。公务用车购置及运行维护费支出0.54万元，占100.00%，比上年减少1.46万元，下降73.00%，主要原因是：严格落实中央八项规定精神，厉行节约，减少公务用车使用频次，燃油费减少，导致公务用车运行维护费较上年减少。公务接待费支出0.00万元，占0.00%，比上年增加0.00万元，增长0.00%，主要原因是：2023年与2024年均未安排公务接待费支出。</w:t>
      </w:r>
    </w:p>
    <w:p w14:paraId="56487AC5">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b w:val="0"/>
          <w:bCs/>
        </w:rPr>
      </w:pPr>
      <w:r>
        <w:rPr>
          <w:rFonts w:ascii="仿宋_GB2312" w:hAnsi="仿宋_GB2312" w:eastAsia="仿宋_GB2312"/>
          <w:b w:val="0"/>
          <w:bCs/>
          <w:sz w:val="32"/>
        </w:rPr>
        <w:t>具体情况如下：</w:t>
      </w:r>
    </w:p>
    <w:p w14:paraId="210CA1A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val="en-US" w:eastAsia="zh-CN"/>
        </w:rPr>
        <w:t>校</w:t>
      </w:r>
      <w:r>
        <w:rPr>
          <w:rFonts w:ascii="仿宋_GB2312" w:hAnsi="仿宋_GB2312" w:eastAsia="仿宋_GB2312"/>
          <w:b w:val="0"/>
          <w:sz w:val="32"/>
        </w:rPr>
        <w:t>无因公出国（境）费。</w:t>
      </w:r>
      <w:r>
        <w:rPr>
          <w:rFonts w:hint="eastAsia" w:ascii="仿宋_GB2312" w:hAnsi="仿宋_GB2312" w:eastAsia="仿宋_GB2312"/>
          <w:b w:val="0"/>
          <w:sz w:val="32"/>
          <w:lang w:val="en-US" w:eastAsia="zh-CN"/>
        </w:rPr>
        <w:t>学校</w:t>
      </w:r>
      <w:r>
        <w:rPr>
          <w:rFonts w:ascii="仿宋_GB2312" w:hAnsi="仿宋_GB2312" w:eastAsia="仿宋_GB2312"/>
          <w:b w:val="0"/>
          <w:sz w:val="32"/>
        </w:rPr>
        <w:t>全年安排的因公出国（境）团组0个，因公出国（境）0人次。</w:t>
      </w:r>
    </w:p>
    <w:p w14:paraId="175D522D">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公务用车购置及运行维护费0.54万元，其中：公务用车购置费0.00万元，公务用车运行维护费0.54万元。公务用车运行维护费开支内容包括车辆加油费、维修费、保险费。公务用车购置数0辆，公务用车保有量1辆。国有资产占用情况中固定资产车辆1辆，本</w:t>
      </w:r>
      <w:r>
        <w:rPr>
          <w:rFonts w:hint="eastAsia" w:ascii="仿宋_GB2312" w:hAnsi="仿宋_GB2312" w:eastAsia="仿宋_GB2312"/>
          <w:b w:val="0"/>
          <w:sz w:val="32"/>
          <w:lang w:val="en-US" w:eastAsia="zh-CN"/>
        </w:rPr>
        <w:t>校</w:t>
      </w:r>
      <w:r>
        <w:rPr>
          <w:rFonts w:ascii="仿宋_GB2312" w:hAnsi="仿宋_GB2312" w:eastAsia="仿宋_GB2312"/>
          <w:b w:val="0"/>
          <w:sz w:val="32"/>
        </w:rPr>
        <w:t>固定资产车辆与公务用车保有量一致无差异。</w:t>
      </w:r>
    </w:p>
    <w:p w14:paraId="226EA2C8">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val="en-US" w:eastAsia="zh-CN"/>
        </w:rPr>
        <w:t>校</w:t>
      </w:r>
      <w:r>
        <w:rPr>
          <w:rFonts w:ascii="仿宋_GB2312" w:hAnsi="仿宋_GB2312" w:eastAsia="仿宋_GB2312"/>
          <w:b w:val="0"/>
          <w:sz w:val="32"/>
        </w:rPr>
        <w:t>无公务接待费。</w:t>
      </w:r>
      <w:r>
        <w:rPr>
          <w:rFonts w:hint="eastAsia" w:ascii="仿宋_GB2312" w:hAnsi="仿宋_GB2312" w:eastAsia="仿宋_GB2312"/>
          <w:b w:val="0"/>
          <w:sz w:val="32"/>
          <w:lang w:val="en-US" w:eastAsia="zh-CN"/>
        </w:rPr>
        <w:t>学校</w:t>
      </w:r>
      <w:r>
        <w:rPr>
          <w:rFonts w:ascii="仿宋_GB2312" w:hAnsi="仿宋_GB2312" w:eastAsia="仿宋_GB2312"/>
          <w:b w:val="0"/>
          <w:sz w:val="32"/>
        </w:rPr>
        <w:t>全年安排的国内公务接待0批次，0人次。</w:t>
      </w:r>
    </w:p>
    <w:p w14:paraId="4D0E6415">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bCs/>
          <w:sz w:val="32"/>
        </w:rPr>
        <w:t>与全年预算相比，</w:t>
      </w:r>
      <w:r>
        <w:rPr>
          <w:rFonts w:ascii="仿宋_GB2312" w:hAnsi="仿宋_GB2312" w:eastAsia="仿宋_GB2312"/>
          <w:b w:val="0"/>
          <w:sz w:val="32"/>
        </w:rPr>
        <w:t>财政拨款“三公”经费支出全年预算数0.54万元，决算数0.54万元，预决算差异率0.00%，主要原因是：严格按照预算执行，预决算无差异。其中：因公出国（境）费全年预算数0.00万元，决算数0.00万元，预决算差异率0.00%，主要原因是：本</w:t>
      </w:r>
      <w:r>
        <w:rPr>
          <w:rFonts w:hint="eastAsia" w:ascii="仿宋_GB2312" w:hAnsi="仿宋_GB2312" w:eastAsia="仿宋_GB2312"/>
          <w:b w:val="0"/>
          <w:sz w:val="32"/>
          <w:lang w:val="en-US" w:eastAsia="zh-CN"/>
        </w:rPr>
        <w:t>校</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val="en-US" w:eastAsia="zh-CN"/>
        </w:rPr>
        <w:t>校</w:t>
      </w:r>
      <w:r>
        <w:rPr>
          <w:rFonts w:ascii="仿宋_GB2312" w:hAnsi="仿宋_GB2312" w:eastAsia="仿宋_GB2312"/>
          <w:b w:val="0"/>
          <w:sz w:val="32"/>
        </w:rPr>
        <w:t>无公务用车购置费。公务用车运行维护费全年预算数0.54万元，决算数0.54万元，预决算差异率0.00%，主要原因是：严格按照预算执行，预决算无差异。公务接待费全年预算数0.00万元，决算数0.00万元，预决算差异率0.00%，主要原因是：本</w:t>
      </w:r>
      <w:r>
        <w:rPr>
          <w:rFonts w:hint="eastAsia" w:ascii="仿宋_GB2312" w:hAnsi="仿宋_GB2312" w:eastAsia="仿宋_GB2312"/>
          <w:b w:val="0"/>
          <w:sz w:val="32"/>
          <w:lang w:val="en-US" w:eastAsia="zh-CN"/>
        </w:rPr>
        <w:t>校</w:t>
      </w:r>
      <w:r>
        <w:rPr>
          <w:rFonts w:ascii="仿宋_GB2312" w:hAnsi="仿宋_GB2312" w:eastAsia="仿宋_GB2312"/>
          <w:b w:val="0"/>
          <w:sz w:val="32"/>
        </w:rPr>
        <w:t>无公务接待费。</w:t>
      </w:r>
    </w:p>
    <w:p w14:paraId="6BD9D7A8">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rPr>
          <w:rFonts w:hint="eastAsia" w:ascii="楷体_GB2312" w:hAnsi="楷体_GB2312" w:eastAsia="楷体_GB2312" w:cs="楷体_GB2312"/>
          <w:b/>
          <w:bCs/>
        </w:rPr>
      </w:pPr>
      <w:r>
        <w:rPr>
          <w:rFonts w:hint="eastAsia" w:ascii="楷体_GB2312" w:hAnsi="楷体_GB2312" w:eastAsia="楷体_GB2312" w:cs="楷体_GB2312"/>
          <w:b/>
          <w:bCs/>
          <w:sz w:val="32"/>
        </w:rPr>
        <w:t>十、其他重要事项的情况说明</w:t>
      </w:r>
    </w:p>
    <w:p w14:paraId="44C255B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3"/>
        <w:rPr>
          <w:rFonts w:hint="eastAsia" w:ascii="仿宋_GB2312" w:hAnsi="仿宋_GB2312" w:eastAsia="仿宋_GB2312" w:cs="仿宋_GB2312"/>
          <w:b/>
          <w:bCs w:val="0"/>
        </w:rPr>
      </w:pPr>
      <w:r>
        <w:rPr>
          <w:rFonts w:hint="eastAsia" w:ascii="仿宋_GB2312" w:hAnsi="仿宋_GB2312" w:eastAsia="仿宋_GB2312" w:cs="仿宋_GB2312"/>
          <w:b/>
          <w:bCs w:val="0"/>
          <w:sz w:val="32"/>
          <w:lang w:val="en-US" w:eastAsia="zh-CN"/>
        </w:rPr>
        <w:t>1、</w:t>
      </w:r>
      <w:r>
        <w:rPr>
          <w:rFonts w:hint="eastAsia" w:ascii="仿宋_GB2312" w:hAnsi="仿宋_GB2312" w:eastAsia="仿宋_GB2312" w:cs="仿宋_GB2312"/>
          <w:b/>
          <w:bCs w:val="0"/>
          <w:sz w:val="32"/>
        </w:rPr>
        <w:t>机关运行经费及公用经费支出情况</w:t>
      </w:r>
    </w:p>
    <w:p w14:paraId="2DB4D761">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2024年度和田地区特殊教育学校（事业单位）公用经费支出26.93万元，比上年减少156.98万元，下降85.36%，主要原因是：本年度办公经费、取暖费调整至项目支出，导致基本支出公用经费较上年减少。</w:t>
      </w:r>
    </w:p>
    <w:p w14:paraId="02C066A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3"/>
        <w:rPr>
          <w:rFonts w:hint="eastAsia" w:ascii="仿宋_GB2312" w:hAnsi="仿宋_GB2312" w:eastAsia="仿宋_GB2312" w:cs="仿宋_GB2312"/>
          <w:b/>
          <w:bCs w:val="0"/>
        </w:rPr>
      </w:pPr>
      <w:r>
        <w:rPr>
          <w:rFonts w:hint="eastAsia" w:ascii="仿宋_GB2312" w:hAnsi="仿宋_GB2312" w:eastAsia="仿宋_GB2312" w:cs="仿宋_GB2312"/>
          <w:b/>
          <w:bCs w:val="0"/>
          <w:sz w:val="32"/>
          <w:lang w:val="en-US" w:eastAsia="zh-CN"/>
        </w:rPr>
        <w:t>2、</w:t>
      </w:r>
      <w:r>
        <w:rPr>
          <w:rFonts w:hint="eastAsia" w:ascii="仿宋_GB2312" w:hAnsi="仿宋_GB2312" w:eastAsia="仿宋_GB2312" w:cs="仿宋_GB2312"/>
          <w:b/>
          <w:bCs w:val="0"/>
          <w:sz w:val="32"/>
        </w:rPr>
        <w:t>政府采购情况</w:t>
      </w:r>
    </w:p>
    <w:p w14:paraId="14345D3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2024年度政府采购支出总额53.51万元，其中：政府采购货物支出0.00万元、政府采购工程支出38.29万元、政府采购服务支出15.21万元。</w:t>
      </w:r>
    </w:p>
    <w:p w14:paraId="45C363A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授予中小企业合同金额53.51万元，占政府采购支出总额的100.00%，其中：授予小微企业合同金额48.96万元，占政府采购支出总额的91.50%。</w:t>
      </w:r>
    </w:p>
    <w:p w14:paraId="3E574A1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3"/>
        <w:rPr>
          <w:rFonts w:hint="eastAsia" w:ascii="仿宋_GB2312" w:hAnsi="仿宋_GB2312" w:eastAsia="仿宋_GB2312" w:cs="仿宋_GB2312"/>
          <w:b/>
          <w:bCs w:val="0"/>
        </w:rPr>
      </w:pPr>
      <w:r>
        <w:rPr>
          <w:rFonts w:hint="eastAsia" w:ascii="仿宋_GB2312" w:hAnsi="仿宋_GB2312" w:eastAsia="仿宋_GB2312" w:cs="仿宋_GB2312"/>
          <w:b/>
          <w:bCs w:val="0"/>
          <w:sz w:val="32"/>
          <w:lang w:val="en-US" w:eastAsia="zh-CN"/>
        </w:rPr>
        <w:t>3、</w:t>
      </w:r>
      <w:r>
        <w:rPr>
          <w:rFonts w:hint="eastAsia" w:ascii="仿宋_GB2312" w:hAnsi="仿宋_GB2312" w:eastAsia="仿宋_GB2312" w:cs="仿宋_GB2312"/>
          <w:b/>
          <w:bCs w:val="0"/>
          <w:sz w:val="32"/>
        </w:rPr>
        <w:t>国有资产占用情况说明</w:t>
      </w:r>
    </w:p>
    <w:p w14:paraId="3CE2D2CB">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截至2024年12月31日，房屋3,902.66平方米，价值709.28万元。车辆1辆，价值3.50万元，其中：副部（省）级及以上领导用车0辆、主要负责人用车0辆、机要通信用车0辆、应急保障用车0辆、执法执勤用车0辆、特种专业技术用车0辆、离退休干部服务用车0辆、其他用车1辆，其他用车主要是：一般公务用车。单价100万元（含）以上设备（不含车辆）0台（套）。</w:t>
      </w:r>
    </w:p>
    <w:p w14:paraId="78CB7F17">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rPr>
          <w:rFonts w:hint="eastAsia" w:ascii="楷体_GB2312" w:hAnsi="楷体_GB2312" w:eastAsia="楷体_GB2312" w:cs="楷体_GB2312"/>
          <w:b/>
          <w:bCs/>
        </w:rPr>
      </w:pPr>
      <w:r>
        <w:rPr>
          <w:rFonts w:hint="eastAsia" w:ascii="楷体_GB2312" w:hAnsi="楷体_GB2312" w:eastAsia="楷体_GB2312" w:cs="楷体_GB2312"/>
          <w:b/>
          <w:bCs/>
          <w:sz w:val="32"/>
        </w:rPr>
        <w:t>十一、预算绩效的情况说明</w:t>
      </w:r>
    </w:p>
    <w:p w14:paraId="60C9B58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根据预算绩效管理要求，本</w:t>
      </w:r>
      <w:r>
        <w:rPr>
          <w:rFonts w:hint="eastAsia" w:ascii="仿宋_GB2312" w:hAnsi="仿宋_GB2312" w:eastAsia="仿宋_GB2312"/>
          <w:b w:val="0"/>
          <w:sz w:val="32"/>
          <w:lang w:val="en-US" w:eastAsia="zh-CN"/>
        </w:rPr>
        <w:t>校</w:t>
      </w:r>
      <w:r>
        <w:rPr>
          <w:rFonts w:ascii="仿宋_GB2312" w:hAnsi="仿宋_GB2312" w:eastAsia="仿宋_GB2312"/>
          <w:b w:val="0"/>
          <w:sz w:val="32"/>
        </w:rPr>
        <w:t>2024年度预算绩效管理形成整体支出绩效自评表1个，全年预算总额1,770.10万元，实际执行总额1,770.10万元；预算绩效评价项目6个，全年预算数304.30万元，全年执行数287.17万元。预算绩效管理取得的成效：一是不断完善各项预算管理制度，根据新形势和新要求，结合不断出台的各项制度，制定相应的预算管理制度。强化预算管理，事前必编预算，控制经费使用，使用必问绩效，将绩效管理贯穿于预算编制、执行及决算等环节；二是加强宣传，加强对各项制度的执行力度，杜绝有令不行、有禁不止的情况发生。发现的问题及原因：一是部分业务人员绩效管理意识有待增强，未能全面深入认识理解绩效管理工作的意义。绩效管理经验不足，预算绩效管理工作有待进一步落实。二是绩效指标的明确性、可衡量性、相关性还需进一步提升。下一步改进措施：一是加大绩效工作宣传力度，强化绩效理念。二是完善绩效指标，提高整体绩效目标质量。提升预算精细化管理水平。三是继续完善预算绩效管理相关工作制度，建立全过程预算绩效管理链条，有效贯彻落实全面实施绩效管理的精神。具体附整体支出绩效自评表，项目支出绩效自评表和评价报告。</w:t>
      </w:r>
    </w:p>
    <w:p w14:paraId="4D7E918B">
      <w:pPr>
        <w:keepNext w:val="0"/>
        <w:keepLines w:val="0"/>
        <w:pageBreakBefore w:val="0"/>
        <w:widowControl w:val="0"/>
        <w:kinsoku/>
        <w:wordWrap/>
        <w:overflowPunct/>
        <w:topLinePunct w:val="0"/>
        <w:autoSpaceDE/>
        <w:autoSpaceDN/>
        <w:bidi w:val="0"/>
        <w:adjustRightInd/>
        <w:snapToGrid/>
        <w:spacing w:line="560" w:lineRule="exact"/>
        <w:textAlignment w:val="auto"/>
      </w:pPr>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CE1B267">
        <w:tblPrEx>
          <w:tblCellMar>
            <w:top w:w="0" w:type="dxa"/>
            <w:left w:w="108" w:type="dxa"/>
            <w:bottom w:w="0" w:type="dxa"/>
            <w:right w:w="108" w:type="dxa"/>
          </w:tblCellMar>
        </w:tblPrEx>
        <w:tc>
          <w:tcPr>
            <w:tcW w:w="8847" w:type="dxa"/>
            <w:gridSpan w:val="9"/>
            <w:vAlign w:val="center"/>
          </w:tcPr>
          <w:p w14:paraId="6C36109E">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hint="eastAsia" w:ascii="黑体" w:hAnsi="黑体" w:eastAsia="黑体" w:cs="黑体"/>
                <w:sz w:val="32"/>
                <w:szCs w:val="32"/>
              </w:rPr>
              <w:t>单位整体支出绩效自评表</w:t>
            </w:r>
          </w:p>
        </w:tc>
      </w:tr>
      <w:tr w14:paraId="7D51F155">
        <w:tblPrEx>
          <w:tblCellMar>
            <w:top w:w="0" w:type="dxa"/>
            <w:left w:w="108" w:type="dxa"/>
            <w:bottom w:w="0" w:type="dxa"/>
            <w:right w:w="108" w:type="dxa"/>
          </w:tblCellMar>
        </w:tblPrEx>
        <w:tc>
          <w:tcPr>
            <w:tcW w:w="8847" w:type="dxa"/>
            <w:gridSpan w:val="9"/>
            <w:vAlign w:val="center"/>
          </w:tcPr>
          <w:p w14:paraId="711E4FD1">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24"/>
              </w:rPr>
              <w:t>（2024年度）</w:t>
            </w:r>
          </w:p>
        </w:tc>
      </w:tr>
      <w:tr w14:paraId="79F89480">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20FB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E3A022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和田地区特殊教育学校</w:t>
            </w:r>
          </w:p>
        </w:tc>
      </w:tr>
      <w:tr w14:paraId="12A8B8F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6364D6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E89F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6147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8ED7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0093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FC2C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C455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773B3A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得分</w:t>
            </w:r>
          </w:p>
        </w:tc>
      </w:tr>
      <w:tr w14:paraId="50AB165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554758">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AAC3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4512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1,810.82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EAA7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1,770.10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DFEAB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1,770.10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49C9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4CA1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FCE02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r>
      <w:tr w14:paraId="12D6E5D8">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0D7F8B">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97CE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F0D93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285.27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93CA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287.18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C46A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287.18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A676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2469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6B9E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r>
      <w:tr w14:paraId="00B11517">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215658">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8CF2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09B8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1,440.70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750B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1,482.92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2EBF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1,482.92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8B526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1F30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E128B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r>
      <w:tr w14:paraId="5D9CA35A">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435FF2">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5B0A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E23D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84.85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C348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E3DA4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BAC4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CABD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3D10F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r>
      <w:tr w14:paraId="1B1A7E62">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D2387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CA4EF0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18BF3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实际完成目标</w:t>
            </w:r>
          </w:p>
        </w:tc>
      </w:tr>
      <w:tr w14:paraId="45568F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1621DE">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DA02E6F">
            <w:pPr>
              <w:keepNext w:val="0"/>
              <w:keepLines w:val="0"/>
              <w:pageBreakBefore w:val="0"/>
              <w:widowControl w:val="0"/>
              <w:kinsoku/>
              <w:wordWrap/>
              <w:overflowPunct/>
              <w:topLinePunct w:val="0"/>
              <w:autoSpaceDE/>
              <w:autoSpaceDN/>
              <w:bidi w:val="0"/>
              <w:adjustRightInd/>
              <w:snapToGrid/>
              <w:spacing w:line="200" w:lineRule="exact"/>
              <w:ind w:firstLine="320" w:firstLineChars="200"/>
              <w:jc w:val="both"/>
              <w:textAlignment w:val="auto"/>
            </w:pPr>
            <w:r>
              <w:rPr>
                <w:rFonts w:ascii="宋体" w:hAnsi="宋体" w:eastAsia="宋体"/>
                <w:sz w:val="16"/>
              </w:rPr>
              <w:t>目标1：确保73名（在编教职工71人，退休2人）</w:t>
            </w:r>
            <w:r>
              <w:rPr>
                <w:rFonts w:hint="eastAsia" w:ascii="宋体" w:hAnsi="宋体"/>
                <w:sz w:val="16"/>
                <w:lang w:val="en-US" w:eastAsia="zh-CN"/>
              </w:rPr>
              <w:t>教职工</w:t>
            </w:r>
            <w:r>
              <w:rPr>
                <w:rFonts w:ascii="宋体" w:hAnsi="宋体" w:eastAsia="宋体"/>
                <w:sz w:val="16"/>
              </w:rPr>
              <w:t>工资发放、五险一金及时缴纳。</w:t>
            </w:r>
            <w:r>
              <w:rPr>
                <w:rFonts w:ascii="宋体" w:hAnsi="宋体" w:eastAsia="宋体"/>
                <w:sz w:val="16"/>
              </w:rPr>
              <w:br w:type="textWrapping"/>
            </w:r>
            <w:r>
              <w:rPr>
                <w:rFonts w:hint="eastAsia" w:ascii="宋体" w:hAnsi="宋体"/>
                <w:sz w:val="16"/>
                <w:lang w:val="en-US" w:eastAsia="zh-CN"/>
              </w:rPr>
              <w:t xml:space="preserve">    </w:t>
            </w:r>
            <w:r>
              <w:rPr>
                <w:rFonts w:ascii="宋体" w:hAnsi="宋体" w:eastAsia="宋体"/>
                <w:sz w:val="16"/>
              </w:rPr>
              <w:t>目标2：改善学校的基本办学条件、基本满足教学和工作需要，深化教研教改，狠抓教学常规，打造高效课堂，进一步加强校园文化建设，构建“花园式”校园。</w:t>
            </w:r>
            <w:r>
              <w:rPr>
                <w:rFonts w:ascii="宋体" w:hAnsi="宋体" w:eastAsia="宋体"/>
                <w:sz w:val="16"/>
              </w:rPr>
              <w:br w:type="textWrapping"/>
            </w:r>
            <w:r>
              <w:rPr>
                <w:rFonts w:hint="eastAsia" w:ascii="宋体" w:hAnsi="宋体"/>
                <w:sz w:val="16"/>
                <w:lang w:val="en-US" w:eastAsia="zh-CN"/>
              </w:rPr>
              <w:t xml:space="preserve">    </w:t>
            </w:r>
            <w:r>
              <w:rPr>
                <w:rFonts w:ascii="宋体" w:hAnsi="宋体" w:eastAsia="宋体"/>
                <w:sz w:val="16"/>
              </w:rPr>
              <w:t>目标3：统筹安排，规范管理，严格控制各项财政支出。为确保各项工作的正常开展</w:t>
            </w:r>
            <w:r>
              <w:rPr>
                <w:rFonts w:hint="eastAsia" w:ascii="宋体" w:hAnsi="宋体"/>
                <w:sz w:val="16"/>
                <w:lang w:eastAsia="zh-CN"/>
              </w:rPr>
              <w:t>、</w:t>
            </w:r>
            <w:r>
              <w:rPr>
                <w:rFonts w:ascii="宋体" w:hAnsi="宋体" w:eastAsia="宋体"/>
                <w:sz w:val="16"/>
              </w:rPr>
              <w:t>保证学校</w:t>
            </w:r>
            <w:r>
              <w:rPr>
                <w:rFonts w:hint="eastAsia" w:ascii="宋体" w:hAnsi="宋体"/>
                <w:sz w:val="16"/>
                <w:lang w:val="en-US" w:eastAsia="zh-CN"/>
              </w:rPr>
              <w:t>各项工作</w:t>
            </w:r>
            <w:r>
              <w:rPr>
                <w:rFonts w:ascii="宋体" w:hAnsi="宋体" w:eastAsia="宋体"/>
                <w:sz w:val="16"/>
              </w:rPr>
              <w:t>正常运转，把有限资金用在刀刃上。</w:t>
            </w:r>
            <w:r>
              <w:rPr>
                <w:rFonts w:ascii="宋体" w:hAnsi="宋体" w:eastAsia="宋体"/>
                <w:sz w:val="16"/>
              </w:rPr>
              <w:br w:type="textWrapping"/>
            </w:r>
            <w:r>
              <w:rPr>
                <w:rFonts w:hint="eastAsia" w:ascii="宋体" w:hAnsi="宋体"/>
                <w:sz w:val="16"/>
                <w:lang w:val="en-US" w:eastAsia="zh-CN"/>
              </w:rPr>
              <w:t xml:space="preserve">    </w:t>
            </w:r>
            <w:r>
              <w:rPr>
                <w:rFonts w:ascii="宋体" w:hAnsi="宋体" w:eastAsia="宋体"/>
                <w:sz w:val="16"/>
              </w:rPr>
              <w:t>目标4：严肃财经纪律，落实好资助政策，保证资金安全及时下达，保障专款专用，切实起到助学帮困的作用；采取各种措施加大宣传力度，落实特殊儿童资助政策和各类社会资助公开透明政策；做好建档立卡和家庭经济特别困难学生的摸底工作，建立数据库，进行精准</w:t>
            </w:r>
            <w:r>
              <w:rPr>
                <w:rFonts w:hint="eastAsia" w:ascii="宋体" w:hAnsi="宋体"/>
                <w:sz w:val="16"/>
                <w:lang w:eastAsia="zh-CN"/>
              </w:rPr>
              <w:t>帮扶</w:t>
            </w:r>
            <w:r>
              <w:rPr>
                <w:rFonts w:ascii="宋体" w:hAnsi="宋体" w:eastAsia="宋体"/>
                <w:sz w:val="16"/>
              </w:rPr>
              <w:t>。</w:t>
            </w:r>
            <w:r>
              <w:rPr>
                <w:rFonts w:ascii="宋体" w:hAnsi="宋体" w:eastAsia="宋体"/>
                <w:sz w:val="16"/>
              </w:rPr>
              <w:br w:type="textWrapping"/>
            </w:r>
            <w:r>
              <w:rPr>
                <w:rFonts w:hint="eastAsia" w:ascii="宋体" w:hAnsi="宋体"/>
                <w:sz w:val="16"/>
                <w:lang w:val="en-US" w:eastAsia="zh-CN"/>
              </w:rPr>
              <w:t xml:space="preserve">    </w:t>
            </w:r>
            <w:r>
              <w:rPr>
                <w:rFonts w:ascii="宋体" w:hAnsi="宋体" w:eastAsia="宋体"/>
                <w:sz w:val="16"/>
              </w:rPr>
              <w:t>目标5：我校在校园建设、教育教学、精神文明建设、民族团结等方面会更加努力，坚持康复与教育并重，重视培养学生的生存和发展能力，逐步提高我校的学风和校风建设，促进学生德、智、体、美、劳全面的发展，积极推进学校校风和学风的建设。我校坚持“有爱无碍、和谐发展”的办学理念，坚持康复与教育并重，重视培养学生的生存和发展能力，立志把残障青少年培养成为自尊、自信、自强、自立的一代新人。本年度资助补助学生人数共242名，分听障、培智方向；享受师生服务保障人数共316名。</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F31978F">
            <w:pPr>
              <w:keepNext w:val="0"/>
              <w:keepLines w:val="0"/>
              <w:pageBreakBefore w:val="0"/>
              <w:widowControl w:val="0"/>
              <w:kinsoku/>
              <w:wordWrap/>
              <w:overflowPunct/>
              <w:topLinePunct w:val="0"/>
              <w:autoSpaceDE/>
              <w:autoSpaceDN/>
              <w:bidi w:val="0"/>
              <w:adjustRightInd/>
              <w:snapToGrid/>
              <w:spacing w:line="200" w:lineRule="exact"/>
              <w:ind w:firstLine="320" w:firstLineChars="200"/>
              <w:jc w:val="both"/>
              <w:textAlignment w:val="auto"/>
            </w:pPr>
            <w:r>
              <w:rPr>
                <w:rFonts w:hint="eastAsia" w:ascii="宋体" w:hAnsi="宋体"/>
                <w:sz w:val="16"/>
                <w:lang w:eastAsia="zh-CN"/>
              </w:rPr>
              <w:t>截至</w:t>
            </w:r>
            <w:r>
              <w:rPr>
                <w:rFonts w:ascii="宋体" w:hAnsi="宋体" w:eastAsia="宋体"/>
                <w:sz w:val="16"/>
              </w:rPr>
              <w:t>2024年12月31日，本</w:t>
            </w:r>
            <w:r>
              <w:rPr>
                <w:rFonts w:hint="eastAsia" w:ascii="宋体" w:hAnsi="宋体"/>
                <w:sz w:val="16"/>
                <w:lang w:val="en-US" w:eastAsia="zh-CN"/>
              </w:rPr>
              <w:t>校</w:t>
            </w:r>
            <w:r>
              <w:rPr>
                <w:rFonts w:ascii="宋体" w:hAnsi="宋体" w:eastAsia="宋体"/>
                <w:sz w:val="16"/>
              </w:rPr>
              <w:t>实际完成73名（在编教职工71人，退休2人）</w:t>
            </w:r>
            <w:r>
              <w:rPr>
                <w:rFonts w:hint="eastAsia" w:ascii="宋体" w:hAnsi="宋体"/>
                <w:sz w:val="16"/>
                <w:lang w:val="en-US" w:eastAsia="zh-CN"/>
              </w:rPr>
              <w:t>教职工</w:t>
            </w:r>
            <w:r>
              <w:rPr>
                <w:rFonts w:ascii="宋体" w:hAnsi="宋体" w:eastAsia="宋体"/>
                <w:sz w:val="16"/>
              </w:rPr>
              <w:t>工资发放、五险一金及时缴纳。本年度资助补助学生人数共244名，分听障、培智方向；享受师生服务保障人数共317名的任务，实际形成支出1,770.09万元，通过以上工作，促进了学生德、智、体、美、劳全面的发展，积极推进学校校风和学风建设效益。</w:t>
            </w:r>
          </w:p>
        </w:tc>
      </w:tr>
      <w:tr w14:paraId="74D9ECC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4AEB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DD77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417C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BD50E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0A7A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E815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3FCC6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2F73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4C7A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得分</w:t>
            </w:r>
          </w:p>
        </w:tc>
      </w:tr>
      <w:tr w14:paraId="570C09B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8A84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E0692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17E4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hint="eastAsia" w:ascii="宋体" w:hAnsi="宋体"/>
                <w:sz w:val="16"/>
                <w:lang w:eastAsia="zh-CN"/>
              </w:rPr>
              <w:t>“三公”经费</w:t>
            </w:r>
            <w:r>
              <w:rPr>
                <w:rFonts w:ascii="宋体" w:hAnsi="宋体" w:eastAsia="宋体"/>
                <w:sz w:val="16"/>
              </w:rPr>
              <w:t>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BECD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063A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《关于加强‘三公’经费管理严控一般性支出的通知》财预（2022）126号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B162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74FA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C19A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9042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r>
      <w:tr w14:paraId="7A4535C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428A4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管理效率</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6FDA9C">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5ADD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C7BD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935B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8DEA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E392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BE16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1605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r>
      <w:tr w14:paraId="18A4884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347F1E">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355821">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AF85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管理制度健全性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2032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106B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批准的各类规划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CC2A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991C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5C56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E686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r>
      <w:tr w14:paraId="454F5D2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D7DBC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1D500B">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9B0A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补助学生人数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7DBF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≥242人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E161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学生人数统计表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1B3F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1BCD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244人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3C56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699E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r>
      <w:tr w14:paraId="3DA4D4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C27D0D">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AB8B2A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3673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班主任津贴补助次数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B5F9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9449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2024年班主任花名册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5473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E187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9073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E93C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r>
      <w:tr w14:paraId="306B65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A790D8">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EC387A">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9C42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享受补助对象覆盖率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71A4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3895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6B200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DDEB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CC08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CDED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r>
      <w:tr w14:paraId="025D5F4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1263E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社会效益</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D4632C">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0EDF9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改善办学条件，满足教育教学基本要求</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2273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3833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0DBE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636C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4A9F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C282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r>
      <w:tr w14:paraId="11A3808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667232">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B5CA15">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9822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完善师生服务保障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DE40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CF22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2024年度工作计划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A2B4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2883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DBC5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2F09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r>
      <w:tr w14:paraId="5F4D4F7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B3AB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CFC9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D311F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师生、家长满意度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6D3A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AFD8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师生、家长满意度测评表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3363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6E44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A9590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6330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r>
    </w:tbl>
    <w:p w14:paraId="426FBCEB">
      <w:pPr>
        <w:keepNext w:val="0"/>
        <w:keepLines w:val="0"/>
        <w:pageBreakBefore w:val="0"/>
        <w:widowControl w:val="0"/>
        <w:kinsoku/>
        <w:wordWrap/>
        <w:overflowPunct/>
        <w:topLinePunct w:val="0"/>
        <w:autoSpaceDE/>
        <w:autoSpaceDN/>
        <w:bidi w:val="0"/>
        <w:adjustRightInd/>
        <w:snapToGrid/>
        <w:spacing w:line="200" w:lineRule="exact"/>
        <w:textAlignment w:val="auto"/>
      </w:pPr>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05DE985">
        <w:tblPrEx>
          <w:tblCellMar>
            <w:top w:w="0" w:type="dxa"/>
            <w:left w:w="108" w:type="dxa"/>
            <w:bottom w:w="0" w:type="dxa"/>
            <w:right w:w="108" w:type="dxa"/>
          </w:tblCellMar>
        </w:tblPrEx>
        <w:tc>
          <w:tcPr>
            <w:tcW w:w="8847" w:type="dxa"/>
            <w:gridSpan w:val="9"/>
            <w:vAlign w:val="center"/>
          </w:tcPr>
          <w:p w14:paraId="1EA35DD7">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hint="eastAsia" w:ascii="黑体" w:hAnsi="黑体" w:eastAsia="黑体" w:cs="黑体"/>
                <w:sz w:val="32"/>
                <w:szCs w:val="32"/>
              </w:rPr>
              <w:t>项目支出绩效自评表</w:t>
            </w:r>
          </w:p>
        </w:tc>
      </w:tr>
      <w:tr w14:paraId="1DEAB369">
        <w:tblPrEx>
          <w:tblCellMar>
            <w:top w:w="0" w:type="dxa"/>
            <w:left w:w="108" w:type="dxa"/>
            <w:bottom w:w="0" w:type="dxa"/>
            <w:right w:w="108" w:type="dxa"/>
          </w:tblCellMar>
        </w:tblPrEx>
        <w:tc>
          <w:tcPr>
            <w:tcW w:w="8847" w:type="dxa"/>
            <w:gridSpan w:val="9"/>
            <w:vAlign w:val="center"/>
          </w:tcPr>
          <w:p w14:paraId="59950616">
            <w:pPr>
              <w:keepNext w:val="0"/>
              <w:keepLines w:val="0"/>
              <w:pageBreakBefore w:val="0"/>
              <w:widowControl w:val="0"/>
              <w:kinsoku/>
              <w:wordWrap/>
              <w:overflowPunct/>
              <w:topLinePunct w:val="0"/>
              <w:autoSpaceDE/>
              <w:autoSpaceDN/>
              <w:bidi w:val="0"/>
              <w:adjustRightInd/>
              <w:snapToGrid/>
              <w:spacing w:line="560" w:lineRule="exact"/>
              <w:jc w:val="center"/>
              <w:textAlignment w:val="auto"/>
            </w:pPr>
            <w:r>
              <w:rPr>
                <w:rFonts w:ascii="宋体" w:hAnsi="宋体" w:eastAsia="宋体"/>
                <w:sz w:val="24"/>
              </w:rPr>
              <w:t>(2024年度)</w:t>
            </w:r>
          </w:p>
        </w:tc>
      </w:tr>
      <w:tr w14:paraId="1FF5B68D">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2E65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9DB76A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2024年中央城乡义务教育补助经费（第一批）项目</w:t>
            </w:r>
          </w:p>
        </w:tc>
      </w:tr>
      <w:tr w14:paraId="5B08F4C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41A9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FE32C2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和田地区特殊教育学校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EEAC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22CA12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和田地区特殊教育学校</w:t>
            </w:r>
          </w:p>
        </w:tc>
      </w:tr>
      <w:tr w14:paraId="79325A5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3944F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94811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5E07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EC1A8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2C80C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3C3E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36B6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C20E9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得分</w:t>
            </w:r>
          </w:p>
        </w:tc>
      </w:tr>
      <w:tr w14:paraId="5C2F50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EEBA07">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41C23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E2D2F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128.49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5B7F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128.49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B483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123.21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4AF1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04F1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 xml:space="preserve">95.89%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483D2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8.97分</w:t>
            </w:r>
          </w:p>
        </w:tc>
      </w:tr>
      <w:tr w14:paraId="6703FCBF">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9C5E0F">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09A46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39DE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128.49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2706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128.49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22E8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123.21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14FF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5EFF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F6E6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r>
      <w:tr w14:paraId="5ABE63EF">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AC3BE6">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C24B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80138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ED09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FF80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B0139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A350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1CB5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r>
      <w:tr w14:paraId="432B47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F29422">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F8ADC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0590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4B2E4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FD969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F232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EA0D9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13F4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r>
      <w:tr w14:paraId="59CBCAF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88CD5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63B027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A9811D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实际完成情况</w:t>
            </w:r>
          </w:p>
        </w:tc>
      </w:tr>
      <w:tr w14:paraId="49E26C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E6AB9B">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5F5E29B">
            <w:pPr>
              <w:keepNext w:val="0"/>
              <w:keepLines w:val="0"/>
              <w:pageBreakBefore w:val="0"/>
              <w:widowControl w:val="0"/>
              <w:kinsoku/>
              <w:wordWrap/>
              <w:overflowPunct/>
              <w:topLinePunct w:val="0"/>
              <w:autoSpaceDE/>
              <w:autoSpaceDN/>
              <w:bidi w:val="0"/>
              <w:adjustRightInd/>
              <w:snapToGrid/>
              <w:spacing w:line="200" w:lineRule="exact"/>
              <w:ind w:firstLine="320" w:firstLineChars="200"/>
              <w:jc w:val="both"/>
              <w:textAlignment w:val="auto"/>
            </w:pPr>
            <w:r>
              <w:rPr>
                <w:rFonts w:ascii="宋体" w:hAnsi="宋体" w:eastAsia="宋体"/>
                <w:sz w:val="16"/>
              </w:rPr>
              <w:t>目标1：此资金用于学校教育教学正常运转，属公用经费，计划享受学生人数242人，预计资金于2024年12月底前支付完成。目标2：落实好资金使用政策，保障学校各项工作正常运转。目标3：加大宣传力度，提高资助知晓率，提升教育吸引力。目标4、</w:t>
            </w:r>
            <w:r>
              <w:rPr>
                <w:rFonts w:hint="eastAsia" w:ascii="宋体" w:hAnsi="宋体"/>
                <w:sz w:val="16"/>
                <w:lang w:val="en-US" w:eastAsia="zh-CN"/>
              </w:rPr>
              <w:t>提升</w:t>
            </w:r>
            <w:r>
              <w:rPr>
                <w:rFonts w:ascii="宋体" w:hAnsi="宋体" w:eastAsia="宋体"/>
                <w:sz w:val="16"/>
              </w:rPr>
              <w:t>教育公平，改善学校办学条件。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288415">
            <w:pPr>
              <w:keepNext w:val="0"/>
              <w:keepLines w:val="0"/>
              <w:pageBreakBefore w:val="0"/>
              <w:widowControl w:val="0"/>
              <w:kinsoku/>
              <w:wordWrap/>
              <w:overflowPunct/>
              <w:topLinePunct w:val="0"/>
              <w:autoSpaceDE/>
              <w:autoSpaceDN/>
              <w:bidi w:val="0"/>
              <w:adjustRightInd/>
              <w:snapToGrid/>
              <w:spacing w:line="200" w:lineRule="exact"/>
              <w:ind w:firstLine="320" w:firstLineChars="200"/>
              <w:jc w:val="both"/>
              <w:textAlignment w:val="auto"/>
            </w:pPr>
            <w:r>
              <w:rPr>
                <w:rFonts w:hint="eastAsia" w:ascii="宋体" w:hAnsi="宋体"/>
                <w:sz w:val="16"/>
                <w:lang w:eastAsia="zh-CN"/>
              </w:rPr>
              <w:t>截至</w:t>
            </w:r>
            <w:r>
              <w:rPr>
                <w:rFonts w:ascii="宋体" w:hAnsi="宋体" w:eastAsia="宋体"/>
                <w:sz w:val="16"/>
              </w:rPr>
              <w:t>2024年12月31日，本项目实际形成支出123.21万元，已享受学生人数244人，达到了有效落实资金使用政策，保障学校各项工作正常运转的效益，受助学生家长满意度达到100%，受益教师满意度达到100%。</w:t>
            </w:r>
          </w:p>
        </w:tc>
      </w:tr>
      <w:tr w14:paraId="6387DC3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F682033">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F0DD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D151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E534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EF6DF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3BE0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6B2A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FA65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B2C3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偏差原因分析及改进措施</w:t>
            </w:r>
          </w:p>
        </w:tc>
      </w:tr>
      <w:tr w14:paraId="10D7B84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EEB79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BF6B1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A7C9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42FD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保障公用经费学生人数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95CE8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≥242人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0CD3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=244人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4C528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FD9A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9.92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6D7B9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53EDE675">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8CC78F">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36B152">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BDD2F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AF43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补助学生覆盖率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F2AA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5A40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E4B3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C164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2ACC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6E0EB03A">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84FC8A">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239D90">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689C0E">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4FB9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公用经费享受覆盖率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243D9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8BB94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BA66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79BF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B92E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484436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3F1C44">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9CA46B">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C33A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F625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资金支付及时性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C88A4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2026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470C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48B5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B0F35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59E90D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640FEA">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2A512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D13A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A0F4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5853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≤128.49万元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FB1B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=123.21万元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A8C1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53C7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17.95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E614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偏差原因：根据项目实际需求进行资金支付，形成结余，改进措施：提高绩效目标编制能力。</w:t>
            </w:r>
          </w:p>
        </w:tc>
      </w:tr>
      <w:tr w14:paraId="5F363905">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AB1FAD">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624C1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D62398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B882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教育服务水平提升情况</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0AC1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16D63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17D1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DCB5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0447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1F1739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6CA497">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7EBB75">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A792F3">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0B35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补助人员生活改善情况</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C46E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EF96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8152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3BCA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C8AE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5DD7C3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3808F1">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10F53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满意度指标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AB900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1670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受助学生家长满意度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21E7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0E0D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0FD9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9299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EF77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125F44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8E0FE6">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38D0B6">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19F0A5">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E3AF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受益教师满意度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AAED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F84D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D9DC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C77F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EC46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3B4CA293">
        <w:tblPrEx>
          <w:tblCellMar>
            <w:top w:w="0" w:type="dxa"/>
            <w:left w:w="108" w:type="dxa"/>
            <w:bottom w:w="0" w:type="dxa"/>
            <w:right w:w="108" w:type="dxa"/>
          </w:tblCellMar>
        </w:tblPrEx>
        <w:trPr>
          <w:trHeight w:val="360" w:hRule="atLeast"/>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3E32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63BEF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A2FC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7A330B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96.84分</w:t>
            </w:r>
          </w:p>
        </w:tc>
      </w:tr>
    </w:tbl>
    <w:p w14:paraId="33C7E86D">
      <w:pPr>
        <w:keepNext w:val="0"/>
        <w:keepLines w:val="0"/>
        <w:pageBreakBefore w:val="0"/>
        <w:widowControl w:val="0"/>
        <w:kinsoku/>
        <w:wordWrap/>
        <w:overflowPunct/>
        <w:topLinePunct w:val="0"/>
        <w:autoSpaceDE/>
        <w:autoSpaceDN/>
        <w:bidi w:val="0"/>
        <w:adjustRightInd/>
        <w:snapToGrid/>
        <w:spacing w:line="200" w:lineRule="exact"/>
        <w:textAlignment w:val="auto"/>
      </w:pPr>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7074048">
        <w:tblPrEx>
          <w:tblCellMar>
            <w:top w:w="0" w:type="dxa"/>
            <w:left w:w="108" w:type="dxa"/>
            <w:bottom w:w="0" w:type="dxa"/>
            <w:right w:w="108" w:type="dxa"/>
          </w:tblCellMar>
        </w:tblPrEx>
        <w:tc>
          <w:tcPr>
            <w:tcW w:w="8847" w:type="dxa"/>
            <w:gridSpan w:val="9"/>
            <w:vAlign w:val="center"/>
          </w:tcPr>
          <w:p w14:paraId="579EF44F">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宋体" w:hAnsi="宋体" w:eastAsia="宋体"/>
                <w:sz w:val="24"/>
              </w:rPr>
            </w:pPr>
            <w:r>
              <w:rPr>
                <w:rFonts w:hint="eastAsia" w:ascii="黑体" w:hAnsi="黑体" w:eastAsia="黑体" w:cs="黑体"/>
                <w:sz w:val="32"/>
                <w:szCs w:val="32"/>
              </w:rPr>
              <w:t>项目支出绩效自评表</w:t>
            </w:r>
          </w:p>
        </w:tc>
      </w:tr>
      <w:tr w14:paraId="60FE3317">
        <w:tblPrEx>
          <w:tblCellMar>
            <w:top w:w="0" w:type="dxa"/>
            <w:left w:w="108" w:type="dxa"/>
            <w:bottom w:w="0" w:type="dxa"/>
            <w:right w:w="108" w:type="dxa"/>
          </w:tblCellMar>
        </w:tblPrEx>
        <w:tc>
          <w:tcPr>
            <w:tcW w:w="8847" w:type="dxa"/>
            <w:gridSpan w:val="9"/>
            <w:vAlign w:val="center"/>
          </w:tcPr>
          <w:p w14:paraId="02485A6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ascii="宋体" w:hAnsi="宋体" w:eastAsia="宋体"/>
                <w:sz w:val="24"/>
              </w:rPr>
            </w:pPr>
            <w:r>
              <w:rPr>
                <w:rFonts w:ascii="宋体" w:hAnsi="宋体" w:eastAsia="宋体"/>
                <w:sz w:val="24"/>
              </w:rPr>
              <w:t>(2024年度)</w:t>
            </w:r>
          </w:p>
        </w:tc>
      </w:tr>
      <w:tr w14:paraId="73A675B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1C0B2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20D1D1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2024年中央财政支持特殊教育补助资金项目</w:t>
            </w:r>
          </w:p>
        </w:tc>
      </w:tr>
      <w:tr w14:paraId="6780CF3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E5EE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15101B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和田地区特殊教育学校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1361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EBAE48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和田地区特殊教育学校</w:t>
            </w:r>
          </w:p>
        </w:tc>
      </w:tr>
      <w:tr w14:paraId="25F5E55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CD52B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31E9D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3B5E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4BB9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C389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26E2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517D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2F2C5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得分</w:t>
            </w:r>
          </w:p>
        </w:tc>
      </w:tr>
      <w:tr w14:paraId="272BDA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24808E">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5F835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E0F99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D138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23879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47.96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CD5A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FEA2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 xml:space="preserve">95.92%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ACE3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8.98分</w:t>
            </w:r>
          </w:p>
        </w:tc>
      </w:tr>
      <w:tr w14:paraId="22D706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5E819E">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52FB3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180FD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2F0E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88C8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47.96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EBB6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95B4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659F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r>
      <w:tr w14:paraId="1D7C74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0AC50F">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099CA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B54D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A287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E015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0A69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D54D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30E2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r>
      <w:tr w14:paraId="135807C8">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F04ADF">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14E3C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C250E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1BE8A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1C6DD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CFA6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4EC5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1446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r>
      <w:tr w14:paraId="043CC3E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3A2FE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5CFD82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E3E1AA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实际完成情况</w:t>
            </w:r>
          </w:p>
        </w:tc>
      </w:tr>
      <w:tr w14:paraId="61B40BC6">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4A1F50">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4BB4D31">
            <w:pPr>
              <w:keepNext w:val="0"/>
              <w:keepLines w:val="0"/>
              <w:pageBreakBefore w:val="0"/>
              <w:widowControl w:val="0"/>
              <w:kinsoku/>
              <w:wordWrap/>
              <w:overflowPunct/>
              <w:topLinePunct w:val="0"/>
              <w:autoSpaceDE/>
              <w:autoSpaceDN/>
              <w:bidi w:val="0"/>
              <w:adjustRightInd/>
              <w:snapToGrid/>
              <w:spacing w:line="200" w:lineRule="exact"/>
              <w:ind w:firstLine="320" w:firstLineChars="200"/>
              <w:jc w:val="both"/>
              <w:textAlignment w:val="auto"/>
            </w:pPr>
            <w:r>
              <w:rPr>
                <w:rFonts w:hint="eastAsia" w:ascii="宋体" w:hAnsi="宋体"/>
                <w:sz w:val="16"/>
                <w:lang w:val="en-US" w:eastAsia="zh-CN"/>
              </w:rPr>
              <w:t>使</w:t>
            </w:r>
            <w:r>
              <w:rPr>
                <w:rFonts w:ascii="宋体" w:hAnsi="宋体" w:eastAsia="宋体"/>
                <w:sz w:val="16"/>
              </w:rPr>
              <w:t>适龄残疾儿童少年义务教育入学水平进一步提高，特殊教育办学条件进一步改善，特殊教育资源进一步扩大。有效利用特殊教育学校配备仪器设备补助资金50万元，改善本校242名学生成长环境的同时，帮助全地区资源</w:t>
            </w:r>
            <w:r>
              <w:rPr>
                <w:rFonts w:hint="eastAsia" w:ascii="宋体" w:hAnsi="宋体"/>
                <w:sz w:val="16"/>
                <w:lang w:eastAsia="zh-CN"/>
              </w:rPr>
              <w:t>教师</w:t>
            </w:r>
            <w:r>
              <w:rPr>
                <w:rFonts w:ascii="宋体" w:hAnsi="宋体" w:eastAsia="宋体"/>
                <w:sz w:val="16"/>
              </w:rPr>
              <w:t>提高业务水平。</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14735A">
            <w:pPr>
              <w:keepNext w:val="0"/>
              <w:keepLines w:val="0"/>
              <w:pageBreakBefore w:val="0"/>
              <w:widowControl w:val="0"/>
              <w:kinsoku/>
              <w:wordWrap/>
              <w:overflowPunct/>
              <w:topLinePunct w:val="0"/>
              <w:autoSpaceDE/>
              <w:autoSpaceDN/>
              <w:bidi w:val="0"/>
              <w:adjustRightInd/>
              <w:snapToGrid/>
              <w:spacing w:line="200" w:lineRule="exact"/>
              <w:ind w:firstLine="320" w:firstLineChars="200"/>
              <w:jc w:val="both"/>
              <w:textAlignment w:val="auto"/>
            </w:pPr>
            <w:r>
              <w:rPr>
                <w:rFonts w:hint="eastAsia" w:ascii="宋体" w:hAnsi="宋体"/>
                <w:sz w:val="16"/>
                <w:lang w:eastAsia="zh-CN"/>
              </w:rPr>
              <w:t>截至</w:t>
            </w:r>
            <w:r>
              <w:rPr>
                <w:rFonts w:ascii="宋体" w:hAnsi="宋体" w:eastAsia="宋体"/>
                <w:sz w:val="16"/>
              </w:rPr>
              <w:t>2024年12月31日，本项目实际形成支出47.96万元，已完成</w:t>
            </w:r>
            <w:r>
              <w:rPr>
                <w:rFonts w:hint="eastAsia" w:ascii="宋体" w:hAnsi="宋体"/>
                <w:sz w:val="16"/>
                <w:lang w:val="en-US" w:eastAsia="zh-CN"/>
              </w:rPr>
              <w:t>为</w:t>
            </w:r>
            <w:r>
              <w:rPr>
                <w:rFonts w:ascii="宋体" w:hAnsi="宋体" w:eastAsia="宋体"/>
                <w:sz w:val="16"/>
              </w:rPr>
              <w:t>1所特殊教育学校</w:t>
            </w:r>
            <w:r>
              <w:rPr>
                <w:rFonts w:hint="eastAsia" w:ascii="宋体" w:hAnsi="宋体"/>
                <w:sz w:val="16"/>
                <w:lang w:val="en-US" w:eastAsia="zh-CN"/>
              </w:rPr>
              <w:t>配备</w:t>
            </w:r>
            <w:r>
              <w:rPr>
                <w:rFonts w:ascii="宋体" w:hAnsi="宋体" w:eastAsia="宋体"/>
                <w:sz w:val="16"/>
              </w:rPr>
              <w:t>仪器设备配备，达到了有效利用特殊教育学校配备仪器设备补助资金，改善本校244名学生成长环境，帮助全地区资源</w:t>
            </w:r>
            <w:r>
              <w:rPr>
                <w:rFonts w:hint="eastAsia" w:ascii="宋体" w:hAnsi="宋体"/>
                <w:sz w:val="16"/>
                <w:lang w:val="en-US" w:eastAsia="zh-CN"/>
              </w:rPr>
              <w:t>教师</w:t>
            </w:r>
            <w:r>
              <w:rPr>
                <w:rFonts w:ascii="宋体" w:hAnsi="宋体" w:eastAsia="宋体"/>
                <w:sz w:val="16"/>
              </w:rPr>
              <w:t xml:space="preserve">提高业务水平的效益，残疾学生、家长满意度达到了100%。 </w:t>
            </w:r>
          </w:p>
        </w:tc>
      </w:tr>
      <w:tr w14:paraId="7E9204D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D4FF124">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3DDC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B151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E613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ACB3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B8EC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DF68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AED9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99CF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偏差原因分析及改进措施</w:t>
            </w:r>
          </w:p>
        </w:tc>
      </w:tr>
      <w:tr w14:paraId="56D8BAA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F1C34B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3F019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D79D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4D45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特殊教育学校仪器设备配备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77F9C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23F3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DA80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4AAF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93457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186609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851369">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84387C">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685CC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FEF1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特殊教育资源中心验收合格率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0D56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9F343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1BFC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388C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C29CC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0C05D3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8759B9">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A2DE63">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9E85E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ED89E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9CD3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335E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368C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C9AB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58B2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61951F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C788A1">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0E9C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1DCF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0B2E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全年补助资金总额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03E8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8CEA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=47.96万元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B7FE2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F280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17.96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4F3D5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偏差原因：根据项目实际需求进行资金支付，形成结余，改进措施：提高绩效目标编制能力。</w:t>
            </w:r>
          </w:p>
        </w:tc>
      </w:tr>
      <w:tr w14:paraId="28DFF11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544CE0">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1C537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1772F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00666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特殊教育学校办学条件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8A9D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5043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59AC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05DC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927C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422150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64E6F1">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859F3D">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ACA50B">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FCC6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教育服务水平提升情况</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7B2AD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C804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EFC2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8E5D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B4E9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063F194F">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F214EB">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CC40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4A29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F827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残疾学生、家长满意度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6335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4C2A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03F51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BB789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C4AF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3A8020F2">
        <w:tblPrEx>
          <w:tblCellMar>
            <w:top w:w="0" w:type="dxa"/>
            <w:left w:w="108" w:type="dxa"/>
            <w:bottom w:w="0" w:type="dxa"/>
            <w:right w:w="108" w:type="dxa"/>
          </w:tblCellMar>
        </w:tblPrEx>
        <w:trPr>
          <w:trHeight w:val="339" w:hRule="atLeast"/>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E48E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D54C27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B9FB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DE4BD1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96.94分</w:t>
            </w:r>
          </w:p>
        </w:tc>
      </w:tr>
    </w:tbl>
    <w:p w14:paraId="69A3AE7D">
      <w:pPr>
        <w:keepNext w:val="0"/>
        <w:keepLines w:val="0"/>
        <w:pageBreakBefore w:val="0"/>
        <w:widowControl w:val="0"/>
        <w:kinsoku/>
        <w:wordWrap/>
        <w:overflowPunct/>
        <w:topLinePunct w:val="0"/>
        <w:autoSpaceDE/>
        <w:autoSpaceDN/>
        <w:bidi w:val="0"/>
        <w:adjustRightInd/>
        <w:snapToGrid/>
        <w:spacing w:line="200" w:lineRule="exact"/>
        <w:textAlignment w:val="auto"/>
      </w:pPr>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D26A509">
        <w:tblPrEx>
          <w:tblCellMar>
            <w:top w:w="0" w:type="dxa"/>
            <w:left w:w="108" w:type="dxa"/>
            <w:bottom w:w="0" w:type="dxa"/>
            <w:right w:w="108" w:type="dxa"/>
          </w:tblCellMar>
        </w:tblPrEx>
        <w:tc>
          <w:tcPr>
            <w:tcW w:w="8847" w:type="dxa"/>
            <w:gridSpan w:val="9"/>
            <w:vAlign w:val="center"/>
          </w:tcPr>
          <w:p w14:paraId="7928C76E">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sz w:val="24"/>
              </w:rPr>
            </w:pPr>
            <w:r>
              <w:rPr>
                <w:rFonts w:hint="eastAsia" w:ascii="黑体" w:hAnsi="黑体" w:eastAsia="黑体" w:cs="黑体"/>
                <w:sz w:val="32"/>
                <w:szCs w:val="32"/>
              </w:rPr>
              <w:t>项目支出绩效自评表</w:t>
            </w:r>
          </w:p>
        </w:tc>
      </w:tr>
      <w:tr w14:paraId="66560EE2">
        <w:tblPrEx>
          <w:tblCellMar>
            <w:top w:w="0" w:type="dxa"/>
            <w:left w:w="108" w:type="dxa"/>
            <w:bottom w:w="0" w:type="dxa"/>
            <w:right w:w="108" w:type="dxa"/>
          </w:tblCellMar>
        </w:tblPrEx>
        <w:tc>
          <w:tcPr>
            <w:tcW w:w="8847" w:type="dxa"/>
            <w:gridSpan w:val="9"/>
            <w:vAlign w:val="center"/>
          </w:tcPr>
          <w:p w14:paraId="7EEAD3B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sz w:val="24"/>
              </w:rPr>
            </w:pPr>
            <w:r>
              <w:rPr>
                <w:rFonts w:hint="eastAsia" w:ascii="宋体" w:hAnsi="宋体" w:eastAsia="宋体"/>
                <w:sz w:val="24"/>
              </w:rPr>
              <w:t>(2024年度)</w:t>
            </w:r>
          </w:p>
        </w:tc>
      </w:tr>
      <w:tr w14:paraId="6DFE021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E8CA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D04798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2024年城乡义务教育补助经费（中央、自治区直达资金）预算项目</w:t>
            </w:r>
          </w:p>
        </w:tc>
      </w:tr>
      <w:tr w14:paraId="4600268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E87CE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79740D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和田地区特殊教育学校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3EF6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64850A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和田地区特殊教育学校</w:t>
            </w:r>
          </w:p>
        </w:tc>
      </w:tr>
      <w:tr w14:paraId="46ECDD7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3DE9A2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D9BA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5183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C87C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EB03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0D8F7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8A71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AFBBB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得分</w:t>
            </w:r>
          </w:p>
        </w:tc>
      </w:tr>
      <w:tr w14:paraId="562F572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645276">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AC9B4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F13D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42.70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EF585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42.70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1E86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35.79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680B7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4CF3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 xml:space="preserve">83.82%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67B8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5.95分</w:t>
            </w:r>
          </w:p>
        </w:tc>
      </w:tr>
      <w:tr w14:paraId="79CF37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115EB0">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05BF5F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E27D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42.70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4A06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42.70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6653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35.79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043D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A3E56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F5C1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r>
      <w:tr w14:paraId="01AD52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0D4A7D">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511B0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78B6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0FE2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FA32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7D7D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004C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5933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r>
      <w:tr w14:paraId="57737C35">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7FA9FA">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061D5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3C547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F1C3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3D95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F4052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387E7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5FF1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r>
      <w:tr w14:paraId="6ADD858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93BCF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A94DF7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36BA22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实际完成情况</w:t>
            </w:r>
          </w:p>
        </w:tc>
      </w:tr>
      <w:tr w14:paraId="0FCAEB54">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D81239">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933C959">
            <w:pPr>
              <w:keepNext w:val="0"/>
              <w:keepLines w:val="0"/>
              <w:pageBreakBefore w:val="0"/>
              <w:widowControl w:val="0"/>
              <w:kinsoku/>
              <w:wordWrap/>
              <w:overflowPunct/>
              <w:topLinePunct w:val="0"/>
              <w:autoSpaceDE/>
              <w:autoSpaceDN/>
              <w:bidi w:val="0"/>
              <w:adjustRightInd/>
              <w:snapToGrid/>
              <w:spacing w:line="200" w:lineRule="exact"/>
              <w:ind w:firstLine="320" w:firstLineChars="200"/>
              <w:jc w:val="both"/>
              <w:textAlignment w:val="auto"/>
            </w:pPr>
            <w:r>
              <w:rPr>
                <w:rFonts w:ascii="宋体" w:hAnsi="宋体" w:eastAsia="宋体"/>
                <w:sz w:val="16"/>
              </w:rPr>
              <w:t>落实义务教育阶段家庭经济困难学生生活费补助政策，按照国家标准对家庭经济困难学生给予生活费补助。进一步改善寄宿生营养状况，提高寄宿生健康水平，减轻家庭解决困难学生等经济负担。按照本校家庭经济困难学生生活补助经费执行标准，2024年度本校在校生人数平均244人，每生每年补助1750元，全年可执行42.7万元。我校用好补助资金，改善伙食，确保生活</w:t>
            </w:r>
            <w:r>
              <w:rPr>
                <w:rFonts w:hint="eastAsia" w:ascii="宋体" w:hAnsi="宋体"/>
                <w:sz w:val="16"/>
                <w:lang w:eastAsia="zh-CN"/>
              </w:rPr>
              <w:t>质量</w:t>
            </w:r>
            <w:r>
              <w:rPr>
                <w:rFonts w:ascii="宋体" w:hAnsi="宋体" w:eastAsia="宋体"/>
                <w:sz w:val="16"/>
              </w:rPr>
              <w:t>，激发他们的学习积极性，争取整体推进特殊教育发展。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0BAAE79">
            <w:pPr>
              <w:keepNext w:val="0"/>
              <w:keepLines w:val="0"/>
              <w:pageBreakBefore w:val="0"/>
              <w:widowControl w:val="0"/>
              <w:kinsoku/>
              <w:wordWrap/>
              <w:overflowPunct/>
              <w:topLinePunct w:val="0"/>
              <w:autoSpaceDE/>
              <w:autoSpaceDN/>
              <w:bidi w:val="0"/>
              <w:adjustRightInd/>
              <w:snapToGrid/>
              <w:spacing w:line="200" w:lineRule="exact"/>
              <w:ind w:firstLine="320" w:firstLineChars="200"/>
              <w:jc w:val="both"/>
              <w:textAlignment w:val="auto"/>
            </w:pPr>
            <w:r>
              <w:rPr>
                <w:rFonts w:hint="eastAsia" w:ascii="宋体" w:hAnsi="宋体"/>
                <w:sz w:val="16"/>
                <w:lang w:eastAsia="zh-CN"/>
              </w:rPr>
              <w:t>截至</w:t>
            </w:r>
            <w:r>
              <w:rPr>
                <w:rFonts w:ascii="宋体" w:hAnsi="宋体" w:eastAsia="宋体"/>
                <w:sz w:val="16"/>
              </w:rPr>
              <w:t>2024年12月31日，本项目实际形成支出35.79万元，已按照本校家庭经济困难学生生活补助经费执行标准</w:t>
            </w:r>
            <w:r>
              <w:rPr>
                <w:rFonts w:hint="eastAsia" w:ascii="宋体" w:hAnsi="宋体"/>
                <w:sz w:val="16"/>
                <w:lang w:val="en-US" w:eastAsia="zh-CN"/>
              </w:rPr>
              <w:t>完成预期目标任务</w:t>
            </w:r>
            <w:r>
              <w:rPr>
                <w:rFonts w:ascii="宋体" w:hAnsi="宋体" w:eastAsia="宋体"/>
                <w:sz w:val="16"/>
              </w:rPr>
              <w:t>，</w:t>
            </w:r>
            <w:r>
              <w:rPr>
                <w:rFonts w:hint="eastAsia" w:ascii="宋体" w:hAnsi="宋体"/>
                <w:sz w:val="16"/>
                <w:lang w:val="en-US" w:eastAsia="zh-CN"/>
              </w:rPr>
              <w:t>即</w:t>
            </w:r>
            <w:r>
              <w:rPr>
                <w:rFonts w:ascii="宋体" w:hAnsi="宋体" w:eastAsia="宋体"/>
                <w:sz w:val="16"/>
              </w:rPr>
              <w:t>2024年度本校在校生人数（上个学期242人，下个学期246人）平均244人，每生每年补助1750元，达到了改善伙食</w:t>
            </w:r>
            <w:r>
              <w:rPr>
                <w:rFonts w:hint="eastAsia" w:ascii="宋体" w:hAnsi="宋体"/>
                <w:sz w:val="16"/>
                <w:lang w:eastAsia="zh-CN"/>
              </w:rPr>
              <w:t>、</w:t>
            </w:r>
            <w:r>
              <w:rPr>
                <w:rFonts w:ascii="宋体" w:hAnsi="宋体" w:eastAsia="宋体"/>
                <w:sz w:val="16"/>
              </w:rPr>
              <w:t>确保生活</w:t>
            </w:r>
            <w:r>
              <w:rPr>
                <w:rFonts w:hint="eastAsia" w:ascii="宋体" w:hAnsi="宋体"/>
                <w:sz w:val="16"/>
                <w:lang w:eastAsia="zh-CN"/>
              </w:rPr>
              <w:t>质量、</w:t>
            </w:r>
            <w:r>
              <w:rPr>
                <w:rFonts w:ascii="宋体" w:hAnsi="宋体" w:eastAsia="宋体"/>
                <w:sz w:val="16"/>
              </w:rPr>
              <w:t>激发他们的学习积极性的效益，受益学生、家长满意度达到99%。</w:t>
            </w:r>
          </w:p>
        </w:tc>
      </w:tr>
      <w:tr w14:paraId="02EA92D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AD29F7F">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A8C0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0B41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6C5E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49BA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6F93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B1B5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E2AFB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6F115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偏差原因分析及改进措施</w:t>
            </w:r>
          </w:p>
        </w:tc>
      </w:tr>
      <w:tr w14:paraId="6AE9E8FE">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93C899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69E07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CB9E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D20B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受助寄宿生人数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8211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≥244人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510F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=244人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0A70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45E7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4558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09D66A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00ABF5">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0E5190">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2B87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3DB9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受助学生覆盖率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3CC3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CF98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555B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A317B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8897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0E72BECE">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484EC3">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DFC917">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08B93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B6775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8C1E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6ED1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C42D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3CFC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55C69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33D60A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0B8A6E">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0F2077">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23C695">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FAB5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F287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9711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3E1D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7F254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7C00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2FF6FB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B6FBDA">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5C1E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93F1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E9EF5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家庭经济困难学生补助经费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F560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=42.7万元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185E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=35.79万元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271C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7EE2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11.91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D349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偏差原因：根据项目实际需求进行资金支付，形成结余，改进措施：提高绩效目标编制能力。</w:t>
            </w:r>
          </w:p>
        </w:tc>
      </w:tr>
      <w:tr w14:paraId="25AF61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C99F1D">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016B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2757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E881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减轻学生家庭经济困难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EEAD8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有效减轻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82C8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2E836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5F12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0BE2C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372201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2DD542">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B6D4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8D216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2AC0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受益学生、家长满意度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9D1B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C99C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2592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5EB4B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BA5EC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7FCEF004">
        <w:tblPrEx>
          <w:tblCellMar>
            <w:top w:w="0" w:type="dxa"/>
            <w:left w:w="108" w:type="dxa"/>
            <w:bottom w:w="0" w:type="dxa"/>
            <w:right w:w="108" w:type="dxa"/>
          </w:tblCellMar>
        </w:tblPrEx>
        <w:trPr>
          <w:trHeight w:val="305" w:hRule="atLeast"/>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47ED3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1C3B27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C0F5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F8B637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87.86分</w:t>
            </w:r>
          </w:p>
        </w:tc>
      </w:tr>
    </w:tbl>
    <w:p w14:paraId="3974669E">
      <w:pPr>
        <w:keepNext w:val="0"/>
        <w:keepLines w:val="0"/>
        <w:pageBreakBefore w:val="0"/>
        <w:widowControl w:val="0"/>
        <w:kinsoku/>
        <w:wordWrap/>
        <w:overflowPunct/>
        <w:topLinePunct w:val="0"/>
        <w:autoSpaceDE/>
        <w:autoSpaceDN/>
        <w:bidi w:val="0"/>
        <w:adjustRightInd/>
        <w:snapToGrid/>
        <w:spacing w:line="200" w:lineRule="exact"/>
        <w:textAlignment w:val="auto"/>
      </w:pPr>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789"/>
        <w:gridCol w:w="1177"/>
      </w:tblGrid>
      <w:tr w14:paraId="53D3F326">
        <w:tblPrEx>
          <w:tblCellMar>
            <w:top w:w="0" w:type="dxa"/>
            <w:left w:w="108" w:type="dxa"/>
            <w:bottom w:w="0" w:type="dxa"/>
            <w:right w:w="108" w:type="dxa"/>
          </w:tblCellMar>
        </w:tblPrEx>
        <w:tc>
          <w:tcPr>
            <w:tcW w:w="8847" w:type="dxa"/>
            <w:gridSpan w:val="9"/>
            <w:vAlign w:val="center"/>
          </w:tcPr>
          <w:p w14:paraId="56915F7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项目支出绩效自评表</w:t>
            </w:r>
          </w:p>
        </w:tc>
      </w:tr>
      <w:tr w14:paraId="3B0F481A">
        <w:tblPrEx>
          <w:tblCellMar>
            <w:top w:w="0" w:type="dxa"/>
            <w:left w:w="108" w:type="dxa"/>
            <w:bottom w:w="0" w:type="dxa"/>
            <w:right w:w="108" w:type="dxa"/>
          </w:tblCellMar>
        </w:tblPrEx>
        <w:tc>
          <w:tcPr>
            <w:tcW w:w="8847" w:type="dxa"/>
            <w:gridSpan w:val="9"/>
            <w:vAlign w:val="center"/>
          </w:tcPr>
          <w:p w14:paraId="2EBA343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rPr>
            </w:pPr>
            <w:r>
              <w:rPr>
                <w:rFonts w:hint="eastAsia" w:ascii="仿宋_GB2312" w:hAnsi="仿宋_GB2312" w:eastAsia="仿宋_GB2312" w:cs="仿宋_GB2312"/>
                <w:sz w:val="24"/>
                <w:szCs w:val="24"/>
              </w:rPr>
              <w:t>(2024年度)</w:t>
            </w:r>
          </w:p>
        </w:tc>
      </w:tr>
      <w:tr w14:paraId="5A417E3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2E30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090574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2024年城乡义务教育补助经费（自治区直达资金）特教公用经费项目</w:t>
            </w:r>
          </w:p>
        </w:tc>
      </w:tr>
      <w:tr w14:paraId="0FDAC35F">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D642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A17FE0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和田地区特殊教育学校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185A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757990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和田地区特殊教育学校</w:t>
            </w:r>
          </w:p>
        </w:tc>
      </w:tr>
      <w:tr w14:paraId="274D6E4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A54B2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02AFFD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02B10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52CC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37C7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CAD44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分值</w:t>
            </w:r>
          </w:p>
        </w:tc>
        <w:tc>
          <w:tcPr>
            <w:tcW w:w="789" w:type="dxa"/>
            <w:tcBorders>
              <w:top w:val="single" w:color="auto" w:sz="10" w:space="0"/>
              <w:left w:val="single" w:color="auto" w:sz="10" w:space="0"/>
              <w:bottom w:val="single" w:color="auto" w:sz="10" w:space="0"/>
              <w:right w:val="single" w:color="auto" w:sz="10" w:space="0"/>
              <w:insideV w:val="single" w:sz="10" w:space="0"/>
            </w:tcBorders>
            <w:vAlign w:val="center"/>
          </w:tcPr>
          <w:p w14:paraId="4D47747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执行率</w:t>
            </w:r>
          </w:p>
        </w:tc>
        <w:tc>
          <w:tcPr>
            <w:tcW w:w="1177" w:type="dxa"/>
            <w:tcBorders>
              <w:top w:val="single" w:color="auto" w:sz="10" w:space="0"/>
              <w:left w:val="single" w:color="auto" w:sz="10" w:space="0"/>
              <w:bottom w:val="single" w:color="auto" w:sz="10" w:space="0"/>
              <w:right w:val="single" w:color="auto" w:sz="10" w:space="0"/>
              <w:insideV w:val="single" w:sz="10" w:space="0"/>
            </w:tcBorders>
            <w:vAlign w:val="center"/>
          </w:tcPr>
          <w:p w14:paraId="5D4B6A8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得分</w:t>
            </w:r>
          </w:p>
        </w:tc>
      </w:tr>
      <w:tr w14:paraId="011E58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BB2748">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CC7A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90A5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31.67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A743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31.67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B797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29.37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0C8F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789" w:type="dxa"/>
            <w:tcBorders>
              <w:top w:val="single" w:color="auto" w:sz="10" w:space="0"/>
              <w:left w:val="single" w:color="auto" w:sz="10" w:space="0"/>
              <w:bottom w:val="single" w:color="auto" w:sz="10" w:space="0"/>
              <w:right w:val="single" w:color="auto" w:sz="10" w:space="0"/>
              <w:insideV w:val="single" w:sz="10" w:space="0"/>
            </w:tcBorders>
            <w:vAlign w:val="center"/>
          </w:tcPr>
          <w:p w14:paraId="12D9D9F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 xml:space="preserve">92.74% </w:t>
            </w:r>
          </w:p>
        </w:tc>
        <w:tc>
          <w:tcPr>
            <w:tcW w:w="1177" w:type="dxa"/>
            <w:tcBorders>
              <w:top w:val="single" w:color="auto" w:sz="10" w:space="0"/>
              <w:left w:val="single" w:color="auto" w:sz="10" w:space="0"/>
              <w:bottom w:val="single" w:color="auto" w:sz="10" w:space="0"/>
              <w:right w:val="single" w:color="auto" w:sz="10" w:space="0"/>
              <w:insideV w:val="single" w:sz="10" w:space="0"/>
            </w:tcBorders>
            <w:vAlign w:val="center"/>
          </w:tcPr>
          <w:p w14:paraId="4EE797A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8.18分</w:t>
            </w:r>
          </w:p>
        </w:tc>
      </w:tr>
      <w:tr w14:paraId="786F61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A96FB2">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1B169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8E3A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31.67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CD6E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31.67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11E5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29.37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368B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789" w:type="dxa"/>
            <w:tcBorders>
              <w:top w:val="single" w:color="auto" w:sz="10" w:space="0"/>
              <w:left w:val="single" w:color="auto" w:sz="10" w:space="0"/>
              <w:bottom w:val="single" w:color="auto" w:sz="10" w:space="0"/>
              <w:right w:val="single" w:color="auto" w:sz="10" w:space="0"/>
              <w:insideV w:val="single" w:sz="10" w:space="0"/>
            </w:tcBorders>
            <w:vAlign w:val="center"/>
          </w:tcPr>
          <w:p w14:paraId="5C3DDC4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1177" w:type="dxa"/>
            <w:tcBorders>
              <w:top w:val="single" w:color="auto" w:sz="10" w:space="0"/>
              <w:left w:val="single" w:color="auto" w:sz="10" w:space="0"/>
              <w:bottom w:val="single" w:color="auto" w:sz="10" w:space="0"/>
              <w:right w:val="single" w:color="auto" w:sz="10" w:space="0"/>
              <w:insideV w:val="single" w:sz="10" w:space="0"/>
            </w:tcBorders>
            <w:vAlign w:val="center"/>
          </w:tcPr>
          <w:p w14:paraId="0A4F4D9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r>
      <w:tr w14:paraId="390C49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F30535">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DD4A86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33A7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A590A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5C78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EE31B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789" w:type="dxa"/>
            <w:tcBorders>
              <w:top w:val="single" w:color="auto" w:sz="10" w:space="0"/>
              <w:left w:val="single" w:color="auto" w:sz="10" w:space="0"/>
              <w:bottom w:val="single" w:color="auto" w:sz="10" w:space="0"/>
              <w:right w:val="single" w:color="auto" w:sz="10" w:space="0"/>
              <w:insideV w:val="single" w:sz="10" w:space="0"/>
            </w:tcBorders>
            <w:vAlign w:val="center"/>
          </w:tcPr>
          <w:p w14:paraId="1562A47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1177" w:type="dxa"/>
            <w:tcBorders>
              <w:top w:val="single" w:color="auto" w:sz="10" w:space="0"/>
              <w:left w:val="single" w:color="auto" w:sz="10" w:space="0"/>
              <w:bottom w:val="single" w:color="auto" w:sz="10" w:space="0"/>
              <w:right w:val="single" w:color="auto" w:sz="10" w:space="0"/>
              <w:insideV w:val="single" w:sz="10" w:space="0"/>
            </w:tcBorders>
            <w:vAlign w:val="center"/>
          </w:tcPr>
          <w:p w14:paraId="76F6A1D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r>
      <w:tr w14:paraId="52BC32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46D8CB">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39C86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D7E2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4212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A37A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3181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789" w:type="dxa"/>
            <w:tcBorders>
              <w:top w:val="single" w:color="auto" w:sz="10" w:space="0"/>
              <w:left w:val="single" w:color="auto" w:sz="10" w:space="0"/>
              <w:bottom w:val="single" w:color="auto" w:sz="10" w:space="0"/>
              <w:right w:val="single" w:color="auto" w:sz="10" w:space="0"/>
              <w:insideV w:val="single" w:sz="10" w:space="0"/>
            </w:tcBorders>
            <w:vAlign w:val="center"/>
          </w:tcPr>
          <w:p w14:paraId="68E45F4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1177" w:type="dxa"/>
            <w:tcBorders>
              <w:top w:val="single" w:color="auto" w:sz="10" w:space="0"/>
              <w:left w:val="single" w:color="auto" w:sz="10" w:space="0"/>
              <w:bottom w:val="single" w:color="auto" w:sz="10" w:space="0"/>
              <w:right w:val="single" w:color="auto" w:sz="10" w:space="0"/>
              <w:insideV w:val="single" w:sz="10" w:space="0"/>
            </w:tcBorders>
            <w:vAlign w:val="center"/>
          </w:tcPr>
          <w:p w14:paraId="40BD11A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r>
      <w:tr w14:paraId="7A81951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10621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DE0912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1E86C5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实际完成情况</w:t>
            </w:r>
          </w:p>
        </w:tc>
      </w:tr>
      <w:tr w14:paraId="6B1FF76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D00D1A">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F0B7D7C">
            <w:pPr>
              <w:keepNext w:val="0"/>
              <w:keepLines w:val="0"/>
              <w:pageBreakBefore w:val="0"/>
              <w:widowControl w:val="0"/>
              <w:kinsoku/>
              <w:wordWrap/>
              <w:overflowPunct/>
              <w:topLinePunct w:val="0"/>
              <w:autoSpaceDE/>
              <w:autoSpaceDN/>
              <w:bidi w:val="0"/>
              <w:adjustRightInd/>
              <w:snapToGrid/>
              <w:spacing w:line="200" w:lineRule="exact"/>
              <w:ind w:firstLine="320" w:firstLineChars="200"/>
              <w:jc w:val="both"/>
              <w:textAlignment w:val="auto"/>
            </w:pPr>
            <w:r>
              <w:rPr>
                <w:rFonts w:ascii="宋体" w:hAnsi="宋体" w:eastAsia="宋体"/>
                <w:sz w:val="16"/>
              </w:rPr>
              <w:t>和田地区特殊教育学校是承担和田地区听障和智障两类适龄残疾儿童少年接受九年义务教育任务；按照国家制定的特殊</w:t>
            </w:r>
            <w:r>
              <w:rPr>
                <w:rFonts w:hint="eastAsia" w:ascii="宋体" w:hAnsi="宋体"/>
                <w:sz w:val="16"/>
                <w:lang w:eastAsia="zh-CN"/>
              </w:rPr>
              <w:t>教育</w:t>
            </w:r>
            <w:r>
              <w:rPr>
                <w:rFonts w:ascii="宋体" w:hAnsi="宋体" w:eastAsia="宋体"/>
                <w:sz w:val="16"/>
              </w:rPr>
              <w:t>学校课程计划、教学大纲进行教育教学工作；贯彻国家教育方针，根据学生身心特点和需要实施教育，让学生掌握一定的日常生活、劳动、生产知识和技能。我校本年度在校生242名，自治区直达资金27.26万元。2023年结转公用经费3.45万元（2.4+1.05），2024年本级财政配套公用经费0.96万元。三笔资金合计31.67万元。我校严格按照上级规定，用好资金，抓出效率，不断改善办学条件，促进特殊儿童身心健康发展。</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FB7E8C">
            <w:pPr>
              <w:keepNext w:val="0"/>
              <w:keepLines w:val="0"/>
              <w:pageBreakBefore w:val="0"/>
              <w:widowControl w:val="0"/>
              <w:kinsoku/>
              <w:wordWrap/>
              <w:overflowPunct/>
              <w:topLinePunct w:val="0"/>
              <w:autoSpaceDE/>
              <w:autoSpaceDN/>
              <w:bidi w:val="0"/>
              <w:adjustRightInd/>
              <w:snapToGrid/>
              <w:spacing w:line="200" w:lineRule="exact"/>
              <w:ind w:firstLine="320" w:firstLineChars="200"/>
              <w:jc w:val="both"/>
              <w:textAlignment w:val="auto"/>
            </w:pPr>
            <w:r>
              <w:rPr>
                <w:rFonts w:hint="eastAsia" w:ascii="宋体" w:hAnsi="宋体"/>
                <w:sz w:val="16"/>
                <w:lang w:eastAsia="zh-CN"/>
              </w:rPr>
              <w:t>截至</w:t>
            </w:r>
            <w:r>
              <w:rPr>
                <w:rFonts w:ascii="宋体" w:hAnsi="宋体" w:eastAsia="宋体"/>
                <w:sz w:val="16"/>
              </w:rPr>
              <w:t>2024年12月31日，本项目实际形成支出29.37万元，已完成</w:t>
            </w:r>
            <w:r>
              <w:rPr>
                <w:rFonts w:hint="eastAsia" w:ascii="宋体" w:hAnsi="宋体"/>
                <w:sz w:val="16"/>
                <w:lang w:val="en-US" w:eastAsia="zh-CN"/>
              </w:rPr>
              <w:t>预期目标任务，</w:t>
            </w:r>
            <w:r>
              <w:rPr>
                <w:rFonts w:ascii="宋体" w:hAnsi="宋体" w:eastAsia="宋体"/>
                <w:sz w:val="16"/>
              </w:rPr>
              <w:t>保障公用经费学生人数244人，达到了用好资金</w:t>
            </w:r>
            <w:r>
              <w:rPr>
                <w:rFonts w:hint="eastAsia" w:ascii="宋体" w:hAnsi="宋体"/>
                <w:sz w:val="16"/>
                <w:lang w:eastAsia="zh-CN"/>
              </w:rPr>
              <w:t>、</w:t>
            </w:r>
            <w:r>
              <w:rPr>
                <w:rFonts w:ascii="宋体" w:hAnsi="宋体" w:eastAsia="宋体"/>
                <w:sz w:val="16"/>
              </w:rPr>
              <w:t>抓出效率</w:t>
            </w:r>
            <w:r>
              <w:rPr>
                <w:rFonts w:hint="eastAsia" w:ascii="宋体" w:hAnsi="宋体"/>
                <w:sz w:val="16"/>
                <w:lang w:eastAsia="zh-CN"/>
              </w:rPr>
              <w:t>、</w:t>
            </w:r>
            <w:r>
              <w:rPr>
                <w:rFonts w:ascii="宋体" w:hAnsi="宋体" w:eastAsia="宋体"/>
                <w:sz w:val="16"/>
              </w:rPr>
              <w:t>不断改善办学条件</w:t>
            </w:r>
            <w:r>
              <w:rPr>
                <w:rFonts w:hint="eastAsia" w:ascii="宋体" w:hAnsi="宋体"/>
                <w:sz w:val="16"/>
                <w:lang w:eastAsia="zh-CN"/>
              </w:rPr>
              <w:t>、</w:t>
            </w:r>
            <w:r>
              <w:rPr>
                <w:rFonts w:ascii="宋体" w:hAnsi="宋体" w:eastAsia="宋体"/>
                <w:sz w:val="16"/>
              </w:rPr>
              <w:t>促进特殊儿童身心健康发展的效益，受助学生家长满意度达到99%。</w:t>
            </w:r>
          </w:p>
        </w:tc>
      </w:tr>
      <w:tr w14:paraId="254E260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BE8445D">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F405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DF33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D52A5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7C2C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6BC1E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68B3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分值</w:t>
            </w:r>
          </w:p>
        </w:tc>
        <w:tc>
          <w:tcPr>
            <w:tcW w:w="789" w:type="dxa"/>
            <w:tcBorders>
              <w:top w:val="single" w:color="auto" w:sz="10" w:space="0"/>
              <w:left w:val="single" w:color="auto" w:sz="10" w:space="0"/>
              <w:bottom w:val="single" w:color="auto" w:sz="10" w:space="0"/>
              <w:right w:val="single" w:color="auto" w:sz="10" w:space="0"/>
              <w:insideV w:val="single" w:sz="10" w:space="0"/>
            </w:tcBorders>
            <w:vAlign w:val="center"/>
          </w:tcPr>
          <w:p w14:paraId="4F2B4D3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得分</w:t>
            </w:r>
          </w:p>
        </w:tc>
        <w:tc>
          <w:tcPr>
            <w:tcW w:w="1177" w:type="dxa"/>
            <w:tcBorders>
              <w:top w:val="single" w:color="auto" w:sz="10" w:space="0"/>
              <w:left w:val="single" w:color="auto" w:sz="10" w:space="0"/>
              <w:bottom w:val="single" w:color="auto" w:sz="10" w:space="0"/>
              <w:right w:val="single" w:color="auto" w:sz="10" w:space="0"/>
              <w:insideV w:val="single" w:sz="10" w:space="0"/>
            </w:tcBorders>
            <w:vAlign w:val="center"/>
          </w:tcPr>
          <w:p w14:paraId="20500DF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偏差原因分析及改进措施</w:t>
            </w:r>
          </w:p>
        </w:tc>
      </w:tr>
      <w:tr w14:paraId="65DFA5C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C43FF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95ED5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5AA4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99A7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保障公用经费学生人数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0A9A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≥242人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EF25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=244人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6B1C4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789" w:type="dxa"/>
            <w:tcBorders>
              <w:top w:val="single" w:color="auto" w:sz="10" w:space="0"/>
              <w:left w:val="single" w:color="auto" w:sz="10" w:space="0"/>
              <w:bottom w:val="single" w:color="auto" w:sz="10" w:space="0"/>
              <w:right w:val="single" w:color="auto" w:sz="10" w:space="0"/>
              <w:insideV w:val="single" w:sz="10" w:space="0"/>
            </w:tcBorders>
            <w:vAlign w:val="center"/>
          </w:tcPr>
          <w:p w14:paraId="2031D09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9.92</w:t>
            </w:r>
          </w:p>
        </w:tc>
        <w:tc>
          <w:tcPr>
            <w:tcW w:w="1177" w:type="dxa"/>
            <w:tcBorders>
              <w:top w:val="single" w:color="auto" w:sz="10" w:space="0"/>
              <w:left w:val="single" w:color="auto" w:sz="10" w:space="0"/>
              <w:bottom w:val="single" w:color="auto" w:sz="10" w:space="0"/>
              <w:right w:val="single" w:color="auto" w:sz="10" w:space="0"/>
              <w:insideV w:val="single" w:sz="10" w:space="0"/>
            </w:tcBorders>
            <w:vAlign w:val="center"/>
          </w:tcPr>
          <w:p w14:paraId="34367B8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6E06A3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473D97">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DC555B">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E90A1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1EAFE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补助学生覆盖率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0BA1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2FA9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FBD4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789" w:type="dxa"/>
            <w:tcBorders>
              <w:top w:val="single" w:color="auto" w:sz="10" w:space="0"/>
              <w:left w:val="single" w:color="auto" w:sz="10" w:space="0"/>
              <w:bottom w:val="single" w:color="auto" w:sz="10" w:space="0"/>
              <w:right w:val="single" w:color="auto" w:sz="10" w:space="0"/>
              <w:insideV w:val="single" w:sz="10" w:space="0"/>
            </w:tcBorders>
            <w:vAlign w:val="center"/>
          </w:tcPr>
          <w:p w14:paraId="1F53091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1177" w:type="dxa"/>
            <w:tcBorders>
              <w:top w:val="single" w:color="auto" w:sz="10" w:space="0"/>
              <w:left w:val="single" w:color="auto" w:sz="10" w:space="0"/>
              <w:bottom w:val="single" w:color="auto" w:sz="10" w:space="0"/>
              <w:right w:val="single" w:color="auto" w:sz="10" w:space="0"/>
              <w:insideV w:val="single" w:sz="10" w:space="0"/>
            </w:tcBorders>
            <w:vAlign w:val="center"/>
          </w:tcPr>
          <w:p w14:paraId="7A811E4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70626C5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CE8975">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E5FD94">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678E3D">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5DD2B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公用经费享受比例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791F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BBDB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1234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789" w:type="dxa"/>
            <w:tcBorders>
              <w:top w:val="single" w:color="auto" w:sz="10" w:space="0"/>
              <w:left w:val="single" w:color="auto" w:sz="10" w:space="0"/>
              <w:bottom w:val="single" w:color="auto" w:sz="10" w:space="0"/>
              <w:right w:val="single" w:color="auto" w:sz="10" w:space="0"/>
              <w:insideV w:val="single" w:sz="10" w:space="0"/>
            </w:tcBorders>
            <w:vAlign w:val="center"/>
          </w:tcPr>
          <w:p w14:paraId="6EA2C5D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1177" w:type="dxa"/>
            <w:tcBorders>
              <w:top w:val="single" w:color="auto" w:sz="10" w:space="0"/>
              <w:left w:val="single" w:color="auto" w:sz="10" w:space="0"/>
              <w:bottom w:val="single" w:color="auto" w:sz="10" w:space="0"/>
              <w:right w:val="single" w:color="auto" w:sz="10" w:space="0"/>
              <w:insideV w:val="single" w:sz="10" w:space="0"/>
            </w:tcBorders>
            <w:vAlign w:val="center"/>
          </w:tcPr>
          <w:p w14:paraId="22F7E5C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0F15D6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AE32C7">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C1730F">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23F8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614AF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资金支付及时性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AC705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F653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B56E3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789" w:type="dxa"/>
            <w:tcBorders>
              <w:top w:val="single" w:color="auto" w:sz="10" w:space="0"/>
              <w:left w:val="single" w:color="auto" w:sz="10" w:space="0"/>
              <w:bottom w:val="single" w:color="auto" w:sz="10" w:space="0"/>
              <w:right w:val="single" w:color="auto" w:sz="10" w:space="0"/>
              <w:insideV w:val="single" w:sz="10" w:space="0"/>
            </w:tcBorders>
            <w:vAlign w:val="center"/>
          </w:tcPr>
          <w:p w14:paraId="1FB5EB8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1177" w:type="dxa"/>
            <w:tcBorders>
              <w:top w:val="single" w:color="auto" w:sz="10" w:space="0"/>
              <w:left w:val="single" w:color="auto" w:sz="10" w:space="0"/>
              <w:bottom w:val="single" w:color="auto" w:sz="10" w:space="0"/>
              <w:right w:val="single" w:color="auto" w:sz="10" w:space="0"/>
              <w:insideV w:val="single" w:sz="10" w:space="0"/>
            </w:tcBorders>
            <w:vAlign w:val="center"/>
          </w:tcPr>
          <w:p w14:paraId="63D53C4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282E0E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99B186">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2DE8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FCB6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B24C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公用经费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E0F2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≤31.67万元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59DB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=29.37万元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7D18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20</w:t>
            </w:r>
          </w:p>
        </w:tc>
        <w:tc>
          <w:tcPr>
            <w:tcW w:w="789" w:type="dxa"/>
            <w:tcBorders>
              <w:top w:val="single" w:color="auto" w:sz="10" w:space="0"/>
              <w:left w:val="single" w:color="auto" w:sz="10" w:space="0"/>
              <w:bottom w:val="single" w:color="auto" w:sz="10" w:space="0"/>
              <w:right w:val="single" w:color="auto" w:sz="10" w:space="0"/>
              <w:insideV w:val="single" w:sz="10" w:space="0"/>
            </w:tcBorders>
            <w:vAlign w:val="center"/>
          </w:tcPr>
          <w:p w14:paraId="7FE7D09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16.37</w:t>
            </w:r>
          </w:p>
        </w:tc>
        <w:tc>
          <w:tcPr>
            <w:tcW w:w="1177" w:type="dxa"/>
            <w:tcBorders>
              <w:top w:val="single" w:color="auto" w:sz="10" w:space="0"/>
              <w:left w:val="single" w:color="auto" w:sz="10" w:space="0"/>
              <w:bottom w:val="single" w:color="auto" w:sz="10" w:space="0"/>
              <w:right w:val="single" w:color="auto" w:sz="10" w:space="0"/>
              <w:insideV w:val="single" w:sz="10" w:space="0"/>
            </w:tcBorders>
            <w:vAlign w:val="center"/>
          </w:tcPr>
          <w:p w14:paraId="387FCBF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偏差原因：根据项目实际需求进行资金支付，形成结余，改进措施：提高绩效目标编制能力。</w:t>
            </w:r>
          </w:p>
        </w:tc>
      </w:tr>
      <w:tr w14:paraId="02FEF9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E2463A">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6DFBA9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A00EFB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5387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教育服务水平提升情况</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3B09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28E1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69FB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789" w:type="dxa"/>
            <w:tcBorders>
              <w:top w:val="single" w:color="auto" w:sz="10" w:space="0"/>
              <w:left w:val="single" w:color="auto" w:sz="10" w:space="0"/>
              <w:bottom w:val="single" w:color="auto" w:sz="10" w:space="0"/>
              <w:right w:val="single" w:color="auto" w:sz="10" w:space="0"/>
              <w:insideV w:val="single" w:sz="10" w:space="0"/>
            </w:tcBorders>
            <w:vAlign w:val="center"/>
          </w:tcPr>
          <w:p w14:paraId="06AC8E7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1177" w:type="dxa"/>
            <w:tcBorders>
              <w:top w:val="single" w:color="auto" w:sz="10" w:space="0"/>
              <w:left w:val="single" w:color="auto" w:sz="10" w:space="0"/>
              <w:bottom w:val="single" w:color="auto" w:sz="10" w:space="0"/>
              <w:right w:val="single" w:color="auto" w:sz="10" w:space="0"/>
              <w:insideV w:val="single" w:sz="10" w:space="0"/>
            </w:tcBorders>
            <w:vAlign w:val="center"/>
          </w:tcPr>
          <w:p w14:paraId="3713305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7AC467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43CD3A">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B581F0">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BEC589">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EAC2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补助人员生活改善情况</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E848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BBB60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CA35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789" w:type="dxa"/>
            <w:tcBorders>
              <w:top w:val="single" w:color="auto" w:sz="10" w:space="0"/>
              <w:left w:val="single" w:color="auto" w:sz="10" w:space="0"/>
              <w:bottom w:val="single" w:color="auto" w:sz="10" w:space="0"/>
              <w:right w:val="single" w:color="auto" w:sz="10" w:space="0"/>
              <w:insideV w:val="single" w:sz="10" w:space="0"/>
            </w:tcBorders>
            <w:vAlign w:val="center"/>
          </w:tcPr>
          <w:p w14:paraId="5F01D05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1177" w:type="dxa"/>
            <w:tcBorders>
              <w:top w:val="single" w:color="auto" w:sz="10" w:space="0"/>
              <w:left w:val="single" w:color="auto" w:sz="10" w:space="0"/>
              <w:bottom w:val="single" w:color="auto" w:sz="10" w:space="0"/>
              <w:right w:val="single" w:color="auto" w:sz="10" w:space="0"/>
              <w:insideV w:val="single" w:sz="10" w:space="0"/>
            </w:tcBorders>
            <w:vAlign w:val="center"/>
          </w:tcPr>
          <w:p w14:paraId="21A9D3B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09F06B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ED6819">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372CB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满意度指标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63F25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1D47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受助学生家长满意度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EEED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535B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7C75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5</w:t>
            </w:r>
          </w:p>
        </w:tc>
        <w:tc>
          <w:tcPr>
            <w:tcW w:w="789" w:type="dxa"/>
            <w:tcBorders>
              <w:top w:val="single" w:color="auto" w:sz="10" w:space="0"/>
              <w:left w:val="single" w:color="auto" w:sz="10" w:space="0"/>
              <w:bottom w:val="single" w:color="auto" w:sz="10" w:space="0"/>
              <w:right w:val="single" w:color="auto" w:sz="10" w:space="0"/>
              <w:insideV w:val="single" w:sz="10" w:space="0"/>
            </w:tcBorders>
            <w:vAlign w:val="center"/>
          </w:tcPr>
          <w:p w14:paraId="541171F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5</w:t>
            </w:r>
          </w:p>
        </w:tc>
        <w:tc>
          <w:tcPr>
            <w:tcW w:w="1177" w:type="dxa"/>
            <w:tcBorders>
              <w:top w:val="single" w:color="auto" w:sz="10" w:space="0"/>
              <w:left w:val="single" w:color="auto" w:sz="10" w:space="0"/>
              <w:bottom w:val="single" w:color="auto" w:sz="10" w:space="0"/>
              <w:right w:val="single" w:color="auto" w:sz="10" w:space="0"/>
              <w:insideV w:val="single" w:sz="10" w:space="0"/>
            </w:tcBorders>
            <w:vAlign w:val="center"/>
          </w:tcPr>
          <w:p w14:paraId="24707A2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18BC58EC">
        <w:tblPrEx>
          <w:tblCellMar>
            <w:top w:w="0" w:type="dxa"/>
            <w:left w:w="108" w:type="dxa"/>
            <w:bottom w:w="0" w:type="dxa"/>
            <w:right w:w="108" w:type="dxa"/>
          </w:tblCellMar>
        </w:tblPrEx>
        <w:trPr>
          <w:trHeight w:val="335"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987607">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093241">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1CF1B8">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164D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收益教师满意度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75A9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B8EF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99CB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5</w:t>
            </w:r>
          </w:p>
        </w:tc>
        <w:tc>
          <w:tcPr>
            <w:tcW w:w="789" w:type="dxa"/>
            <w:tcBorders>
              <w:top w:val="single" w:color="auto" w:sz="10" w:space="0"/>
              <w:left w:val="single" w:color="auto" w:sz="10" w:space="0"/>
              <w:bottom w:val="single" w:color="auto" w:sz="10" w:space="0"/>
              <w:right w:val="single" w:color="auto" w:sz="10" w:space="0"/>
              <w:insideV w:val="single" w:sz="10" w:space="0"/>
            </w:tcBorders>
            <w:vAlign w:val="center"/>
          </w:tcPr>
          <w:p w14:paraId="0B7EE95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5</w:t>
            </w:r>
          </w:p>
        </w:tc>
        <w:tc>
          <w:tcPr>
            <w:tcW w:w="1177" w:type="dxa"/>
            <w:tcBorders>
              <w:top w:val="single" w:color="auto" w:sz="10" w:space="0"/>
              <w:left w:val="single" w:color="auto" w:sz="10" w:space="0"/>
              <w:bottom w:val="single" w:color="auto" w:sz="10" w:space="0"/>
              <w:right w:val="single" w:color="auto" w:sz="10" w:space="0"/>
              <w:insideV w:val="single" w:sz="10" w:space="0"/>
            </w:tcBorders>
            <w:vAlign w:val="center"/>
          </w:tcPr>
          <w:p w14:paraId="298CF60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21304F7B">
        <w:tblPrEx>
          <w:tblCellMar>
            <w:top w:w="0" w:type="dxa"/>
            <w:left w:w="108" w:type="dxa"/>
            <w:bottom w:w="0" w:type="dxa"/>
            <w:right w:w="108" w:type="dxa"/>
          </w:tblCellMar>
        </w:tblPrEx>
        <w:trPr>
          <w:trHeight w:val="299" w:hRule="atLeast"/>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7819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F562C5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E323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D3B4A6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94.47分</w:t>
            </w:r>
          </w:p>
        </w:tc>
      </w:tr>
    </w:tbl>
    <w:p w14:paraId="075D9BBE">
      <w:pPr>
        <w:keepNext w:val="0"/>
        <w:keepLines w:val="0"/>
        <w:pageBreakBefore w:val="0"/>
        <w:widowControl w:val="0"/>
        <w:kinsoku/>
        <w:wordWrap/>
        <w:overflowPunct/>
        <w:topLinePunct w:val="0"/>
        <w:autoSpaceDE/>
        <w:autoSpaceDN/>
        <w:bidi w:val="0"/>
        <w:adjustRightInd/>
        <w:snapToGrid/>
        <w:spacing w:line="200" w:lineRule="exact"/>
        <w:textAlignment w:val="auto"/>
      </w:pPr>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4F8F026">
        <w:tblPrEx>
          <w:tblCellMar>
            <w:top w:w="0" w:type="dxa"/>
            <w:left w:w="108" w:type="dxa"/>
            <w:bottom w:w="0" w:type="dxa"/>
            <w:right w:w="108" w:type="dxa"/>
          </w:tblCellMar>
        </w:tblPrEx>
        <w:tc>
          <w:tcPr>
            <w:tcW w:w="8847" w:type="dxa"/>
            <w:gridSpan w:val="9"/>
            <w:vAlign w:val="center"/>
          </w:tcPr>
          <w:p w14:paraId="526AFDF6">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项目支出绩效自评表</w:t>
            </w:r>
          </w:p>
        </w:tc>
      </w:tr>
      <w:tr w14:paraId="237BA0A7">
        <w:tblPrEx>
          <w:tblCellMar>
            <w:top w:w="0" w:type="dxa"/>
            <w:left w:w="108" w:type="dxa"/>
            <w:bottom w:w="0" w:type="dxa"/>
            <w:right w:w="108" w:type="dxa"/>
          </w:tblCellMar>
        </w:tblPrEx>
        <w:tc>
          <w:tcPr>
            <w:tcW w:w="8847" w:type="dxa"/>
            <w:gridSpan w:val="9"/>
            <w:vAlign w:val="center"/>
          </w:tcPr>
          <w:p w14:paraId="5FD7E65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rPr>
            </w:pPr>
            <w:r>
              <w:rPr>
                <w:rFonts w:hint="eastAsia" w:ascii="仿宋_GB2312" w:hAnsi="仿宋_GB2312" w:eastAsia="仿宋_GB2312" w:cs="仿宋_GB2312"/>
                <w:sz w:val="24"/>
                <w:szCs w:val="24"/>
              </w:rPr>
              <w:t>(2024年度)</w:t>
            </w:r>
          </w:p>
        </w:tc>
      </w:tr>
      <w:tr w14:paraId="7AB9C42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92EE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B7410D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2024年彩票公益金支持特殊教育学校（特教班）生活补助经费项目</w:t>
            </w:r>
          </w:p>
        </w:tc>
      </w:tr>
      <w:tr w14:paraId="2DFE326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683E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9E2BFF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和田地区特殊教育学校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9B24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17072B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和田地区特殊教育学校</w:t>
            </w:r>
          </w:p>
        </w:tc>
      </w:tr>
      <w:tr w14:paraId="0A2E7F6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622152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5A0FF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F894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CBA9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44A44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ED52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0617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E406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得分</w:t>
            </w:r>
          </w:p>
        </w:tc>
      </w:tr>
      <w:tr w14:paraId="383E10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D5F979">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E256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BCE6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44.60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E5EC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44.60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47A5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44.36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20C64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56B0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 xml:space="preserve">99.46%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694CE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9.86分</w:t>
            </w:r>
          </w:p>
        </w:tc>
      </w:tr>
      <w:tr w14:paraId="0E1CE3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0FB82F">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FA4C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6404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44.60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AB6F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44.60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F51B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44.36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530D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F4B3A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502C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r>
      <w:tr w14:paraId="50BBE2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834FFD">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F623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A4E7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AC4C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6631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D6C5E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1C91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9728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r>
      <w:tr w14:paraId="22B05D98">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38D4AA">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6FD2DA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13A48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C269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7494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1A57D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652C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002DC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r>
      <w:tr w14:paraId="594C63E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2D7BEB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5CA4E9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3A6B4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实际完成情况</w:t>
            </w:r>
          </w:p>
        </w:tc>
      </w:tr>
      <w:tr w14:paraId="61B9D9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9DA239">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0365174">
            <w:pPr>
              <w:keepNext w:val="0"/>
              <w:keepLines w:val="0"/>
              <w:pageBreakBefore w:val="0"/>
              <w:widowControl w:val="0"/>
              <w:kinsoku/>
              <w:wordWrap/>
              <w:overflowPunct/>
              <w:topLinePunct w:val="0"/>
              <w:autoSpaceDE/>
              <w:autoSpaceDN/>
              <w:bidi w:val="0"/>
              <w:adjustRightInd/>
              <w:snapToGrid/>
              <w:spacing w:line="200" w:lineRule="exact"/>
              <w:ind w:firstLine="320" w:firstLineChars="200"/>
              <w:jc w:val="both"/>
              <w:textAlignment w:val="auto"/>
            </w:pPr>
            <w:r>
              <w:rPr>
                <w:rFonts w:ascii="宋体" w:hAnsi="宋体" w:eastAsia="宋体"/>
                <w:sz w:val="16"/>
              </w:rPr>
              <w:t>进一步优化教育结构，促进教育公平。全面加强教育经费投入使用管理工作。优化结构、优先保障、深化改革、加强管理，最终提高教育经费使用效益。进一步改善寄宿生营养状况，提高寄宿生健康水平，减轻家庭</w:t>
            </w:r>
            <w:r>
              <w:rPr>
                <w:rFonts w:hint="eastAsia" w:ascii="宋体" w:hAnsi="宋体"/>
                <w:sz w:val="16"/>
                <w:lang w:val="en-US" w:eastAsia="zh-CN"/>
              </w:rPr>
              <w:t>经济</w:t>
            </w:r>
            <w:r>
              <w:rPr>
                <w:rFonts w:ascii="宋体" w:hAnsi="宋体" w:eastAsia="宋体"/>
                <w:sz w:val="16"/>
              </w:rPr>
              <w:t>困难学生经济负担。本年度按照2023年的学生人数，即230人，给我校下拨了</w:t>
            </w:r>
            <w:r>
              <w:rPr>
                <w:rFonts w:hint="eastAsia" w:ascii="宋体" w:hAnsi="宋体"/>
                <w:sz w:val="16"/>
                <w:lang w:val="en-US" w:eastAsia="zh-CN"/>
              </w:rPr>
              <w:t>23</w:t>
            </w:r>
            <w:r>
              <w:rPr>
                <w:rFonts w:ascii="宋体" w:hAnsi="宋体" w:eastAsia="宋体"/>
                <w:sz w:val="16"/>
              </w:rPr>
              <w:t>万元；2023年结转彩票公益特殊教育学校（特教班）补助经费21.6万元。两笔资金合计下来44.6万元。</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777330">
            <w:pPr>
              <w:keepNext w:val="0"/>
              <w:keepLines w:val="0"/>
              <w:pageBreakBefore w:val="0"/>
              <w:widowControl w:val="0"/>
              <w:kinsoku/>
              <w:wordWrap/>
              <w:overflowPunct/>
              <w:topLinePunct w:val="0"/>
              <w:autoSpaceDE/>
              <w:autoSpaceDN/>
              <w:bidi w:val="0"/>
              <w:adjustRightInd/>
              <w:snapToGrid/>
              <w:spacing w:line="200" w:lineRule="exact"/>
              <w:ind w:firstLine="320" w:firstLineChars="200"/>
              <w:jc w:val="both"/>
              <w:textAlignment w:val="auto"/>
            </w:pPr>
            <w:r>
              <w:rPr>
                <w:rFonts w:hint="eastAsia" w:ascii="宋体" w:hAnsi="宋体"/>
                <w:sz w:val="16"/>
                <w:lang w:eastAsia="zh-CN"/>
              </w:rPr>
              <w:t>截至</w:t>
            </w:r>
            <w:r>
              <w:rPr>
                <w:rFonts w:ascii="宋体" w:hAnsi="宋体" w:eastAsia="宋体"/>
                <w:sz w:val="16"/>
              </w:rPr>
              <w:t>2024年12月31日，本项目实际形成支出44.36万元，已完成</w:t>
            </w:r>
            <w:r>
              <w:rPr>
                <w:rFonts w:hint="eastAsia" w:ascii="宋体" w:hAnsi="宋体"/>
                <w:sz w:val="16"/>
                <w:lang w:val="en-US" w:eastAsia="zh-CN"/>
              </w:rPr>
              <w:t>预期目标任务，实施</w:t>
            </w:r>
            <w:r>
              <w:rPr>
                <w:rFonts w:ascii="宋体" w:hAnsi="宋体" w:eastAsia="宋体"/>
                <w:sz w:val="16"/>
              </w:rPr>
              <w:t>补助的家庭经济困难学生230人。达到了进一步优化教育结构</w:t>
            </w:r>
            <w:r>
              <w:rPr>
                <w:rFonts w:hint="eastAsia" w:ascii="宋体" w:hAnsi="宋体"/>
                <w:sz w:val="16"/>
                <w:lang w:eastAsia="zh-CN"/>
              </w:rPr>
              <w:t>、</w:t>
            </w:r>
            <w:r>
              <w:rPr>
                <w:rFonts w:ascii="宋体" w:hAnsi="宋体" w:eastAsia="宋体"/>
                <w:sz w:val="16"/>
              </w:rPr>
              <w:t>促进教育公平的效益</w:t>
            </w:r>
            <w:r>
              <w:rPr>
                <w:rFonts w:hint="eastAsia" w:ascii="宋体" w:hAnsi="宋体"/>
                <w:sz w:val="16"/>
                <w:lang w:eastAsia="zh-CN"/>
              </w:rPr>
              <w:t>；</w:t>
            </w:r>
            <w:r>
              <w:rPr>
                <w:rFonts w:ascii="宋体" w:hAnsi="宋体" w:eastAsia="宋体"/>
                <w:sz w:val="16"/>
              </w:rPr>
              <w:t>受助学生、家长满意度达到100%。</w:t>
            </w:r>
            <w:r>
              <w:rPr>
                <w:rFonts w:ascii="宋体" w:hAnsi="宋体" w:eastAsia="宋体"/>
                <w:sz w:val="16"/>
              </w:rPr>
              <w:br w:type="textWrapping"/>
            </w:r>
          </w:p>
        </w:tc>
      </w:tr>
      <w:tr w14:paraId="48B6B71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2B5A912">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821E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0390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28BB0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3E91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1BFE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F994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E049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B92C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偏差原因分析及改进措施</w:t>
            </w:r>
          </w:p>
        </w:tc>
      </w:tr>
      <w:tr w14:paraId="5E9E1106">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383B1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8D0F2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4E8E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3A23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补助的家庭经济困难学生（人）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7791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≥230人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58B4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=230人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B3710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C3D95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B656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312FEA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EAA6E4">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0FED1A">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E8A8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790E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受助学生覆盖率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EF56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86D1A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9C669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E13E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47F0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77F85B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C685D0">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7BAA04">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B4F8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DA8A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93A8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4064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2FBB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E025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3F77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1C3857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50DC19">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68917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CC08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1B70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伙食补助</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112C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=44.60万元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28A71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=44.36万元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0560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6E9B1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19.73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11FC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偏差原因：根据项目实际需求进行资金支付，形成结余，提高绩效目标编制能力。</w:t>
            </w:r>
          </w:p>
        </w:tc>
      </w:tr>
      <w:tr w14:paraId="6FE0423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5187AE">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EF226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C390D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57DBB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减轻家庭经济困难学生经济负担</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0AE8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有效减轻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54BB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BF5F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C83F7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29D7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6FDAE030">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7339C3">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CA979E">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FE9CCE">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C4F2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提高教育教学质量情况</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162A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BCE0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039E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4BE6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1421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7C86F36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D125B3">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5A611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B6F6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6A73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受助学生、家长满意度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2849F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6292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3765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8C62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2449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665D0AD2">
        <w:tblPrEx>
          <w:tblCellMar>
            <w:top w:w="0" w:type="dxa"/>
            <w:left w:w="108" w:type="dxa"/>
            <w:bottom w:w="0" w:type="dxa"/>
            <w:right w:w="108" w:type="dxa"/>
          </w:tblCellMar>
        </w:tblPrEx>
        <w:trPr>
          <w:trHeight w:val="332" w:hRule="atLeast"/>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B984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955FF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529C9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5879F4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99.59分</w:t>
            </w:r>
          </w:p>
        </w:tc>
      </w:tr>
    </w:tbl>
    <w:p w14:paraId="470299E1">
      <w:pPr>
        <w:keepNext w:val="0"/>
        <w:keepLines w:val="0"/>
        <w:pageBreakBefore w:val="0"/>
        <w:widowControl w:val="0"/>
        <w:kinsoku/>
        <w:wordWrap/>
        <w:overflowPunct/>
        <w:topLinePunct w:val="0"/>
        <w:autoSpaceDE/>
        <w:autoSpaceDN/>
        <w:bidi w:val="0"/>
        <w:adjustRightInd/>
        <w:snapToGrid/>
        <w:spacing w:line="200" w:lineRule="exact"/>
        <w:textAlignment w:val="auto"/>
      </w:pPr>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776"/>
        <w:gridCol w:w="1190"/>
      </w:tblGrid>
      <w:tr w14:paraId="5EFFF4D1">
        <w:tblPrEx>
          <w:tblCellMar>
            <w:top w:w="0" w:type="dxa"/>
            <w:left w:w="108" w:type="dxa"/>
            <w:bottom w:w="0" w:type="dxa"/>
            <w:right w:w="108" w:type="dxa"/>
          </w:tblCellMar>
        </w:tblPrEx>
        <w:tc>
          <w:tcPr>
            <w:tcW w:w="8847" w:type="dxa"/>
            <w:gridSpan w:val="9"/>
            <w:vAlign w:val="center"/>
          </w:tcPr>
          <w:p w14:paraId="0BD76509">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rPr>
            </w:pPr>
            <w:r>
              <w:rPr>
                <w:rFonts w:hint="eastAsia" w:ascii="黑体" w:hAnsi="黑体" w:eastAsia="黑体" w:cs="黑体"/>
                <w:sz w:val="32"/>
                <w:szCs w:val="32"/>
              </w:rPr>
              <w:t>项目支出绩效自评表</w:t>
            </w:r>
          </w:p>
        </w:tc>
      </w:tr>
      <w:tr w14:paraId="0FBDFB41">
        <w:tblPrEx>
          <w:tblCellMar>
            <w:top w:w="0" w:type="dxa"/>
            <w:left w:w="108" w:type="dxa"/>
            <w:bottom w:w="0" w:type="dxa"/>
            <w:right w:w="108" w:type="dxa"/>
          </w:tblCellMar>
        </w:tblPrEx>
        <w:tc>
          <w:tcPr>
            <w:tcW w:w="8847" w:type="dxa"/>
            <w:gridSpan w:val="9"/>
            <w:vAlign w:val="center"/>
          </w:tcPr>
          <w:p w14:paraId="7868683B">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黑体" w:hAnsi="黑体" w:eastAsia="黑体" w:cs="黑体"/>
                <w:sz w:val="32"/>
                <w:szCs w:val="32"/>
              </w:rPr>
            </w:pPr>
            <w:r>
              <w:rPr>
                <w:rFonts w:hint="eastAsia" w:ascii="仿宋_GB2312" w:hAnsi="仿宋_GB2312" w:eastAsia="仿宋_GB2312" w:cs="仿宋_GB2312"/>
                <w:sz w:val="24"/>
                <w:szCs w:val="24"/>
              </w:rPr>
              <w:t>(2024年度)</w:t>
            </w:r>
          </w:p>
        </w:tc>
      </w:tr>
      <w:tr w14:paraId="5C8D3A5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2F116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FD9EB3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2024年自治区城乡义务教育补助经费项目</w:t>
            </w:r>
          </w:p>
        </w:tc>
      </w:tr>
      <w:tr w14:paraId="21E3091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F8E2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595105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和田地区特殊教育学校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A211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3FC5AC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和田地区特殊教育学校</w:t>
            </w:r>
          </w:p>
        </w:tc>
      </w:tr>
      <w:tr w14:paraId="096E1F8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E94215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EE4869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6A0F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13652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90F5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6DAE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分值</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AF90CD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执行率</w:t>
            </w:r>
          </w:p>
        </w:tc>
        <w:tc>
          <w:tcPr>
            <w:tcW w:w="1190" w:type="dxa"/>
            <w:tcBorders>
              <w:top w:val="single" w:color="auto" w:sz="10" w:space="0"/>
              <w:left w:val="single" w:color="auto" w:sz="10" w:space="0"/>
              <w:bottom w:val="single" w:color="auto" w:sz="10" w:space="0"/>
              <w:right w:val="single" w:color="auto" w:sz="10" w:space="0"/>
              <w:insideV w:val="single" w:sz="10" w:space="0"/>
            </w:tcBorders>
            <w:vAlign w:val="center"/>
          </w:tcPr>
          <w:p w14:paraId="79CD7FE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得分</w:t>
            </w:r>
          </w:p>
        </w:tc>
      </w:tr>
      <w:tr w14:paraId="6E94676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7E0F6B">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7A1263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6CF7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6.84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DD91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6.84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7C19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6.48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C2D5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7030DA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 xml:space="preserve">94.74% </w:t>
            </w:r>
          </w:p>
        </w:tc>
        <w:tc>
          <w:tcPr>
            <w:tcW w:w="1190" w:type="dxa"/>
            <w:tcBorders>
              <w:top w:val="single" w:color="auto" w:sz="10" w:space="0"/>
              <w:left w:val="single" w:color="auto" w:sz="10" w:space="0"/>
              <w:bottom w:val="single" w:color="auto" w:sz="10" w:space="0"/>
              <w:right w:val="single" w:color="auto" w:sz="10" w:space="0"/>
              <w:insideV w:val="single" w:sz="10" w:space="0"/>
            </w:tcBorders>
            <w:vAlign w:val="center"/>
          </w:tcPr>
          <w:p w14:paraId="1DE6A5D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8.68分</w:t>
            </w:r>
          </w:p>
        </w:tc>
      </w:tr>
      <w:tr w14:paraId="62FC84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A2B19C">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C3C30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1E833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6.84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2D8F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6.84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D2936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6.48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05EE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84AD2F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1190" w:type="dxa"/>
            <w:tcBorders>
              <w:top w:val="single" w:color="auto" w:sz="10" w:space="0"/>
              <w:left w:val="single" w:color="auto" w:sz="10" w:space="0"/>
              <w:bottom w:val="single" w:color="auto" w:sz="10" w:space="0"/>
              <w:right w:val="single" w:color="auto" w:sz="10" w:space="0"/>
              <w:insideV w:val="single" w:sz="10" w:space="0"/>
            </w:tcBorders>
            <w:vAlign w:val="center"/>
          </w:tcPr>
          <w:p w14:paraId="6FB35E7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r>
      <w:tr w14:paraId="4D365A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27CDFA">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787051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8CD1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5CD7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EC85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EDA5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22A337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1190" w:type="dxa"/>
            <w:tcBorders>
              <w:top w:val="single" w:color="auto" w:sz="10" w:space="0"/>
              <w:left w:val="single" w:color="auto" w:sz="10" w:space="0"/>
              <w:bottom w:val="single" w:color="auto" w:sz="10" w:space="0"/>
              <w:right w:val="single" w:color="auto" w:sz="10" w:space="0"/>
              <w:insideV w:val="single" w:sz="10" w:space="0"/>
            </w:tcBorders>
            <w:vAlign w:val="center"/>
          </w:tcPr>
          <w:p w14:paraId="0E3D657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r>
      <w:tr w14:paraId="2F3E81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69710B">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21A48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95768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13E2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228F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7F92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D67FE0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c>
          <w:tcPr>
            <w:tcW w:w="1190" w:type="dxa"/>
            <w:tcBorders>
              <w:top w:val="single" w:color="auto" w:sz="10" w:space="0"/>
              <w:left w:val="single" w:color="auto" w:sz="10" w:space="0"/>
              <w:bottom w:val="single" w:color="auto" w:sz="10" w:space="0"/>
              <w:right w:val="single" w:color="auto" w:sz="10" w:space="0"/>
              <w:insideV w:val="single" w:sz="10" w:space="0"/>
            </w:tcBorders>
            <w:vAlign w:val="center"/>
          </w:tcPr>
          <w:p w14:paraId="5E18C51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w:t>
            </w:r>
          </w:p>
        </w:tc>
      </w:tr>
      <w:tr w14:paraId="1DCB2BB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32EB0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CBF71E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D6405A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实际完成情况</w:t>
            </w:r>
          </w:p>
        </w:tc>
      </w:tr>
      <w:tr w14:paraId="60D91A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A16FC4">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32795AA">
            <w:pPr>
              <w:keepNext w:val="0"/>
              <w:keepLines w:val="0"/>
              <w:pageBreakBefore w:val="0"/>
              <w:widowControl w:val="0"/>
              <w:kinsoku/>
              <w:wordWrap/>
              <w:overflowPunct/>
              <w:topLinePunct w:val="0"/>
              <w:autoSpaceDE/>
              <w:autoSpaceDN/>
              <w:bidi w:val="0"/>
              <w:adjustRightInd/>
              <w:snapToGrid/>
              <w:spacing w:line="200" w:lineRule="exact"/>
              <w:ind w:firstLine="320" w:firstLineChars="200"/>
              <w:jc w:val="both"/>
              <w:textAlignment w:val="auto"/>
            </w:pPr>
            <w:r>
              <w:rPr>
                <w:rFonts w:ascii="宋体" w:hAnsi="宋体" w:eastAsia="宋体"/>
                <w:sz w:val="16"/>
              </w:rPr>
              <w:t>一、稳定南疆四地州乡村教师队伍，对南疆四地州乡村公办中小学、幼儿园专任教师发放生活补贴。本学年度下拨班主任津贴补助和保安工作补助共计5.76万元。2023年结转班主任津贴补助经费1.08万元，两笔资金合计6.84万元</w:t>
            </w:r>
            <w:r>
              <w:rPr>
                <w:rFonts w:hint="eastAsia" w:ascii="宋体" w:hAnsi="宋体"/>
                <w:sz w:val="16"/>
                <w:lang w:eastAsia="zh-CN"/>
              </w:rPr>
              <w:t>。</w:t>
            </w:r>
            <w:r>
              <w:rPr>
                <w:rFonts w:ascii="宋体" w:hAnsi="宋体" w:eastAsia="宋体"/>
                <w:sz w:val="16"/>
              </w:rPr>
              <w:t>二、实施义务教育阶段班主任津贴补助政策，提高班主任工作积极性，提高班级管理水平。按时发放本校20名班主任的津贴补助，激发他们的工作积极性，提高班级管理工作水平。三、为自治区本级和南疆四地州中小学和幼儿园配备</w:t>
            </w:r>
            <w:r>
              <w:rPr>
                <w:rFonts w:hint="eastAsia" w:ascii="宋体" w:hAnsi="宋体"/>
                <w:sz w:val="16"/>
                <w:lang w:eastAsia="zh-CN"/>
              </w:rPr>
              <w:t>人员</w:t>
            </w:r>
            <w:r>
              <w:rPr>
                <w:rFonts w:ascii="宋体" w:hAnsi="宋体" w:eastAsia="宋体"/>
                <w:sz w:val="16"/>
              </w:rPr>
              <w:t>给予工资补助，保证中小学和幼儿园校园安全稳定，保护师生生命财产安全。按时发放本校4名人员工资，提高他们的工作积极性，确保校园安全。</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9D0F84F">
            <w:pPr>
              <w:keepNext w:val="0"/>
              <w:keepLines w:val="0"/>
              <w:pageBreakBefore w:val="0"/>
              <w:widowControl w:val="0"/>
              <w:kinsoku/>
              <w:wordWrap/>
              <w:overflowPunct/>
              <w:topLinePunct w:val="0"/>
              <w:autoSpaceDE/>
              <w:autoSpaceDN/>
              <w:bidi w:val="0"/>
              <w:adjustRightInd/>
              <w:snapToGrid/>
              <w:spacing w:line="200" w:lineRule="exact"/>
              <w:ind w:firstLine="320" w:firstLineChars="200"/>
              <w:jc w:val="both"/>
              <w:textAlignment w:val="auto"/>
            </w:pPr>
            <w:r>
              <w:rPr>
                <w:rFonts w:hint="eastAsia" w:ascii="宋体" w:hAnsi="宋体"/>
                <w:sz w:val="16"/>
                <w:lang w:eastAsia="zh-CN"/>
              </w:rPr>
              <w:t>截至</w:t>
            </w:r>
            <w:r>
              <w:rPr>
                <w:rFonts w:ascii="宋体" w:hAnsi="宋体" w:eastAsia="宋体"/>
                <w:sz w:val="16"/>
              </w:rPr>
              <w:t>2024年12月31日，本项目实际形成支出6.48万元，已完成</w:t>
            </w:r>
            <w:r>
              <w:rPr>
                <w:rFonts w:hint="eastAsia" w:ascii="宋体" w:hAnsi="宋体"/>
                <w:sz w:val="16"/>
                <w:lang w:val="en-US" w:eastAsia="zh-CN"/>
              </w:rPr>
              <w:t>预期目标任务，</w:t>
            </w:r>
            <w:r>
              <w:rPr>
                <w:rFonts w:ascii="宋体" w:hAnsi="宋体" w:eastAsia="宋体"/>
                <w:sz w:val="16"/>
              </w:rPr>
              <w:t>发放班主任津贴补助班级数20</w:t>
            </w:r>
            <w:r>
              <w:rPr>
                <w:rFonts w:hint="eastAsia" w:ascii="宋体" w:hAnsi="宋体"/>
                <w:sz w:val="16"/>
                <w:lang w:val="en-US" w:eastAsia="zh-CN"/>
              </w:rPr>
              <w:t>个</w:t>
            </w:r>
            <w:r>
              <w:rPr>
                <w:rFonts w:ascii="宋体" w:hAnsi="宋体" w:eastAsia="宋体"/>
                <w:sz w:val="16"/>
              </w:rPr>
              <w:t>，受补助人数4人，达到了提高班主任工作积极性，提高班级管理水平的效益，受补助班主任满意度达到100%，受补助</w:t>
            </w:r>
            <w:r>
              <w:rPr>
                <w:rFonts w:hint="eastAsia" w:ascii="宋体" w:hAnsi="宋体"/>
                <w:sz w:val="16"/>
                <w:lang w:eastAsia="zh-CN"/>
              </w:rPr>
              <w:t>人员</w:t>
            </w:r>
            <w:r>
              <w:rPr>
                <w:rFonts w:ascii="宋体" w:hAnsi="宋体" w:eastAsia="宋体"/>
                <w:sz w:val="16"/>
              </w:rPr>
              <w:t>满意度达到100%。</w:t>
            </w:r>
          </w:p>
        </w:tc>
      </w:tr>
      <w:tr w14:paraId="3E36509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35C62DB">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B5D0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8EB4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B1ED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1FBDB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E381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10BD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分值</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4281EE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得分</w:t>
            </w:r>
          </w:p>
        </w:tc>
        <w:tc>
          <w:tcPr>
            <w:tcW w:w="1190" w:type="dxa"/>
            <w:tcBorders>
              <w:top w:val="single" w:color="auto" w:sz="10" w:space="0"/>
              <w:left w:val="single" w:color="auto" w:sz="10" w:space="0"/>
              <w:bottom w:val="single" w:color="auto" w:sz="10" w:space="0"/>
              <w:right w:val="single" w:color="auto" w:sz="10" w:space="0"/>
              <w:insideV w:val="single" w:sz="10" w:space="0"/>
            </w:tcBorders>
            <w:vAlign w:val="center"/>
          </w:tcPr>
          <w:p w14:paraId="2340AF2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偏差原因分析及改进措施</w:t>
            </w:r>
          </w:p>
        </w:tc>
      </w:tr>
      <w:tr w14:paraId="2B00D34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3F702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839F8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77E67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0E5E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班主任津贴补助班级数量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9C02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5170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=20人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495F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44B66F9">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1190" w:type="dxa"/>
            <w:tcBorders>
              <w:top w:val="single" w:color="auto" w:sz="10" w:space="0"/>
              <w:left w:val="single" w:color="auto" w:sz="10" w:space="0"/>
              <w:bottom w:val="single" w:color="auto" w:sz="10" w:space="0"/>
              <w:right w:val="single" w:color="auto" w:sz="10" w:space="0"/>
              <w:insideV w:val="single" w:sz="10" w:space="0"/>
            </w:tcBorders>
            <w:vAlign w:val="center"/>
          </w:tcPr>
          <w:p w14:paraId="05F988F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08587F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8B4EB0">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8E91FC">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9DED09">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FCAD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受补助保安人数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AC3B5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BD627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47E6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B59792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1190" w:type="dxa"/>
            <w:tcBorders>
              <w:top w:val="single" w:color="auto" w:sz="10" w:space="0"/>
              <w:left w:val="single" w:color="auto" w:sz="10" w:space="0"/>
              <w:bottom w:val="single" w:color="auto" w:sz="10" w:space="0"/>
              <w:right w:val="single" w:color="auto" w:sz="10" w:space="0"/>
              <w:insideV w:val="single" w:sz="10" w:space="0"/>
            </w:tcBorders>
            <w:vAlign w:val="center"/>
          </w:tcPr>
          <w:p w14:paraId="458088D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14E06C0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B65F87">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EF40E0">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9C5E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C8184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补助覆盖率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2E2E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27ED3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DD65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DE24B9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1190" w:type="dxa"/>
            <w:tcBorders>
              <w:top w:val="single" w:color="auto" w:sz="10" w:space="0"/>
              <w:left w:val="single" w:color="auto" w:sz="10" w:space="0"/>
              <w:bottom w:val="single" w:color="auto" w:sz="10" w:space="0"/>
              <w:right w:val="single" w:color="auto" w:sz="10" w:space="0"/>
              <w:insideV w:val="single" w:sz="10" w:space="0"/>
            </w:tcBorders>
            <w:vAlign w:val="center"/>
          </w:tcPr>
          <w:p w14:paraId="4608DDB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262A72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4561E9">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52B556">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DE5E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FD03E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1C28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C4854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5701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354984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1190" w:type="dxa"/>
            <w:tcBorders>
              <w:top w:val="single" w:color="auto" w:sz="10" w:space="0"/>
              <w:left w:val="single" w:color="auto" w:sz="10" w:space="0"/>
              <w:bottom w:val="single" w:color="auto" w:sz="10" w:space="0"/>
              <w:right w:val="single" w:color="auto" w:sz="10" w:space="0"/>
              <w:insideV w:val="single" w:sz="10" w:space="0"/>
            </w:tcBorders>
            <w:vAlign w:val="center"/>
          </w:tcPr>
          <w:p w14:paraId="537BD72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3BB1FC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84972E">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0D1B61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BE8C4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62B5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班主任津贴补助标准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9DDA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=1920元/人/年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2024D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=1740元/人/年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D2B5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BC02681">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7.66</w:t>
            </w:r>
          </w:p>
        </w:tc>
        <w:tc>
          <w:tcPr>
            <w:tcW w:w="1190" w:type="dxa"/>
            <w:tcBorders>
              <w:top w:val="single" w:color="auto" w:sz="10" w:space="0"/>
              <w:left w:val="single" w:color="auto" w:sz="10" w:space="0"/>
              <w:bottom w:val="single" w:color="auto" w:sz="10" w:space="0"/>
              <w:right w:val="single" w:color="auto" w:sz="10" w:space="0"/>
              <w:insideV w:val="single" w:sz="10" w:space="0"/>
            </w:tcBorders>
            <w:vAlign w:val="center"/>
          </w:tcPr>
          <w:p w14:paraId="775C64D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偏差原因：根据项目实际需求进行资金支付，形成结余，改进措施：提高绩效目标编制能力。</w:t>
            </w:r>
          </w:p>
        </w:tc>
      </w:tr>
      <w:tr w14:paraId="434EAE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98522E">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D4747F">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CDC6AF">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0AC7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工资补助标准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C760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=7500元/人/年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141AA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=7500元/人/年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220F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6A309D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w:t>
            </w:r>
          </w:p>
        </w:tc>
        <w:tc>
          <w:tcPr>
            <w:tcW w:w="1190" w:type="dxa"/>
            <w:tcBorders>
              <w:top w:val="single" w:color="auto" w:sz="10" w:space="0"/>
              <w:left w:val="single" w:color="auto" w:sz="10" w:space="0"/>
              <w:bottom w:val="single" w:color="auto" w:sz="10" w:space="0"/>
              <w:right w:val="single" w:color="auto" w:sz="10" w:space="0"/>
              <w:insideV w:val="single" w:sz="10" w:space="0"/>
            </w:tcBorders>
            <w:vAlign w:val="center"/>
          </w:tcPr>
          <w:p w14:paraId="256FC15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0E2C03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2CC72A">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5385D5">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DBC87">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89F6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班主任工作积极性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8139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58C4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142F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7F9C9FE">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20</w:t>
            </w:r>
          </w:p>
        </w:tc>
        <w:tc>
          <w:tcPr>
            <w:tcW w:w="1190" w:type="dxa"/>
            <w:tcBorders>
              <w:top w:val="single" w:color="auto" w:sz="10" w:space="0"/>
              <w:left w:val="single" w:color="auto" w:sz="10" w:space="0"/>
              <w:bottom w:val="single" w:color="auto" w:sz="10" w:space="0"/>
              <w:right w:val="single" w:color="auto" w:sz="10" w:space="0"/>
              <w:insideV w:val="single" w:sz="10" w:space="0"/>
            </w:tcBorders>
            <w:vAlign w:val="center"/>
          </w:tcPr>
          <w:p w14:paraId="2DE039C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7DC775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B02087">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EDA0F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满意度指标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004C9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00955D">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受补助班主任满意度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B99BA">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61E5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9FC5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7251EAB">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5</w:t>
            </w:r>
          </w:p>
        </w:tc>
        <w:tc>
          <w:tcPr>
            <w:tcW w:w="1190" w:type="dxa"/>
            <w:tcBorders>
              <w:top w:val="single" w:color="auto" w:sz="10" w:space="0"/>
              <w:left w:val="single" w:color="auto" w:sz="10" w:space="0"/>
              <w:bottom w:val="single" w:color="auto" w:sz="10" w:space="0"/>
              <w:right w:val="single" w:color="auto" w:sz="10" w:space="0"/>
              <w:insideV w:val="single" w:sz="10" w:space="0"/>
            </w:tcBorders>
            <w:vAlign w:val="center"/>
          </w:tcPr>
          <w:p w14:paraId="119C8E0C">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31983279">
        <w:tblPrEx>
          <w:tblCellMar>
            <w:top w:w="0" w:type="dxa"/>
            <w:left w:w="108" w:type="dxa"/>
            <w:bottom w:w="0" w:type="dxa"/>
            <w:right w:w="108" w:type="dxa"/>
          </w:tblCellMar>
        </w:tblPrEx>
        <w:trPr>
          <w:trHeight w:val="342"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FE4FAD">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BE8CBF">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D3EC95">
            <w:pPr>
              <w:keepNext w:val="0"/>
              <w:keepLines w:val="0"/>
              <w:pageBreakBefore w:val="0"/>
              <w:widowControl w:val="0"/>
              <w:kinsoku/>
              <w:wordWrap/>
              <w:overflowPunct/>
              <w:topLinePunct w:val="0"/>
              <w:autoSpaceDE/>
              <w:autoSpaceDN/>
              <w:bidi w:val="0"/>
              <w:adjustRightInd/>
              <w:snapToGrid/>
              <w:spacing w:line="200" w:lineRule="exact"/>
              <w:textAlignment w:val="auto"/>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9F19C6">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受补助保安满意度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DCC30">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7B7774">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875B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5</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21FD56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5</w:t>
            </w:r>
          </w:p>
        </w:tc>
        <w:tc>
          <w:tcPr>
            <w:tcW w:w="1190" w:type="dxa"/>
            <w:tcBorders>
              <w:top w:val="single" w:color="auto" w:sz="10" w:space="0"/>
              <w:left w:val="single" w:color="auto" w:sz="10" w:space="0"/>
              <w:bottom w:val="single" w:color="auto" w:sz="10" w:space="0"/>
              <w:right w:val="single" w:color="auto" w:sz="10" w:space="0"/>
              <w:insideV w:val="single" w:sz="10" w:space="0"/>
            </w:tcBorders>
            <w:vAlign w:val="center"/>
          </w:tcPr>
          <w:p w14:paraId="5DB37942">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p>
        </w:tc>
      </w:tr>
      <w:tr w14:paraId="0F8B965C">
        <w:tblPrEx>
          <w:tblCellMar>
            <w:top w:w="0" w:type="dxa"/>
            <w:left w:w="108" w:type="dxa"/>
            <w:bottom w:w="0" w:type="dxa"/>
            <w:right w:w="108" w:type="dxa"/>
          </w:tblCellMar>
        </w:tblPrEx>
        <w:trPr>
          <w:trHeight w:val="312" w:hRule="atLeast"/>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F81E5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A343613">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C3A18">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DCC86DF">
            <w:pPr>
              <w:keepNext w:val="0"/>
              <w:keepLines w:val="0"/>
              <w:pageBreakBefore w:val="0"/>
              <w:widowControl w:val="0"/>
              <w:kinsoku/>
              <w:wordWrap/>
              <w:overflowPunct/>
              <w:topLinePunct w:val="0"/>
              <w:autoSpaceDE/>
              <w:autoSpaceDN/>
              <w:bidi w:val="0"/>
              <w:adjustRightInd/>
              <w:snapToGrid/>
              <w:spacing w:line="200" w:lineRule="exact"/>
              <w:jc w:val="center"/>
              <w:textAlignment w:val="auto"/>
            </w:pPr>
            <w:r>
              <w:rPr>
                <w:rFonts w:ascii="宋体" w:hAnsi="宋体" w:eastAsia="宋体"/>
                <w:sz w:val="16"/>
              </w:rPr>
              <w:t>96.34分</w:t>
            </w:r>
          </w:p>
        </w:tc>
      </w:tr>
    </w:tbl>
    <w:p w14:paraId="1AA00C84">
      <w:pPr>
        <w:keepNext w:val="0"/>
        <w:keepLines w:val="0"/>
        <w:pageBreakBefore w:val="0"/>
        <w:widowControl w:val="0"/>
        <w:kinsoku/>
        <w:wordWrap/>
        <w:overflowPunct/>
        <w:topLinePunct w:val="0"/>
        <w:autoSpaceDE/>
        <w:autoSpaceDN/>
        <w:bidi w:val="0"/>
        <w:adjustRightInd/>
        <w:snapToGrid/>
        <w:spacing w:line="560" w:lineRule="exact"/>
        <w:textAlignment w:val="auto"/>
      </w:pPr>
      <w:r>
        <w:br w:type="page"/>
      </w:r>
    </w:p>
    <w:p w14:paraId="6AFA2959">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outlineLvl w:val="2"/>
      </w:pPr>
      <w:r>
        <w:rPr>
          <w:rFonts w:ascii="黑体" w:hAnsi="黑体" w:eastAsia="黑体"/>
          <w:sz w:val="32"/>
        </w:rPr>
        <w:t>十二、其他需说明的事项</w:t>
      </w:r>
    </w:p>
    <w:p w14:paraId="78EDFE6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本</w:t>
      </w:r>
      <w:r>
        <w:rPr>
          <w:rFonts w:hint="eastAsia" w:ascii="仿宋_GB2312" w:hAnsi="仿宋_GB2312" w:eastAsia="仿宋_GB2312"/>
          <w:b w:val="0"/>
          <w:sz w:val="32"/>
          <w:lang w:val="en-US" w:eastAsia="zh-CN"/>
        </w:rPr>
        <w:t>校</w:t>
      </w:r>
      <w:r>
        <w:rPr>
          <w:rFonts w:ascii="仿宋_GB2312" w:hAnsi="仿宋_GB2312" w:eastAsia="仿宋_GB2312"/>
          <w:b w:val="0"/>
          <w:sz w:val="32"/>
        </w:rPr>
        <w:t>无其他需说明的事项。</w:t>
      </w:r>
    </w:p>
    <w:p w14:paraId="20F53123">
      <w:pPr>
        <w:keepNext w:val="0"/>
        <w:keepLines w:val="0"/>
        <w:pageBreakBefore w:val="0"/>
        <w:widowControl w:val="0"/>
        <w:kinsoku/>
        <w:wordWrap/>
        <w:overflowPunct/>
        <w:topLinePunct w:val="0"/>
        <w:autoSpaceDE/>
        <w:autoSpaceDN/>
        <w:bidi w:val="0"/>
        <w:adjustRightInd/>
        <w:snapToGrid/>
        <w:spacing w:line="560" w:lineRule="exact"/>
        <w:textAlignment w:val="auto"/>
      </w:pPr>
      <w:r>
        <w:br w:type="page"/>
      </w:r>
    </w:p>
    <w:p w14:paraId="765E069F">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1"/>
      </w:pPr>
      <w:r>
        <w:rPr>
          <w:rFonts w:ascii="黑体" w:hAnsi="黑体" w:eastAsia="黑体"/>
          <w:sz w:val="32"/>
        </w:rPr>
        <w:t>第三部分 专业名词解释</w:t>
      </w:r>
    </w:p>
    <w:p w14:paraId="1A41E22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496C697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88FA1F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21ACB25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1B8A82E6">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F5B4B9A">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720A67F">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5B0D79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03D98A66">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7448D91">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6F03FA5">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6BF95BCD">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777F81E9">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722484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42DFCE58">
      <w:pPr>
        <w:keepNext w:val="0"/>
        <w:keepLines w:val="0"/>
        <w:pageBreakBefore w:val="0"/>
        <w:widowControl w:val="0"/>
        <w:kinsoku/>
        <w:wordWrap/>
        <w:overflowPunct/>
        <w:topLinePunct w:val="0"/>
        <w:autoSpaceDE/>
        <w:autoSpaceDN/>
        <w:bidi w:val="0"/>
        <w:adjustRightInd/>
        <w:snapToGrid/>
        <w:spacing w:line="560" w:lineRule="exact"/>
        <w:textAlignment w:val="auto"/>
      </w:pPr>
      <w:r>
        <w:br w:type="page"/>
      </w:r>
    </w:p>
    <w:p w14:paraId="5A1D2133">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1"/>
      </w:pPr>
      <w:r>
        <w:rPr>
          <w:rFonts w:ascii="黑体" w:hAnsi="黑体" w:eastAsia="黑体"/>
          <w:sz w:val="32"/>
        </w:rPr>
        <w:t>第四部分 部门决算报表（见附表）</w:t>
      </w:r>
    </w:p>
    <w:p w14:paraId="64A8179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一、《收入支出决算总表》</w:t>
      </w:r>
    </w:p>
    <w:p w14:paraId="2DC1DE34">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二、《收入决算表》</w:t>
      </w:r>
    </w:p>
    <w:p w14:paraId="79F02BEA">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三、《支出决算表》</w:t>
      </w:r>
    </w:p>
    <w:p w14:paraId="6824F0E8">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四、《财政拨款收入支出决算总表》</w:t>
      </w:r>
    </w:p>
    <w:p w14:paraId="328B2A11">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五、《一般公共预算财政拨款支出决算表》</w:t>
      </w:r>
    </w:p>
    <w:p w14:paraId="09F07546">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六、《一般公共预算财政拨款基本支出决算表》</w:t>
      </w:r>
    </w:p>
    <w:p w14:paraId="55799271">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七、《政府性基金预算财政拨款收入支出决算表》</w:t>
      </w:r>
    </w:p>
    <w:p w14:paraId="76B988F5">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八、《国有资本经营预算财政拨款收入支出决算表》</w:t>
      </w:r>
    </w:p>
    <w:p w14:paraId="240BA34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r>
        <w:rPr>
          <w:rFonts w:ascii="仿宋_GB2312" w:hAnsi="仿宋_GB2312" w:eastAsia="仿宋_GB2312"/>
          <w:b w:val="0"/>
          <w:sz w:val="32"/>
        </w:rPr>
        <w:t>九、《财政拨款“三公”经费支出决算表》</w:t>
      </w:r>
    </w:p>
    <w:p w14:paraId="249E02DB">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p>
    <w:p w14:paraId="53EE384C">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p>
    <w:p w14:paraId="0E66BB7E">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p>
    <w:p w14:paraId="3355469D">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p>
    <w:p w14:paraId="33590932">
      <w:pPr>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pPr>
      <w:bookmarkStart w:id="0" w:name="_GoBack"/>
      <w:bookmarkEnd w:id="0"/>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0760109"/>
    <w:rsid w:val="008322BB"/>
    <w:rsid w:val="010F7FF3"/>
    <w:rsid w:val="021B7195"/>
    <w:rsid w:val="0237612B"/>
    <w:rsid w:val="02F73D26"/>
    <w:rsid w:val="034D4FEF"/>
    <w:rsid w:val="04282189"/>
    <w:rsid w:val="043E5B56"/>
    <w:rsid w:val="04F96681"/>
    <w:rsid w:val="04FE63B4"/>
    <w:rsid w:val="064E247C"/>
    <w:rsid w:val="06792773"/>
    <w:rsid w:val="067B3A34"/>
    <w:rsid w:val="06F51A39"/>
    <w:rsid w:val="09297778"/>
    <w:rsid w:val="09A729D8"/>
    <w:rsid w:val="0A3C58E8"/>
    <w:rsid w:val="0A7B4867"/>
    <w:rsid w:val="0AA7129C"/>
    <w:rsid w:val="0B8C3ECC"/>
    <w:rsid w:val="0C234952"/>
    <w:rsid w:val="0C2F32F7"/>
    <w:rsid w:val="0C3613A3"/>
    <w:rsid w:val="0C7227A7"/>
    <w:rsid w:val="0C8B27FC"/>
    <w:rsid w:val="0DCA6EF7"/>
    <w:rsid w:val="0DD42148"/>
    <w:rsid w:val="0E1B7515"/>
    <w:rsid w:val="0E4B1576"/>
    <w:rsid w:val="0EA04331"/>
    <w:rsid w:val="0F8C0A60"/>
    <w:rsid w:val="0F9811B3"/>
    <w:rsid w:val="11537A4B"/>
    <w:rsid w:val="11E15093"/>
    <w:rsid w:val="11F13323"/>
    <w:rsid w:val="120E0809"/>
    <w:rsid w:val="127E28E2"/>
    <w:rsid w:val="12D1335A"/>
    <w:rsid w:val="13967F39"/>
    <w:rsid w:val="147541B9"/>
    <w:rsid w:val="14856D4C"/>
    <w:rsid w:val="15325C06"/>
    <w:rsid w:val="15472254"/>
    <w:rsid w:val="15673B02"/>
    <w:rsid w:val="16EA49EA"/>
    <w:rsid w:val="18A706B9"/>
    <w:rsid w:val="19071D6C"/>
    <w:rsid w:val="19533BA4"/>
    <w:rsid w:val="19801636"/>
    <w:rsid w:val="19B5554D"/>
    <w:rsid w:val="19FA7173"/>
    <w:rsid w:val="1B8F2D19"/>
    <w:rsid w:val="1BDE2644"/>
    <w:rsid w:val="1C317E4F"/>
    <w:rsid w:val="1C472464"/>
    <w:rsid w:val="1DAF458D"/>
    <w:rsid w:val="1DC06BCA"/>
    <w:rsid w:val="1E0345E3"/>
    <w:rsid w:val="1E086ACE"/>
    <w:rsid w:val="1E4B5CA5"/>
    <w:rsid w:val="1E83106D"/>
    <w:rsid w:val="1EAA4A5F"/>
    <w:rsid w:val="1F464788"/>
    <w:rsid w:val="1F587A0B"/>
    <w:rsid w:val="20146634"/>
    <w:rsid w:val="20542ED4"/>
    <w:rsid w:val="2064678E"/>
    <w:rsid w:val="20BC0B75"/>
    <w:rsid w:val="20DD6197"/>
    <w:rsid w:val="21AB33D9"/>
    <w:rsid w:val="21F317F2"/>
    <w:rsid w:val="2241392C"/>
    <w:rsid w:val="23BC04D2"/>
    <w:rsid w:val="24212E47"/>
    <w:rsid w:val="24DC38FD"/>
    <w:rsid w:val="25275618"/>
    <w:rsid w:val="254A0D4A"/>
    <w:rsid w:val="266A16A4"/>
    <w:rsid w:val="27CE017C"/>
    <w:rsid w:val="27CF2642"/>
    <w:rsid w:val="282459E2"/>
    <w:rsid w:val="2849353B"/>
    <w:rsid w:val="28700AC7"/>
    <w:rsid w:val="28C25E2C"/>
    <w:rsid w:val="28E05C4D"/>
    <w:rsid w:val="29116777"/>
    <w:rsid w:val="297C2079"/>
    <w:rsid w:val="2A053397"/>
    <w:rsid w:val="2A444FB1"/>
    <w:rsid w:val="2A6064E2"/>
    <w:rsid w:val="2B5E554F"/>
    <w:rsid w:val="2C1965E9"/>
    <w:rsid w:val="2D1136DF"/>
    <w:rsid w:val="2D344D56"/>
    <w:rsid w:val="2DAE0E44"/>
    <w:rsid w:val="2DCF5C3C"/>
    <w:rsid w:val="2EB55486"/>
    <w:rsid w:val="2FC811E9"/>
    <w:rsid w:val="2FD27414"/>
    <w:rsid w:val="313F1D52"/>
    <w:rsid w:val="318029AB"/>
    <w:rsid w:val="31C63837"/>
    <w:rsid w:val="322F554F"/>
    <w:rsid w:val="326F0A17"/>
    <w:rsid w:val="3277581B"/>
    <w:rsid w:val="333D5A4A"/>
    <w:rsid w:val="33977850"/>
    <w:rsid w:val="33AF6948"/>
    <w:rsid w:val="340864AC"/>
    <w:rsid w:val="3440342E"/>
    <w:rsid w:val="34FF56AD"/>
    <w:rsid w:val="35B32D74"/>
    <w:rsid w:val="35F57869"/>
    <w:rsid w:val="363E3FB3"/>
    <w:rsid w:val="365612FD"/>
    <w:rsid w:val="36603F29"/>
    <w:rsid w:val="36CA2947"/>
    <w:rsid w:val="376A10DC"/>
    <w:rsid w:val="38006E2C"/>
    <w:rsid w:val="381059C0"/>
    <w:rsid w:val="38480F57"/>
    <w:rsid w:val="38C53E3C"/>
    <w:rsid w:val="3914510A"/>
    <w:rsid w:val="39EB38E0"/>
    <w:rsid w:val="3A184B1B"/>
    <w:rsid w:val="3A23599A"/>
    <w:rsid w:val="3B1220C9"/>
    <w:rsid w:val="3C0161AE"/>
    <w:rsid w:val="3CB90837"/>
    <w:rsid w:val="3D5275AC"/>
    <w:rsid w:val="3D944E21"/>
    <w:rsid w:val="3EA7725F"/>
    <w:rsid w:val="3EC014A1"/>
    <w:rsid w:val="40834692"/>
    <w:rsid w:val="40C17CBA"/>
    <w:rsid w:val="41100491"/>
    <w:rsid w:val="423A32B2"/>
    <w:rsid w:val="423C0CB4"/>
    <w:rsid w:val="427B5743"/>
    <w:rsid w:val="42BA0A41"/>
    <w:rsid w:val="42E64542"/>
    <w:rsid w:val="43191C08"/>
    <w:rsid w:val="43212240"/>
    <w:rsid w:val="443133A9"/>
    <w:rsid w:val="44F369B3"/>
    <w:rsid w:val="44FC0160"/>
    <w:rsid w:val="453E5D7D"/>
    <w:rsid w:val="464B7E04"/>
    <w:rsid w:val="464F7E64"/>
    <w:rsid w:val="46901EEE"/>
    <w:rsid w:val="469C74D2"/>
    <w:rsid w:val="472017B7"/>
    <w:rsid w:val="47445515"/>
    <w:rsid w:val="491465B8"/>
    <w:rsid w:val="49871994"/>
    <w:rsid w:val="4A17094B"/>
    <w:rsid w:val="4A1E617D"/>
    <w:rsid w:val="4A444C37"/>
    <w:rsid w:val="4AEF102F"/>
    <w:rsid w:val="4B4C0111"/>
    <w:rsid w:val="4B925CCE"/>
    <w:rsid w:val="4BB23021"/>
    <w:rsid w:val="4BE301F3"/>
    <w:rsid w:val="4CAA3CF8"/>
    <w:rsid w:val="4EF63225"/>
    <w:rsid w:val="4F3F074E"/>
    <w:rsid w:val="4FFA6D45"/>
    <w:rsid w:val="5038538A"/>
    <w:rsid w:val="505B2102"/>
    <w:rsid w:val="50DB5F45"/>
    <w:rsid w:val="50E81293"/>
    <w:rsid w:val="512C73D2"/>
    <w:rsid w:val="52F92565"/>
    <w:rsid w:val="52FD1026"/>
    <w:rsid w:val="53871009"/>
    <w:rsid w:val="53DB0C3B"/>
    <w:rsid w:val="543D17CB"/>
    <w:rsid w:val="55DA564E"/>
    <w:rsid w:val="56156687"/>
    <w:rsid w:val="56E07045"/>
    <w:rsid w:val="580B5B6B"/>
    <w:rsid w:val="583059FA"/>
    <w:rsid w:val="587E6212"/>
    <w:rsid w:val="5A9B1124"/>
    <w:rsid w:val="5AFC6609"/>
    <w:rsid w:val="5CE84AF5"/>
    <w:rsid w:val="5D2A3F17"/>
    <w:rsid w:val="5D7719D5"/>
    <w:rsid w:val="5E127950"/>
    <w:rsid w:val="5F011E9E"/>
    <w:rsid w:val="5FA17648"/>
    <w:rsid w:val="5FD320BD"/>
    <w:rsid w:val="5FD749AD"/>
    <w:rsid w:val="5FDB26EF"/>
    <w:rsid w:val="5FE84E0C"/>
    <w:rsid w:val="5FEB66AA"/>
    <w:rsid w:val="60563B24"/>
    <w:rsid w:val="606F4BE5"/>
    <w:rsid w:val="60DE4D57"/>
    <w:rsid w:val="610A51FE"/>
    <w:rsid w:val="613409CB"/>
    <w:rsid w:val="615D7134"/>
    <w:rsid w:val="61A46A97"/>
    <w:rsid w:val="62DD7D21"/>
    <w:rsid w:val="63FFF1DD"/>
    <w:rsid w:val="646A2293"/>
    <w:rsid w:val="64AD2AA7"/>
    <w:rsid w:val="65D97752"/>
    <w:rsid w:val="664C500C"/>
    <w:rsid w:val="67D111AB"/>
    <w:rsid w:val="68AF64C7"/>
    <w:rsid w:val="68DB0208"/>
    <w:rsid w:val="68DF36D5"/>
    <w:rsid w:val="69846A0E"/>
    <w:rsid w:val="69AD798C"/>
    <w:rsid w:val="69F820EF"/>
    <w:rsid w:val="6A2151A2"/>
    <w:rsid w:val="6A356EA0"/>
    <w:rsid w:val="6A425119"/>
    <w:rsid w:val="6A776937"/>
    <w:rsid w:val="6B68175F"/>
    <w:rsid w:val="6B777044"/>
    <w:rsid w:val="6B8B5C99"/>
    <w:rsid w:val="6C7539D8"/>
    <w:rsid w:val="6C8D2D9D"/>
    <w:rsid w:val="6CA7198F"/>
    <w:rsid w:val="6D8919A8"/>
    <w:rsid w:val="6E0F7A08"/>
    <w:rsid w:val="6E801ABC"/>
    <w:rsid w:val="6E8D7B9E"/>
    <w:rsid w:val="6F014450"/>
    <w:rsid w:val="70740EF5"/>
    <w:rsid w:val="70E1568B"/>
    <w:rsid w:val="70FF32DE"/>
    <w:rsid w:val="71317C43"/>
    <w:rsid w:val="71473612"/>
    <w:rsid w:val="717D5F56"/>
    <w:rsid w:val="718F7F65"/>
    <w:rsid w:val="71C84BCE"/>
    <w:rsid w:val="71E76CD1"/>
    <w:rsid w:val="725D3437"/>
    <w:rsid w:val="73423603"/>
    <w:rsid w:val="737A5923"/>
    <w:rsid w:val="73DE4104"/>
    <w:rsid w:val="73FB6630"/>
    <w:rsid w:val="741E2752"/>
    <w:rsid w:val="74361409"/>
    <w:rsid w:val="74895727"/>
    <w:rsid w:val="74CE04EC"/>
    <w:rsid w:val="74E76DCD"/>
    <w:rsid w:val="760B6DB2"/>
    <w:rsid w:val="76660D7C"/>
    <w:rsid w:val="7688680E"/>
    <w:rsid w:val="76D57A40"/>
    <w:rsid w:val="7725204A"/>
    <w:rsid w:val="77472401"/>
    <w:rsid w:val="774C75D7"/>
    <w:rsid w:val="77550B81"/>
    <w:rsid w:val="77843214"/>
    <w:rsid w:val="77E617D9"/>
    <w:rsid w:val="77EB7DB5"/>
    <w:rsid w:val="77ED6F44"/>
    <w:rsid w:val="78A57244"/>
    <w:rsid w:val="79554E68"/>
    <w:rsid w:val="795A0A34"/>
    <w:rsid w:val="799C4845"/>
    <w:rsid w:val="79BC0F66"/>
    <w:rsid w:val="7A0D3BC7"/>
    <w:rsid w:val="7A3A3CDB"/>
    <w:rsid w:val="7AA410DE"/>
    <w:rsid w:val="7BAE2FFF"/>
    <w:rsid w:val="7D63567A"/>
    <w:rsid w:val="7E36681D"/>
    <w:rsid w:val="7EB02B41"/>
    <w:rsid w:val="7EC541DE"/>
    <w:rsid w:val="7F25708B"/>
    <w:rsid w:val="7F9F6E3D"/>
    <w:rsid w:val="7FBF303C"/>
    <w:rsid w:val="F9AF612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26</Pages>
  <Words>5209</Words>
  <Characters>5903</Characters>
  <Lines>0</Lines>
  <Paragraphs>0</Paragraphs>
  <TotalTime>8</TotalTime>
  <ScaleCrop>false</ScaleCrop>
  <LinksUpToDate>false</LinksUpToDate>
  <CharactersWithSpaces>5911</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2014-10-30T04:08:00Z</dcterms:created>
  <dc:creator>GXR</dc:creator>
  <cp:lastModifiedBy>sugon</cp:lastModifiedBy>
  <cp:lastPrinted>2025-10-20T10:26:07Z</cp:lastPrinted>
  <dcterms:modified xsi:type="dcterms:W3CDTF">2025-10-20T10:26:18Z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B1379F86079344028A52AD2373159A5C_13</vt:lpwstr>
  </property>
  <property fmtid="{D5CDD505-2E9C-101B-9397-08002B2CF9AE}" pid="4" name="KSOTemplateDocerSaveRecord">
    <vt:lpwstr>eyJoZGlkIjoiNjQ3MzQ5YmI5NzY3OWI0OWMyMTQ3ZDRiYzI2N2VkOTkiLCJ1c2VySWQiOiIzNzQzMDkyNDMifQ==</vt:lpwstr>
  </property>
</Properties>
</file>