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43E8D"/>
    <w:p w14:paraId="6399426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DC3098C">
      <w:pPr>
        <w:spacing w:line="540" w:lineRule="exact"/>
        <w:jc w:val="center"/>
        <w:rPr>
          <w:rFonts w:ascii="华文中宋" w:hAnsi="华文中宋" w:eastAsia="华文中宋" w:cs="宋体"/>
          <w:b/>
          <w:kern w:val="0"/>
          <w:sz w:val="52"/>
          <w:szCs w:val="52"/>
        </w:rPr>
      </w:pPr>
    </w:p>
    <w:p w14:paraId="2422E777">
      <w:pPr>
        <w:spacing w:line="540" w:lineRule="exact"/>
        <w:jc w:val="center"/>
        <w:rPr>
          <w:rFonts w:ascii="华文中宋" w:hAnsi="华文中宋" w:eastAsia="华文中宋" w:cs="宋体"/>
          <w:b/>
          <w:kern w:val="0"/>
          <w:sz w:val="52"/>
          <w:szCs w:val="52"/>
        </w:rPr>
      </w:pPr>
    </w:p>
    <w:p w14:paraId="26D7D91F">
      <w:pPr>
        <w:spacing w:line="540" w:lineRule="exact"/>
        <w:jc w:val="center"/>
        <w:rPr>
          <w:rFonts w:ascii="华文中宋" w:hAnsi="华文中宋" w:eastAsia="华文中宋" w:cs="宋体"/>
          <w:b/>
          <w:kern w:val="0"/>
          <w:sz w:val="52"/>
          <w:szCs w:val="52"/>
        </w:rPr>
      </w:pPr>
    </w:p>
    <w:p w14:paraId="6D4A5794">
      <w:pPr>
        <w:spacing w:line="540" w:lineRule="exact"/>
        <w:jc w:val="center"/>
        <w:rPr>
          <w:rFonts w:ascii="华文中宋" w:hAnsi="华文中宋" w:eastAsia="华文中宋" w:cs="宋体"/>
          <w:b/>
          <w:kern w:val="0"/>
          <w:sz w:val="52"/>
          <w:szCs w:val="52"/>
        </w:rPr>
      </w:pPr>
    </w:p>
    <w:p w14:paraId="43AD4414">
      <w:pPr>
        <w:spacing w:line="540" w:lineRule="exact"/>
        <w:jc w:val="center"/>
        <w:rPr>
          <w:rFonts w:ascii="华文中宋" w:hAnsi="华文中宋" w:eastAsia="华文中宋" w:cs="宋体"/>
          <w:b/>
          <w:kern w:val="0"/>
          <w:sz w:val="52"/>
          <w:szCs w:val="52"/>
        </w:rPr>
      </w:pPr>
    </w:p>
    <w:p w14:paraId="775A0CAD">
      <w:pPr>
        <w:spacing w:line="540" w:lineRule="exact"/>
        <w:jc w:val="center"/>
        <w:rPr>
          <w:rFonts w:ascii="华文中宋" w:hAnsi="华文中宋" w:eastAsia="华文中宋" w:cs="宋体"/>
          <w:b/>
          <w:kern w:val="0"/>
          <w:sz w:val="52"/>
          <w:szCs w:val="52"/>
        </w:rPr>
      </w:pPr>
    </w:p>
    <w:p w14:paraId="1056F05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4C6B66F">
      <w:pPr>
        <w:spacing w:line="540" w:lineRule="exact"/>
        <w:jc w:val="center"/>
        <w:rPr>
          <w:rFonts w:ascii="华文中宋" w:hAnsi="华文中宋" w:eastAsia="华文中宋" w:cs="宋体"/>
          <w:b/>
          <w:kern w:val="0"/>
          <w:sz w:val="52"/>
          <w:szCs w:val="52"/>
        </w:rPr>
      </w:pPr>
    </w:p>
    <w:p w14:paraId="4BB8781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2024</w:t>
      </w:r>
      <w:r>
        <w:rPr>
          <w:rFonts w:hint="eastAsia" w:hAnsi="宋体" w:eastAsia="仿宋_GB2312" w:cs="宋体"/>
          <w:kern w:val="0"/>
          <w:sz w:val="36"/>
          <w:szCs w:val="36"/>
        </w:rPr>
        <w:t>年度）</w:t>
      </w:r>
    </w:p>
    <w:p w14:paraId="2C18F8C8">
      <w:pPr>
        <w:spacing w:line="540" w:lineRule="exact"/>
        <w:jc w:val="center"/>
        <w:rPr>
          <w:rFonts w:hAnsi="宋体" w:eastAsia="仿宋_GB2312" w:cs="宋体"/>
          <w:kern w:val="0"/>
          <w:sz w:val="30"/>
          <w:szCs w:val="30"/>
        </w:rPr>
      </w:pPr>
    </w:p>
    <w:p w14:paraId="22CE3261">
      <w:pPr>
        <w:spacing w:line="540" w:lineRule="exact"/>
        <w:jc w:val="center"/>
        <w:rPr>
          <w:rFonts w:hAnsi="宋体" w:eastAsia="仿宋_GB2312" w:cs="宋体"/>
          <w:kern w:val="0"/>
          <w:sz w:val="30"/>
          <w:szCs w:val="30"/>
        </w:rPr>
      </w:pPr>
    </w:p>
    <w:p w14:paraId="7452FFBE">
      <w:pPr>
        <w:spacing w:line="540" w:lineRule="exact"/>
        <w:jc w:val="center"/>
        <w:rPr>
          <w:rFonts w:hAnsi="宋体" w:eastAsia="仿宋_GB2312" w:cs="宋体"/>
          <w:kern w:val="0"/>
          <w:sz w:val="30"/>
          <w:szCs w:val="30"/>
        </w:rPr>
      </w:pPr>
    </w:p>
    <w:p w14:paraId="36C65690">
      <w:pPr>
        <w:spacing w:line="540" w:lineRule="exact"/>
        <w:jc w:val="center"/>
        <w:rPr>
          <w:rFonts w:hAnsi="宋体" w:eastAsia="仿宋_GB2312" w:cs="宋体"/>
          <w:kern w:val="0"/>
          <w:sz w:val="30"/>
          <w:szCs w:val="30"/>
        </w:rPr>
      </w:pPr>
    </w:p>
    <w:p w14:paraId="10B44A95">
      <w:pPr>
        <w:spacing w:line="540" w:lineRule="exact"/>
        <w:jc w:val="center"/>
        <w:rPr>
          <w:rFonts w:hAnsi="宋体" w:eastAsia="仿宋_GB2312" w:cs="宋体"/>
          <w:kern w:val="0"/>
          <w:sz w:val="30"/>
          <w:szCs w:val="30"/>
        </w:rPr>
      </w:pPr>
    </w:p>
    <w:p w14:paraId="6B849DC2">
      <w:pPr>
        <w:spacing w:line="540" w:lineRule="exact"/>
        <w:jc w:val="center"/>
        <w:rPr>
          <w:rFonts w:hAnsi="宋体" w:eastAsia="仿宋_GB2312" w:cs="宋体"/>
          <w:kern w:val="0"/>
          <w:sz w:val="30"/>
          <w:szCs w:val="30"/>
        </w:rPr>
      </w:pPr>
    </w:p>
    <w:p w14:paraId="4C9201CF">
      <w:pPr>
        <w:spacing w:line="540" w:lineRule="exact"/>
        <w:rPr>
          <w:rFonts w:hAnsi="宋体" w:eastAsia="仿宋_GB2312" w:cs="宋体"/>
          <w:kern w:val="0"/>
          <w:sz w:val="30"/>
          <w:szCs w:val="30"/>
        </w:rPr>
      </w:pPr>
    </w:p>
    <w:p w14:paraId="0A47705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8C6DF3C">
      <w:pPr>
        <w:spacing w:line="700" w:lineRule="exact"/>
        <w:ind w:left="1600" w:hanging="1600" w:hangingChars="500"/>
        <w:jc w:val="left"/>
        <w:rPr>
          <w:rStyle w:val="19"/>
          <w:rFonts w:hint="eastAsia" w:ascii="楷体" w:hAnsi="楷体" w:eastAsia="楷体"/>
          <w:spacing w:val="-4"/>
          <w:sz w:val="28"/>
          <w:szCs w:val="28"/>
        </w:rPr>
      </w:pPr>
      <w:r>
        <w:rPr>
          <w:rFonts w:hint="eastAsia" w:ascii="仿宋_GB2312" w:hAnsi="仿宋_GB2312" w:eastAsia="仿宋_GB2312" w:cs="仿宋_GB2312"/>
          <w:kern w:val="0"/>
          <w:sz w:val="32"/>
          <w:szCs w:val="32"/>
          <w:highlight w:val="none"/>
        </w:rPr>
        <w:t>项目名称</w:t>
      </w:r>
      <w:r>
        <w:rPr>
          <w:rFonts w:hint="eastAsia" w:hAnsi="宋体" w:eastAsia="仿宋_GB2312" w:cs="宋体"/>
          <w:kern w:val="0"/>
          <w:sz w:val="36"/>
          <w:szCs w:val="36"/>
        </w:rPr>
        <w:t>：</w:t>
      </w:r>
      <w:r>
        <w:rPr>
          <w:rStyle w:val="19"/>
          <w:rFonts w:hint="eastAsia" w:ascii="楷体" w:hAnsi="楷体" w:eastAsia="楷体"/>
          <w:spacing w:val="-4"/>
          <w:sz w:val="32"/>
          <w:szCs w:val="32"/>
        </w:rPr>
        <w:t>2024年自治区教育项目经费（生均公用经费、住宿费）</w:t>
      </w:r>
    </w:p>
    <w:p w14:paraId="19489B3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w:t>
      </w:r>
      <w:r>
        <w:rPr>
          <w:rFonts w:hint="eastAsia" w:ascii="仿宋_GB2312" w:hAnsi="仿宋_GB2312" w:eastAsia="仿宋_GB2312" w:cs="仿宋_GB2312"/>
          <w:kern w:val="0"/>
          <w:sz w:val="32"/>
          <w:szCs w:val="32"/>
          <w:highlight w:val="none"/>
        </w:rPr>
        <w:t>实施单位（公章）</w:t>
      </w:r>
      <w:r>
        <w:rPr>
          <w:rFonts w:hint="eastAsia" w:hAnsi="宋体" w:eastAsia="仿宋_GB2312" w:cs="宋体"/>
          <w:kern w:val="0"/>
          <w:sz w:val="36"/>
          <w:szCs w:val="36"/>
        </w:rPr>
        <w:t>：</w:t>
      </w:r>
      <w:r>
        <w:rPr>
          <w:rStyle w:val="19"/>
          <w:rFonts w:hint="eastAsia" w:ascii="楷体" w:hAnsi="楷体" w:eastAsia="楷体"/>
          <w:spacing w:val="-4"/>
          <w:sz w:val="28"/>
          <w:szCs w:val="28"/>
        </w:rPr>
        <w:t>和田地区师范学校</w:t>
      </w:r>
    </w:p>
    <w:p w14:paraId="4F0AD1FA">
      <w:pPr>
        <w:spacing w:line="540" w:lineRule="exact"/>
        <w:ind w:firstLine="800" w:firstLineChars="250"/>
        <w:rPr>
          <w:rFonts w:ascii="楷体" w:hAnsi="楷体" w:eastAsia="楷体"/>
          <w:b/>
          <w:bCs/>
          <w:spacing w:val="-4"/>
          <w:sz w:val="28"/>
          <w:szCs w:val="28"/>
        </w:rPr>
      </w:pPr>
      <w:r>
        <w:rPr>
          <w:rFonts w:hint="eastAsia" w:ascii="仿宋_GB2312" w:hAnsi="仿宋_GB2312" w:eastAsia="仿宋_GB2312" w:cs="仿宋_GB2312"/>
          <w:kern w:val="0"/>
          <w:sz w:val="32"/>
          <w:szCs w:val="32"/>
          <w:highlight w:val="none"/>
        </w:rPr>
        <w:t>主管部门（公章）</w:t>
      </w:r>
      <w:r>
        <w:rPr>
          <w:rFonts w:hint="eastAsia" w:hAnsi="宋体" w:eastAsia="仿宋_GB2312" w:cs="宋体"/>
          <w:kern w:val="0"/>
          <w:sz w:val="36"/>
          <w:szCs w:val="36"/>
        </w:rPr>
        <w:t>：</w:t>
      </w:r>
      <w:r>
        <w:rPr>
          <w:rStyle w:val="19"/>
          <w:rFonts w:hint="eastAsia" w:ascii="楷体" w:hAnsi="楷体" w:eastAsia="楷体"/>
          <w:spacing w:val="-4"/>
          <w:sz w:val="28"/>
          <w:szCs w:val="28"/>
        </w:rPr>
        <w:t>和田地区师范学校</w:t>
      </w:r>
    </w:p>
    <w:p w14:paraId="33021835">
      <w:pPr>
        <w:spacing w:line="540" w:lineRule="exact"/>
        <w:ind w:firstLine="800" w:firstLineChars="250"/>
        <w:rPr>
          <w:rFonts w:ascii="楷体" w:hAnsi="楷体" w:eastAsia="楷体"/>
          <w:b/>
          <w:bCs/>
          <w:spacing w:val="-4"/>
          <w:sz w:val="32"/>
          <w:szCs w:val="32"/>
        </w:rPr>
      </w:pPr>
      <w:r>
        <w:rPr>
          <w:rFonts w:hint="eastAsia" w:ascii="仿宋_GB2312" w:hAnsi="仿宋_GB2312" w:eastAsia="仿宋_GB2312" w:cs="仿宋_GB2312"/>
          <w:kern w:val="0"/>
          <w:sz w:val="32"/>
          <w:szCs w:val="32"/>
          <w:highlight w:val="none"/>
        </w:rPr>
        <w:t>项目负责人（签章）</w:t>
      </w:r>
      <w:r>
        <w:rPr>
          <w:rFonts w:hint="eastAsia" w:hAnsi="宋体" w:eastAsia="仿宋_GB2312" w:cs="宋体"/>
          <w:kern w:val="0"/>
          <w:sz w:val="36"/>
          <w:szCs w:val="36"/>
        </w:rPr>
        <w:t>：</w:t>
      </w:r>
      <w:r>
        <w:rPr>
          <w:rStyle w:val="19"/>
          <w:rFonts w:hint="eastAsia" w:ascii="楷体" w:hAnsi="楷体" w:eastAsia="楷体"/>
          <w:spacing w:val="-4"/>
          <w:sz w:val="28"/>
          <w:szCs w:val="28"/>
        </w:rPr>
        <w:t>托合提·库尔班</w:t>
      </w:r>
    </w:p>
    <w:p w14:paraId="3BDD136F">
      <w:pPr>
        <w:spacing w:line="540" w:lineRule="exact"/>
        <w:ind w:left="273" w:firstLine="567"/>
        <w:rPr>
          <w:rStyle w:val="19"/>
          <w:rFonts w:ascii="黑体" w:hAnsi="黑体" w:eastAsia="黑体"/>
          <w:b w:val="0"/>
          <w:spacing w:val="-4"/>
          <w:sz w:val="32"/>
          <w:szCs w:val="32"/>
        </w:rPr>
      </w:pPr>
      <w:r>
        <w:rPr>
          <w:rFonts w:hint="eastAsia" w:ascii="仿宋_GB2312" w:hAnsi="仿宋_GB2312" w:eastAsia="仿宋_GB2312" w:cs="仿宋_GB2312"/>
          <w:kern w:val="0"/>
          <w:sz w:val="32"/>
          <w:szCs w:val="32"/>
          <w:highlight w:val="none"/>
        </w:rPr>
        <w:t>填报时间</w:t>
      </w:r>
      <w:r>
        <w:rPr>
          <w:rFonts w:hint="eastAsia" w:hAnsi="宋体" w:eastAsia="仿宋_GB2312" w:cs="宋体"/>
          <w:kern w:val="0"/>
          <w:sz w:val="36"/>
          <w:szCs w:val="36"/>
        </w:rPr>
        <w:t>：</w:t>
      </w:r>
      <w:r>
        <w:rPr>
          <w:rStyle w:val="19"/>
          <w:rFonts w:hint="eastAsia" w:ascii="楷体" w:hAnsi="楷体" w:eastAsia="楷体"/>
          <w:spacing w:val="-4"/>
          <w:sz w:val="28"/>
          <w:szCs w:val="28"/>
        </w:rPr>
        <w:t>2025年03月19日</w:t>
      </w:r>
    </w:p>
    <w:p w14:paraId="4F46EAEB">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黑体" w:hAnsi="黑体" w:eastAsia="黑体" w:cs="黑体"/>
          <w:b w:val="0"/>
          <w:spacing w:val="-4"/>
          <w:sz w:val="32"/>
          <w:szCs w:val="32"/>
          <w:highlight w:val="none"/>
        </w:rPr>
      </w:pPr>
      <w:r>
        <w:rPr>
          <w:rStyle w:val="19"/>
          <w:rFonts w:hint="eastAsia" w:ascii="黑体" w:hAnsi="黑体" w:eastAsia="黑体" w:cs="黑体"/>
          <w:b w:val="0"/>
          <w:spacing w:val="-4"/>
          <w:sz w:val="32"/>
          <w:szCs w:val="32"/>
          <w:highlight w:val="none"/>
        </w:rPr>
        <w:t>一、基本情况</w:t>
      </w:r>
    </w:p>
    <w:p w14:paraId="7157678F">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楷体_GB2312" w:hAnsi="楷体_GB2312" w:eastAsia="楷体_GB2312" w:cs="楷体_GB2312"/>
          <w:spacing w:val="-4"/>
          <w:sz w:val="32"/>
          <w:szCs w:val="32"/>
          <w:highlight w:val="none"/>
          <w:lang w:val="en-US" w:eastAsia="zh-CN"/>
        </w:rPr>
      </w:pPr>
      <w:r>
        <w:rPr>
          <w:rStyle w:val="19"/>
          <w:rFonts w:hint="eastAsia" w:ascii="楷体_GB2312" w:hAnsi="楷体_GB2312" w:eastAsia="楷体_GB2312" w:cs="楷体_GB2312"/>
          <w:spacing w:val="-4"/>
          <w:sz w:val="32"/>
          <w:szCs w:val="32"/>
          <w:highlight w:val="none"/>
          <w:lang w:val="en-US" w:eastAsia="zh-CN"/>
        </w:rPr>
        <w:t>1、项目概况</w:t>
      </w:r>
    </w:p>
    <w:p w14:paraId="6F048872">
      <w:pPr>
        <w:keepNext w:val="0"/>
        <w:keepLines w:val="0"/>
        <w:pageBreakBefore w:val="0"/>
        <w:widowControl w:val="0"/>
        <w:kinsoku/>
        <w:wordWrap/>
        <w:overflowPunct/>
        <w:topLinePunct w:val="0"/>
        <w:autoSpaceDE/>
        <w:autoSpaceDN/>
        <w:bidi w:val="0"/>
        <w:adjustRightInd/>
        <w:snapToGrid/>
        <w:spacing w:line="560" w:lineRule="exact"/>
        <w:ind w:left="0" w:leftChars="0" w:firstLine="617" w:firstLineChars="198"/>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项目背景</w:t>
      </w:r>
    </w:p>
    <w:p w14:paraId="6F9503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生均公用经费：为了保证中等职业学校工作顺利开展，不让一名中职学生因家庭</w:t>
      </w:r>
      <w:r>
        <w:rPr>
          <w:rStyle w:val="19"/>
          <w:rFonts w:hint="eastAsia" w:ascii="仿宋_GB2312" w:hAnsi="仿宋_GB2312" w:eastAsia="仿宋_GB2312" w:cs="仿宋_GB2312"/>
          <w:b w:val="0"/>
          <w:bCs w:val="0"/>
          <w:spacing w:val="-4"/>
          <w:sz w:val="32"/>
          <w:szCs w:val="32"/>
          <w:highlight w:val="none"/>
          <w:lang w:val="en-US" w:eastAsia="zh-CN"/>
        </w:rPr>
        <w:t>困难</w:t>
      </w:r>
      <w:r>
        <w:rPr>
          <w:rStyle w:val="19"/>
          <w:rFonts w:hint="eastAsia" w:ascii="仿宋_GB2312" w:hAnsi="仿宋_GB2312" w:eastAsia="仿宋_GB2312" w:cs="仿宋_GB2312"/>
          <w:b w:val="0"/>
          <w:bCs w:val="0"/>
          <w:spacing w:val="-4"/>
          <w:sz w:val="32"/>
          <w:szCs w:val="32"/>
          <w:highlight w:val="none"/>
        </w:rPr>
        <w:t>而失学。为全面贯彻落实习近平总书记重要讲话精神和全面教育大会精神，进一步贯彻落实《国家职业教育改革实施方案》（国发【2019】4号）、《全国深化职业教育改革电视电话会议》和自治区《关于提高自治区中等职业教育学校生均公用经费拨款标准的通知》（新财教【2019】96号）精神，加强我区教育经费财政保障力度，优化教育支出结构，新增教育经费要向职业教育倾斜，不断加大中等职业教育经费保障力度，提高中等职业教育发展水平，促进职业院校更好地服务我区经济建设和社会发展，经自治区人民政府同意，从2019年起，将全日制中等职业学校均用经费标准由原来每年1000元提高至2000元（自治区配套1000元，地方配套1000元）。公用经费主要用于保障学校正常运转、完成教育教学活动和其他日常工作任务等方面支出，具体包括：教学业务费、教师培训（不得低于年度公用经费拨款的5%）、办公费、印刷费、水电费、取暖费、邮电费、劳务费、专用材料费、交通差旅费、物业管理费、仪器设备及图书资料购置费、校舍及仪器设备的日常维修维护等。不得用于人员工资、基本建设投资、偿还债务等方面。</w:t>
      </w:r>
      <w:r>
        <w:rPr>
          <w:rStyle w:val="19"/>
          <w:rFonts w:hint="eastAsia" w:ascii="仿宋_GB2312" w:hAnsi="仿宋_GB2312" w:eastAsia="仿宋_GB2312" w:cs="仿宋_GB2312"/>
          <w:b w:val="0"/>
          <w:bCs w:val="0"/>
          <w:spacing w:val="-4"/>
          <w:sz w:val="32"/>
          <w:szCs w:val="32"/>
          <w:highlight w:val="none"/>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免住宿费：实施全日制中等学历教育的职业学校的学生，自治区财政对职业学校学生中户籍为南疆三地州全部实行住宿补助资金只能用于全日制中等职业教育学生改善宿舍环境条件费用，不得用于其他支出。</w:t>
      </w:r>
      <w:r>
        <w:rPr>
          <w:rStyle w:val="19"/>
          <w:rFonts w:hint="eastAsia" w:ascii="仿宋_GB2312" w:hAnsi="仿宋_GB2312" w:eastAsia="仿宋_GB2312" w:cs="仿宋_GB2312"/>
          <w:b w:val="0"/>
          <w:bCs w:val="0"/>
          <w:spacing w:val="-4"/>
          <w:sz w:val="32"/>
          <w:szCs w:val="32"/>
          <w:highlight w:val="none"/>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生均公用经费使用范围：教学业务费、教师培训（不得低于年度公用经费拨款的5%）、办公费、印刷费、水电费、取暖费、邮电费、劳务费、专用材料费、交通差旅费、物业管理费、仪器设备及图书资料购置费、校舍及仪器设备的日常维修维护等。不得用于人员工资、基本建设投资、偿还债务等方面。</w:t>
      </w:r>
      <w:r>
        <w:rPr>
          <w:rStyle w:val="19"/>
          <w:rFonts w:hint="eastAsia" w:ascii="仿宋_GB2312" w:hAnsi="仿宋_GB2312" w:eastAsia="仿宋_GB2312" w:cs="仿宋_GB2312"/>
          <w:b w:val="0"/>
          <w:bCs w:val="0"/>
          <w:spacing w:val="-4"/>
          <w:sz w:val="32"/>
          <w:szCs w:val="32"/>
          <w:highlight w:val="none"/>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免住宿费实施全日制中等学历教育的职业学校的学生，自治区财政对职业学校学生中户籍为南疆三地州全部实行住宿补助资金只能用于全日制中等职业教育学生改善宿舍环境条件费用，不得用于其他支出。</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3</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实施情况</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实施主体：和田地区师范学校。</w:t>
      </w:r>
      <w:r>
        <w:rPr>
          <w:rStyle w:val="19"/>
          <w:rFonts w:hint="eastAsia" w:ascii="仿宋_GB2312" w:hAnsi="仿宋_GB2312" w:eastAsia="仿宋_GB2312" w:cs="仿宋_GB2312"/>
          <w:b w:val="0"/>
          <w:bCs w:val="0"/>
          <w:spacing w:val="-4"/>
          <w:sz w:val="32"/>
          <w:szCs w:val="32"/>
          <w:highlight w:val="none"/>
          <w:lang w:val="en-US" w:eastAsia="zh-CN"/>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实施时间：本项目实施期限为2024年1月—2024年12月。</w:t>
      </w:r>
      <w:r>
        <w:rPr>
          <w:rStyle w:val="19"/>
          <w:rFonts w:hint="eastAsia" w:ascii="仿宋_GB2312" w:hAnsi="仿宋_GB2312" w:eastAsia="仿宋_GB2312" w:cs="仿宋_GB2312"/>
          <w:b w:val="0"/>
          <w:bCs w:val="0"/>
          <w:spacing w:val="-4"/>
          <w:sz w:val="32"/>
          <w:szCs w:val="32"/>
          <w:highlight w:val="none"/>
          <w:lang w:val="en-US" w:eastAsia="zh-CN"/>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实施情况：本项目的实施符合新疆维吾尔自治区财政局、教育局和人力资源社会社会保障局联合印发《新疆维吾尔自治区中等职业教育学生住宿费和教材费补助资金管理暂行办法》（新财〔2016〕289号）；《关于提高自治区中等职业教育学校生均公用经费拨款标准的通知》（新财〔2019〕72号），根据资金管理办法和立项依据。本项目计划用于保障受助生均公用学生人数1168名，在校享受住宿费和生均公用经费，通过项目实施有有效保障学校正常运转、减轻缓解学生经济困难，有效提高教育教学质量，确保每一位学生有学上、上得起学、不辍学。</w:t>
      </w:r>
      <w:r>
        <w:rPr>
          <w:rStyle w:val="19"/>
          <w:rFonts w:hint="eastAsia" w:ascii="楷体" w:hAnsi="楷体" w:eastAsia="楷体"/>
          <w:b w:val="0"/>
          <w:bCs w:val="0"/>
          <w:spacing w:val="-4"/>
          <w:sz w:val="32"/>
          <w:szCs w:val="32"/>
          <w:lang w:val="en-US" w:eastAsia="zh-CN"/>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4</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资金投入和使用情况</w:t>
      </w:r>
      <w:r>
        <w:rPr>
          <w:rStyle w:val="19"/>
          <w:rFonts w:hint="eastAsia" w:ascii="仿宋_GB2312" w:hAnsi="仿宋_GB2312" w:eastAsia="仿宋_GB2312" w:cs="仿宋_GB2312"/>
          <w:b w:val="0"/>
          <w:bCs w:val="0"/>
          <w:spacing w:val="-4"/>
          <w:sz w:val="32"/>
          <w:szCs w:val="32"/>
          <w:highlight w:val="none"/>
          <w:lang w:eastAsia="zh-CN"/>
        </w:rPr>
        <w:br w:type="textWrapping"/>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 ① </w:t>
      </w:r>
      <w:r>
        <w:rPr>
          <w:rStyle w:val="19"/>
          <w:rFonts w:hint="eastAsia" w:ascii="仿宋_GB2312" w:hAnsi="仿宋_GB2312" w:eastAsia="仿宋_GB2312" w:cs="仿宋_GB2312"/>
          <w:b w:val="0"/>
          <w:bCs w:val="0"/>
          <w:spacing w:val="-4"/>
          <w:sz w:val="32"/>
          <w:szCs w:val="32"/>
          <w:highlight w:val="none"/>
        </w:rPr>
        <w:t>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本项目预算安排总额为186.88万元，资金来源为自治区专项资金，其中：财政资金186.88万元，其他资金0万元，2024年实际收到预算资金186.88万元，预算资金到位率为100%。</w:t>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② </w:t>
      </w:r>
      <w:r>
        <w:rPr>
          <w:rStyle w:val="19"/>
          <w:rFonts w:hint="eastAsia" w:ascii="仿宋_GB2312" w:hAnsi="仿宋_GB2312" w:eastAsia="仿宋_GB2312" w:cs="仿宋_GB2312"/>
          <w:b w:val="0"/>
          <w:bCs w:val="0"/>
          <w:spacing w:val="-4"/>
          <w:sz w:val="32"/>
          <w:szCs w:val="32"/>
          <w:highlight w:val="none"/>
        </w:rPr>
        <w:t>项目资金实际使用情况分析</w:t>
      </w:r>
    </w:p>
    <w:p w14:paraId="6E45D6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17" w:firstLineChars="198"/>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本项目实际支付资金179.28万元，预算执行率95.93%，结转资金：7.6万元。本项目资金主要用于支付生均公用费用116.8万元、住宿费用62.48万元。</w:t>
      </w:r>
    </w:p>
    <w:p w14:paraId="17267453">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仿宋_GB2312" w:hAnsi="仿宋_GB2312" w:eastAsia="仿宋_GB2312" w:cs="仿宋_GB2312"/>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2、</w:t>
      </w:r>
      <w:r>
        <w:rPr>
          <w:rStyle w:val="19"/>
          <w:rFonts w:hint="eastAsia" w:ascii="仿宋_GB2312" w:hAnsi="仿宋_GB2312" w:eastAsia="仿宋_GB2312" w:cs="仿宋_GB2312"/>
          <w:spacing w:val="-4"/>
          <w:sz w:val="32"/>
          <w:szCs w:val="32"/>
          <w:highlight w:val="none"/>
        </w:rPr>
        <w:t>项目绩效目标</w:t>
      </w:r>
    </w:p>
    <w:p w14:paraId="375DAA6B">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总体目标</w:t>
      </w:r>
    </w:p>
    <w:p w14:paraId="58D3BE53">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此资金使用学生生均公用经费116.8万元，受助生均公用学生人数1168人，住宿保障经费70.08万元。用于办公采购批次30次，办公用品质量合格率100%，资金按期拨付率100%，落实好资助政策，有效保障学校正常运转、减轻缓解学生经济困难，有效提高教育教学质量，有效保障学校正常运转,学校及学生满意度不低于95%。</w:t>
      </w:r>
      <w:r>
        <w:rPr>
          <w:rStyle w:val="19"/>
          <w:rFonts w:hint="eastAsia" w:ascii="仿宋_GB2312" w:hAnsi="仿宋_GB2312" w:eastAsia="仿宋_GB2312" w:cs="仿宋_GB2312"/>
          <w:b w:val="0"/>
          <w:bCs w:val="0"/>
          <w:spacing w:val="-4"/>
          <w:sz w:val="32"/>
          <w:szCs w:val="32"/>
          <w:highlight w:val="none"/>
        </w:rPr>
        <w:cr/>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阶段性目标</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项目前期准备工作：2025年3月10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9"/>
          <w:rFonts w:hint="eastAsia" w:ascii="仿宋_GB2312" w:hAnsi="仿宋_GB2312" w:eastAsia="仿宋_GB2312" w:cs="仿宋_GB2312"/>
          <w:b w:val="0"/>
          <w:bCs w:val="0"/>
          <w:spacing w:val="-4"/>
          <w:sz w:val="32"/>
          <w:szCs w:val="32"/>
          <w:highlight w:val="none"/>
        </w:rPr>
        <w:cr/>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项目实施：2024年3月开始维修学生宿舍，购买宿舍用品及床，支付水电费，给学生提供优美的生活环境。</w:t>
      </w:r>
      <w:r>
        <w:rPr>
          <w:rStyle w:val="19"/>
          <w:rFonts w:hint="eastAsia" w:ascii="仿宋_GB2312" w:hAnsi="仿宋_GB2312" w:eastAsia="仿宋_GB2312" w:cs="仿宋_GB2312"/>
          <w:b w:val="0"/>
          <w:bCs w:val="0"/>
          <w:spacing w:val="-4"/>
          <w:sz w:val="32"/>
          <w:szCs w:val="32"/>
          <w:highlight w:val="none"/>
        </w:rPr>
        <w:cr/>
      </w:r>
      <w:r>
        <w:rPr>
          <w:rFonts w:hint="eastAsia" w:ascii="楷体" w:hAnsi="楷体" w:eastAsia="楷体"/>
          <w:b w:val="0"/>
          <w:bCs w:val="0"/>
          <w:spacing w:val="-4"/>
          <w:sz w:val="32"/>
          <w:szCs w:val="32"/>
        </w:rPr>
        <w:br w:type="textWrapping"/>
      </w:r>
      <w:r>
        <w:rPr>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项目完成：2024年12月25日前，按照和田地区师范学校资金管理办法及资金支付审批流程,提出支付申请并提供相关真实、合规的证明材料，制定资金使用计划，经审核后按照国库集中支付管理制度的规定和程序及时支付资金。</w:t>
      </w:r>
    </w:p>
    <w:p w14:paraId="44E275D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5E6D70D">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仿宋_GB2312" w:hAnsi="仿宋_GB2312" w:eastAsia="仿宋_GB2312" w:cs="仿宋_GB2312"/>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1、</w:t>
      </w:r>
      <w:r>
        <w:rPr>
          <w:rStyle w:val="19"/>
          <w:rFonts w:hint="eastAsia" w:ascii="仿宋_GB2312" w:hAnsi="仿宋_GB2312" w:eastAsia="仿宋_GB2312" w:cs="仿宋_GB2312"/>
          <w:spacing w:val="-4"/>
          <w:sz w:val="32"/>
          <w:szCs w:val="32"/>
          <w:highlight w:val="none"/>
        </w:rPr>
        <w:t>绩效评价目的、对象和范围</w:t>
      </w:r>
    </w:p>
    <w:p w14:paraId="546B0354">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绩效评价的目的</w:t>
      </w:r>
    </w:p>
    <w:p w14:paraId="66CA1B41">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自治区教育项目经费（生均公用经费、住宿费）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14:paraId="0A5D87F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14:paraId="1C239D5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7CEEFF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19"/>
          <w:rFonts w:hint="eastAsia" w:ascii="仿宋_GB2312" w:hAnsi="仿宋_GB2312" w:eastAsia="仿宋_GB2312" w:cs="仿宋_GB2312"/>
          <w:b w:val="0"/>
          <w:bCs w:val="0"/>
          <w:spacing w:val="-4"/>
          <w:sz w:val="32"/>
          <w:szCs w:val="32"/>
          <w:highlight w:val="none"/>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19"/>
          <w:rFonts w:hint="eastAsia" w:ascii="仿宋_GB2312" w:hAnsi="仿宋_GB2312" w:eastAsia="仿宋_GB2312" w:cs="仿宋_GB2312"/>
          <w:b w:val="0"/>
          <w:bCs w:val="0"/>
          <w:spacing w:val="-4"/>
          <w:sz w:val="32"/>
          <w:szCs w:val="32"/>
          <w:highlight w:val="none"/>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绩效评价对象</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此次我单位根据《财政支出绩效评价管理暂行办法》（财预〔2020〕10号）文件要求实施评价工作，本次评价对象为2024年自治区教育项目经费（生均公用经费、住宿费），评价核心为项目的资金投入、产出及效益。</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3</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绩效评价范围</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4BBC1A95">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仿宋_GB2312" w:hAnsi="仿宋_GB2312" w:eastAsia="仿宋_GB2312" w:cs="仿宋_GB2312"/>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2、</w:t>
      </w:r>
      <w:r>
        <w:rPr>
          <w:rStyle w:val="19"/>
          <w:rFonts w:hint="eastAsia" w:ascii="仿宋_GB2312" w:hAnsi="仿宋_GB2312" w:eastAsia="仿宋_GB2312" w:cs="仿宋_GB2312"/>
          <w:spacing w:val="-4"/>
          <w:sz w:val="32"/>
          <w:szCs w:val="32"/>
          <w:highlight w:val="none"/>
        </w:rPr>
        <w:t>绩效评价原则、评价指标体系、评价方法、评价标准</w:t>
      </w:r>
    </w:p>
    <w:p w14:paraId="376B9C63">
      <w:pPr>
        <w:keepNext w:val="0"/>
        <w:keepLines w:val="0"/>
        <w:pageBreakBefore w:val="0"/>
        <w:widowControl w:val="0"/>
        <w:kinsoku/>
        <w:wordWrap/>
        <w:overflowPunct/>
        <w:topLinePunct w:val="0"/>
        <w:autoSpaceDE/>
        <w:autoSpaceDN/>
        <w:bidi w:val="0"/>
        <w:adjustRightInd/>
        <w:snapToGrid/>
        <w:spacing w:line="560" w:lineRule="exact"/>
        <w:ind w:left="0" w:leftChars="0" w:firstLine="620" w:firstLineChars="199"/>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p>
    <w:p w14:paraId="7B5AB3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9"/>
          <w:rFonts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科学公正。绩效评价应当运用科学合理的方法，按照规范的程序，对项目绩效进行客观、公正的反映。</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③</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激励约束。绩效评价结果应与预算安排、政策调整、改进管理实质性挂钩，体现奖优罚劣和激励相容导向，有效要安排、低效要压减、无效要问责。</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④</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公开透明。绩效评价结果应依法依规公开，并自觉接受社会监督。</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根据以上原则，绩效评价应遵循如下要求:</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在数据采集时，采取客观数据，主管部门审查、社会中介组织复查，与问卷调查相结合的形式，以保证各项指标的真实性。</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保证评价结果的真实性、公正性，提高评价报告的公信力。</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③</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绩效</w:t>
      </w:r>
      <w:r>
        <w:rPr>
          <w:rStyle w:val="19"/>
          <w:rFonts w:hint="eastAsia" w:ascii="仿宋_GB2312" w:hAnsi="仿宋_GB2312" w:eastAsia="仿宋_GB2312" w:cs="仿宋_GB2312"/>
          <w:b w:val="0"/>
          <w:bCs w:val="0"/>
          <w:spacing w:val="-4"/>
          <w:sz w:val="32"/>
          <w:szCs w:val="32"/>
          <w:highlight w:val="none"/>
          <w:lang w:eastAsia="zh-CN"/>
        </w:rPr>
        <w:t>评价指标体系</w:t>
      </w:r>
      <w:r>
        <w:rPr>
          <w:rStyle w:val="19"/>
          <w:rFonts w:hint="eastAsia" w:ascii="仿宋_GB2312" w:hAnsi="仿宋_GB2312" w:eastAsia="仿宋_GB2312" w:cs="仿宋_GB2312"/>
          <w:b w:val="0"/>
          <w:bCs w:val="0"/>
          <w:spacing w:val="-4"/>
          <w:sz w:val="32"/>
          <w:szCs w:val="32"/>
          <w:highlight w:val="none"/>
          <w:lang w:eastAsia="zh-CN"/>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19"/>
          <w:rFonts w:hint="eastAsia" w:ascii="仿宋_GB2312" w:hAnsi="仿宋_GB2312" w:eastAsia="仿宋_GB2312" w:cs="仿宋_GB2312"/>
          <w:b w:val="0"/>
          <w:bCs w:val="0"/>
          <w:spacing w:val="-4"/>
          <w:sz w:val="32"/>
          <w:szCs w:val="32"/>
          <w:highlight w:val="none"/>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3</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评价方法</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三级指标分析环节：总体采用比较法，同时辅以文献法、成本效益法、因素分析法以及公众评判法，根据不同三级指标类型进行逐项分析。</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立项依据充分性：比较法、文献法，查找法律法规政策以及规划，对比实际执行内容和政策支持内容是否匹配。</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Fonts w:hint="eastAsia" w:ascii="仿宋_GB2312" w:hAnsi="仿宋_GB2312" w:eastAsia="仿宋_GB2312" w:cs="仿宋_GB2312"/>
          <w:sz w:val="32"/>
          <w:szCs w:val="32"/>
          <w:highlight w:val="none"/>
          <w:lang w:val="en-US" w:eastAsia="zh-CN"/>
        </w:rPr>
        <w:t xml:space="preserve"> 立项程序规范性：比较法、文献法，查找相关项目设立的政策和文件要求，对比分析实际执行程序是否按照政策及文件要求执行，分析立项程序的规范性。</w:t>
      </w:r>
      <w:r>
        <w:rPr>
          <w:rFonts w:hint="eastAsia" w:ascii="仿宋_GB2312" w:hAnsi="仿宋_GB2312" w:eastAsia="仿宋_GB2312" w:cs="仿宋_GB2312"/>
          <w:sz w:val="32"/>
          <w:szCs w:val="32"/>
          <w:highlight w:val="none"/>
          <w:lang w:val="en-US" w:eastAsia="zh-CN"/>
        </w:rPr>
        <w:cr/>
      </w:r>
      <w:r>
        <w:rPr>
          <w:rStyle w:val="19"/>
          <w:rFonts w:hint="eastAsia" w:ascii="楷体" w:hAnsi="楷体" w:eastAsia="楷体"/>
          <w:b w:val="0"/>
          <w:bCs w:val="0"/>
          <w:spacing w:val="-4"/>
          <w:sz w:val="32"/>
          <w:szCs w:val="32"/>
          <w:lang w:val="en-US" w:eastAsia="zh-CN"/>
        </w:rPr>
        <w:t xml:space="preserve">    </w:t>
      </w:r>
      <w:r>
        <w:rPr>
          <w:rFonts w:hint="eastAsia" w:ascii="仿宋_GB2312" w:hAnsi="仿宋_GB2312" w:eastAsia="仿宋_GB2312" w:cs="仿宋_GB2312"/>
          <w:sz w:val="32"/>
          <w:szCs w:val="32"/>
          <w:highlight w:val="none"/>
          <w:lang w:val="en-US" w:eastAsia="zh-CN"/>
        </w:rPr>
        <w:t>绩效目标合理性：比较法，对比分析年初编制项目支出绩效目标表与项目内容的相关性、资金的匹配性等。</w:t>
      </w:r>
      <w:r>
        <w:rPr>
          <w:rFonts w:hint="eastAsia" w:ascii="仿宋_GB2312" w:hAnsi="仿宋_GB2312" w:eastAsia="仿宋_GB2312" w:cs="仿宋_GB2312"/>
          <w:sz w:val="32"/>
          <w:szCs w:val="32"/>
          <w:highlight w:val="none"/>
          <w:lang w:val="en-US" w:eastAsia="zh-CN"/>
        </w:rPr>
        <w:cr/>
      </w:r>
      <w:r>
        <w:rPr>
          <w:rFonts w:hint="eastAsia" w:ascii="仿宋_GB2312" w:hAnsi="仿宋_GB2312" w:eastAsia="仿宋_GB2312" w:cs="仿宋_GB2312"/>
          <w:sz w:val="32"/>
          <w:szCs w:val="32"/>
          <w:highlight w:val="none"/>
          <w:lang w:val="en-US" w:eastAsia="zh-CN"/>
        </w:rPr>
        <w:t xml:space="preserve">    绩效指标明确性：比较法，比较分析年初编制项目支出绩效目标表是否符合双七原则，是否可衡量。</w:t>
      </w:r>
      <w:r>
        <w:rPr>
          <w:rFonts w:hint="eastAsia" w:ascii="仿宋_GB2312" w:hAnsi="仿宋_GB2312" w:eastAsia="仿宋_GB2312" w:cs="仿宋_GB2312"/>
          <w:sz w:val="32"/>
          <w:szCs w:val="32"/>
          <w:highlight w:val="none"/>
          <w:lang w:val="en-US" w:eastAsia="zh-CN"/>
        </w:rPr>
        <w:cr/>
      </w:r>
      <w:r>
        <w:rPr>
          <w:rStyle w:val="19"/>
          <w:rFonts w:hint="eastAsia" w:ascii="楷体" w:hAnsi="楷体" w:eastAsia="楷体"/>
          <w:b w:val="0"/>
          <w:bCs w:val="0"/>
          <w:spacing w:val="-4"/>
          <w:sz w:val="32"/>
          <w:szCs w:val="32"/>
          <w:lang w:val="en-US" w:eastAsia="zh-CN"/>
        </w:rPr>
        <w:t xml:space="preserve"> </w:t>
      </w:r>
      <w:r>
        <w:rPr>
          <w:rFonts w:hint="eastAsia" w:ascii="仿宋_GB2312" w:hAnsi="仿宋_GB2312" w:eastAsia="仿宋_GB2312" w:cs="仿宋_GB2312"/>
          <w:sz w:val="32"/>
          <w:szCs w:val="32"/>
          <w:highlight w:val="none"/>
          <w:lang w:val="en-US" w:eastAsia="zh-CN"/>
        </w:rPr>
        <w:t xml:space="preserve">   预算编制科学性：成本效益分析法，分析在产出一定的情况下，成本取值是否有依据，是否经过询价，是否按照市场最低成本编制。</w:t>
      </w:r>
      <w:r>
        <w:cr/>
      </w:r>
      <w:r>
        <w:rPr>
          <w:rStyle w:val="19"/>
          <w:rFonts w:hint="eastAsia" w:ascii="楷体" w:hAnsi="楷体" w:eastAsia="楷体"/>
          <w:b w:val="0"/>
          <w:bCs w:val="0"/>
          <w:spacing w:val="-4"/>
          <w:sz w:val="32"/>
          <w:szCs w:val="32"/>
          <w:lang w:val="en-US" w:eastAsia="zh-CN"/>
        </w:rPr>
        <w:t xml:space="preserve">   </w:t>
      </w:r>
      <w:r>
        <w:rPr>
          <w:rFonts w:hint="eastAsia" w:ascii="仿宋_GB2312" w:hAnsi="仿宋_GB2312" w:eastAsia="仿宋_GB2312" w:cs="仿宋_GB2312"/>
          <w:sz w:val="32"/>
          <w:szCs w:val="32"/>
          <w:highlight w:val="none"/>
          <w:lang w:val="en-US" w:eastAsia="zh-CN"/>
        </w:rPr>
        <w:t xml:space="preserve"> 资金分配合理性：因素分析法，综合分析资金的分配依据是否充分，分配金额是否与项目实施单位需求金额一致，</w:t>
      </w:r>
      <w:r>
        <w:rPr>
          <w:rFonts w:hint="eastAsia" w:ascii="仿宋_GB2312" w:hAnsi="仿宋_GB2312" w:eastAsia="仿宋_GB2312" w:cs="仿宋_GB2312"/>
          <w:sz w:val="32"/>
          <w:szCs w:val="32"/>
          <w:highlight w:val="none"/>
          <w:lang w:val="en-US" w:eastAsia="zh-CN"/>
        </w:rPr>
        <w:cr/>
      </w:r>
      <w:r>
        <w:rPr>
          <w:rFonts w:hint="eastAsia" w:ascii="仿宋_GB2312" w:hAnsi="仿宋_GB2312" w:eastAsia="仿宋_GB2312" w:cs="仿宋_GB2312"/>
          <w:sz w:val="32"/>
          <w:szCs w:val="32"/>
          <w:highlight w:val="none"/>
          <w:lang w:val="en-US" w:eastAsia="zh-CN"/>
        </w:rPr>
        <w:t xml:space="preserve">    资金到位率：比较法，资金到位率预期指标值应为100%，通过实际计算，分析实际完成值和预期指标值之间的差距和原因。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Fonts w:hint="eastAsia" w:ascii="仿宋_GB2312" w:hAnsi="仿宋_GB2312" w:eastAsia="仿宋_GB2312" w:cs="仿宋_GB2312"/>
          <w:sz w:val="32"/>
          <w:szCs w:val="32"/>
          <w:highlight w:val="none"/>
          <w:lang w:val="en-US" w:eastAsia="zh-CN"/>
        </w:rPr>
        <w:t>预算执行率：比较法，预算执行率预期指标值应为100%，通过实际计算，分析实际完成值和预期指标值之间的差距和原因。</w:t>
      </w:r>
      <w:r>
        <w:rPr>
          <w:rFonts w:hint="eastAsia" w:ascii="仿宋_GB2312" w:hAnsi="仿宋_GB2312" w:eastAsia="仿宋_GB2312" w:cs="仿宋_GB2312"/>
          <w:sz w:val="32"/>
          <w:szCs w:val="32"/>
          <w:highlight w:val="none"/>
          <w:lang w:val="en-US" w:eastAsia="zh-CN"/>
        </w:rPr>
        <w:cr/>
      </w:r>
      <w:r>
        <w:rPr>
          <w:rFonts w:hint="eastAsia" w:ascii="仿宋_GB2312" w:hAnsi="仿宋_GB2312" w:eastAsia="仿宋_GB2312" w:cs="仿宋_GB2312"/>
          <w:sz w:val="32"/>
          <w:szCs w:val="32"/>
          <w:highlight w:val="none"/>
          <w:lang w:val="en-US" w:eastAsia="zh-CN"/>
        </w:rPr>
        <w:t xml:space="preserve">    资金使用合规性：文献法、实地勘察法，一是查找资金管理办法，包括专项资金管理办法和单位自有资金管理办法；二是通过查账了解具体开支情况，是否专用专用，是否按照标准支出。</w:t>
      </w:r>
      <w:r>
        <w:rPr>
          <w:rFonts w:hint="eastAsia" w:ascii="仿宋_GB2312" w:hAnsi="仿宋_GB2312" w:eastAsia="仿宋_GB2312" w:cs="仿宋_GB2312"/>
          <w:sz w:val="32"/>
          <w:szCs w:val="32"/>
          <w:highlight w:val="none"/>
          <w:lang w:val="en-US" w:eastAsia="zh-CN"/>
        </w:rPr>
        <w:cr/>
      </w:r>
      <w:r>
        <w:rPr>
          <w:rFonts w:hint="eastAsia" w:ascii="仿宋_GB2312" w:hAnsi="仿宋_GB2312" w:eastAsia="仿宋_GB2312" w:cs="仿宋_GB2312"/>
          <w:sz w:val="32"/>
          <w:szCs w:val="32"/>
          <w:highlight w:val="none"/>
          <w:lang w:val="en-US" w:eastAsia="zh-CN"/>
        </w:rPr>
        <w:t xml:space="preserve">    管理制度健全性：文献法、比较法，查阅项目实施人员提供的财务和业务管理制度，将已建立的制度与现行的法律法规和政策要求进行对比，分析项目制度的合法性、合规性、完整性。</w:t>
      </w:r>
      <w:r>
        <w:rPr>
          <w:rFonts w:hint="eastAsia" w:ascii="仿宋_GB2312" w:hAnsi="仿宋_GB2312" w:eastAsia="仿宋_GB2312" w:cs="仿宋_GB2312"/>
          <w:sz w:val="32"/>
          <w:szCs w:val="32"/>
          <w:highlight w:val="none"/>
          <w:lang w:val="en-US" w:eastAsia="zh-CN"/>
        </w:rPr>
        <w:cr/>
      </w:r>
      <w:r>
        <w:rPr>
          <w:rFonts w:hint="eastAsia" w:ascii="仿宋_GB2312" w:hAnsi="仿宋_GB2312" w:eastAsia="仿宋_GB2312" w:cs="仿宋_GB2312"/>
          <w:sz w:val="32"/>
          <w:szCs w:val="32"/>
          <w:highlight w:val="none"/>
          <w:lang w:val="en-US" w:eastAsia="zh-CN"/>
        </w:rPr>
        <w:t xml:space="preserve">    制度执行有效性：比较法，结合项目实际实施过程性文件，根据已建设的财务管理制度和项目管理制度综合分析制度执行的有效性。</w:t>
      </w:r>
      <w:r>
        <w:rPr>
          <w:rFonts w:hint="eastAsia" w:ascii="仿宋_GB2312" w:hAnsi="仿宋_GB2312" w:eastAsia="仿宋_GB2312" w:cs="仿宋_GB2312"/>
          <w:sz w:val="32"/>
          <w:szCs w:val="32"/>
          <w:highlight w:val="none"/>
          <w:lang w:val="en-US" w:eastAsia="zh-CN"/>
        </w:rPr>
        <w:cr/>
      </w:r>
      <w:r>
        <w:rPr>
          <w:rFonts w:hint="eastAsia" w:ascii="仿宋_GB2312" w:hAnsi="仿宋_GB2312" w:eastAsia="仿宋_GB2312" w:cs="仿宋_GB2312"/>
          <w:sz w:val="32"/>
          <w:szCs w:val="32"/>
          <w:highlight w:val="none"/>
          <w:lang w:val="en-US" w:eastAsia="zh-CN"/>
        </w:rPr>
        <w:t xml:space="preserve">    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cr/>
      </w:r>
      <w:r>
        <w:rPr>
          <w:rFonts w:hint="eastAsia" w:ascii="仿宋_GB2312" w:hAnsi="仿宋_GB2312" w:eastAsia="仿宋_GB2312" w:cs="仿宋_GB2312"/>
          <w:sz w:val="32"/>
          <w:szCs w:val="32"/>
          <w:highlight w:val="none"/>
          <w:lang w:val="en-US" w:eastAsia="zh-CN"/>
        </w:rPr>
        <w:t xml:space="preserve">    定性指标：公众评判法，通过问卷及抽样调查等方式评价本项目实施后社会公众对于其实施效果的满意程度。</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（4）</w:t>
      </w:r>
      <w:r>
        <w:rPr>
          <w:rStyle w:val="19"/>
          <w:rFonts w:hint="eastAsia" w:ascii="仿宋_GB2312" w:hAnsi="仿宋_GB2312" w:eastAsia="仿宋_GB2312" w:cs="仿宋_GB2312"/>
          <w:b w:val="0"/>
          <w:bCs w:val="0"/>
          <w:spacing w:val="-4"/>
          <w:sz w:val="32"/>
          <w:szCs w:val="32"/>
          <w:highlight w:val="none"/>
        </w:rPr>
        <w:t>评价标准</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5C03DE1">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仿宋_GB2312" w:hAnsi="仿宋_GB2312" w:eastAsia="仿宋_GB2312" w:cs="仿宋_GB2312"/>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3、</w:t>
      </w:r>
      <w:r>
        <w:rPr>
          <w:rStyle w:val="19"/>
          <w:rFonts w:hint="eastAsia" w:ascii="仿宋_GB2312" w:hAnsi="仿宋_GB2312" w:eastAsia="仿宋_GB2312" w:cs="仿宋_GB2312"/>
          <w:spacing w:val="-4"/>
          <w:sz w:val="32"/>
          <w:szCs w:val="32"/>
          <w:highlight w:val="none"/>
        </w:rPr>
        <w:t>绩效评价工作过程</w:t>
      </w:r>
    </w:p>
    <w:p w14:paraId="08903A8F">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前期准备</w:t>
      </w:r>
    </w:p>
    <w:p w14:paraId="3902AA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9"/>
          <w:rFonts w:hint="eastAsia" w:ascii="仿宋_GB2312" w:hAnsi="仿宋_GB2312" w:eastAsia="仿宋_GB2312" w:cs="仿宋_GB2312"/>
          <w:b w:val="0"/>
          <w:bCs w:val="0"/>
          <w:spacing w:val="-4"/>
          <w:sz w:val="32"/>
          <w:szCs w:val="32"/>
          <w:highlight w:val="none"/>
        </w:rP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rPr>
        <w:t>缪树生（评价小组组长）：主要负责全程指导项目绩效评价工作，审核评价报告;</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李成双（评价小组副组长）：绩效评价工作职责为对项目实施情况进行实地调查。</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热汗古丽，阿孜古丽（评价小组组员）：主要负责撰写项目支出部门评价报告，分析汇总数据，收集各项指标的佐证材料。</w:t>
      </w:r>
      <w:r>
        <w:rPr>
          <w:rStyle w:val="19"/>
          <w:rFonts w:hint="eastAsia" w:ascii="仿宋_GB2312" w:hAnsi="仿宋_GB2312" w:eastAsia="仿宋_GB2312" w:cs="仿宋_GB2312"/>
          <w:b w:val="0"/>
          <w:bCs w:val="0"/>
          <w:spacing w:val="-4"/>
          <w:sz w:val="32"/>
          <w:szCs w:val="32"/>
          <w:highlight w:val="none"/>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组织实施</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2025年3月10日-4月30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19"/>
          <w:rFonts w:hint="eastAsia" w:ascii="仿宋_GB2312" w:hAnsi="仿宋_GB2312" w:eastAsia="仿宋_GB2312" w:cs="仿宋_GB2312"/>
          <w:b w:val="0"/>
          <w:bCs w:val="0"/>
          <w:spacing w:val="-4"/>
          <w:sz w:val="32"/>
          <w:szCs w:val="32"/>
          <w:highlight w:val="none"/>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（3）</w:t>
      </w:r>
      <w:r>
        <w:rPr>
          <w:rStyle w:val="19"/>
          <w:rFonts w:hint="eastAsia" w:ascii="仿宋_GB2312" w:hAnsi="仿宋_GB2312" w:eastAsia="仿宋_GB2312" w:cs="仿宋_GB2312"/>
          <w:b w:val="0"/>
          <w:bCs w:val="0"/>
          <w:spacing w:val="-4"/>
          <w:sz w:val="32"/>
          <w:szCs w:val="32"/>
          <w:highlight w:val="none"/>
        </w:rPr>
        <w:t>分析评价</w:t>
      </w:r>
      <w: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2025年3月10日-4月30日，评价小组按照绩效评价的原则和规范，对取得的资料进行审查核实，对采集的数据进行分析，按照绩效评价指标评分表逐项进行打分、分析、汇总各方评价结果。</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4</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撰写与提交评价报告</w:t>
      </w:r>
      <w:r>
        <w:cr/>
      </w:r>
      <w:r>
        <w:rPr>
          <w:rStyle w:val="19"/>
          <w:rFonts w:hint="eastAsia" w:ascii="楷体" w:hAnsi="楷体" w:eastAsia="楷体"/>
          <w:b w:val="0"/>
          <w:bCs w:val="0"/>
          <w:spacing w:val="-4"/>
          <w:sz w:val="32"/>
          <w:szCs w:val="32"/>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 2025年3月10日-4月30日评价小组撰写绩效评价报告，按照新疆维吾尔自治区财政绩效管理信息系统绩效评价模块中统一格式和文本框架撰写绩效评价报告并提交审核。</w:t>
      </w:r>
      <w:r>
        <w:rPr>
          <w:rStyle w:val="19"/>
          <w:rFonts w:hint="eastAsia" w:ascii="仿宋_GB2312" w:hAnsi="仿宋_GB2312" w:eastAsia="仿宋_GB2312" w:cs="仿宋_GB2312"/>
          <w:b w:val="0"/>
          <w:bCs w:val="0"/>
          <w:spacing w:val="-4"/>
          <w:sz w:val="32"/>
          <w:szCs w:val="32"/>
          <w:highlight w:val="none"/>
          <w:lang w:val="en-US" w:eastAsia="zh-CN"/>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5</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问题整改</w:t>
      </w:r>
    </w:p>
    <w:p w14:paraId="0A5DDF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30" w:firstLineChars="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lang w:val="en-US"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9"/>
          <w:rFonts w:hint="eastAsia" w:ascii="仿宋_GB2312" w:hAnsi="仿宋_GB2312" w:eastAsia="仿宋_GB2312" w:cs="仿宋_GB2312"/>
          <w:b w:val="0"/>
          <w:bCs w:val="0"/>
          <w:spacing w:val="-4"/>
          <w:sz w:val="32"/>
          <w:szCs w:val="32"/>
          <w:highlight w:val="none"/>
          <w:lang w:val="en-US" w:eastAsia="zh-CN"/>
        </w:rP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6</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档案整理</w:t>
      </w:r>
    </w:p>
    <w:p w14:paraId="6B1F1D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30" w:firstLineChars="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val="en-US" w:eastAsia="zh-CN"/>
        </w:rPr>
        <w:t>建立和落实档案管理制度，将项目相关资料存档，包括但不限于：评价项目基本情况和相关文件、评价实施方案、项目支付资料等相关档案。</w:t>
      </w:r>
    </w:p>
    <w:p w14:paraId="6FB3477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spacing w:val="-4"/>
          <w:sz w:val="32"/>
          <w:szCs w:val="32"/>
          <w:highlight w:val="none"/>
        </w:rPr>
      </w:pPr>
      <w:r>
        <w:rPr>
          <w:rStyle w:val="19"/>
          <w:rFonts w:hint="eastAsia" w:ascii="黑体" w:hAnsi="黑体" w:eastAsia="黑体" w:cs="黑体"/>
          <w:b w:val="0"/>
          <w:spacing w:val="-4"/>
          <w:sz w:val="32"/>
          <w:szCs w:val="32"/>
          <w:highlight w:val="none"/>
        </w:rPr>
        <w:t>三、综合评价情况及评价结论</w:t>
      </w:r>
    </w:p>
    <w:p w14:paraId="1BE89F23">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仿宋_GB2312" w:hAnsi="仿宋_GB2312" w:eastAsia="仿宋_GB2312" w:cs="仿宋_GB2312"/>
          <w:b/>
          <w:bCs/>
          <w:spacing w:val="-4"/>
          <w:sz w:val="32"/>
          <w:szCs w:val="32"/>
          <w:highlight w:val="none"/>
          <w:lang w:val="en-US" w:eastAsia="zh-CN"/>
        </w:rPr>
      </w:pPr>
      <w:r>
        <w:rPr>
          <w:rStyle w:val="19"/>
          <w:rFonts w:hint="eastAsia" w:ascii="仿宋_GB2312" w:hAnsi="仿宋_GB2312" w:eastAsia="仿宋_GB2312" w:cs="仿宋_GB2312"/>
          <w:b/>
          <w:bCs/>
          <w:spacing w:val="-4"/>
          <w:sz w:val="32"/>
          <w:szCs w:val="32"/>
          <w:highlight w:val="none"/>
          <w:lang w:val="en-US" w:eastAsia="zh-CN"/>
        </w:rPr>
        <w:t>1、综合评价情况</w:t>
      </w:r>
    </w:p>
    <w:p w14:paraId="5FE5657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经评价，本项目达成年初设立的绩效目标，在实施过程中取得了良好的成效，具体表现在以下三方面：</w:t>
      </w:r>
    </w:p>
    <w:p w14:paraId="6554755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一是：落实好资助政策，有效保障学校正常运转、减轻缓解学生经济困难，有效提高教育教学质量，根据财政部、教育部和人力资源社会社会保障部联合颁发的《新疆维吾尔自治区中等职业教育学生住宿费和教材费补助资金管理暂行办法》（新财〔2016〕289号）；《关于提高自治区中等职业教育学校生均公用经费拨款标准的通知》（新财〔2019〕72号），根据资金管理办法和立项依据。在校生享受住宿费和生均公用经费，通过项目实施有有效保障学校正常运转、减轻缓解学生经济困难，有效提高教育教学质量，确保每一位学生有学上、上得起学、不辍学。</w:t>
      </w:r>
    </w:p>
    <w:p w14:paraId="6F3FC42D">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二是：精准识别，切实保障学生资助补助工作。本项目立项符合《关于提前下达2024年自治区教育项目经费预算的通知》（和地财教【2023】77号）中。生均公用经费资金主要用于教学业务费、教师培训（不得低于年度公用经费拨款的5%）、办公费、印刷费、水电费、取暖费、邮电费、劳务费、专用材料费、交通差旅费、物业管理费、仪器设备及图书资料购置费、校舍及仪器设备的日常维修维护等。住宿费主要用于全日制中等职业教育学生改善宿舍环境条件费用，该项目的实施有效保障学校正常运转、减轻缓解学生经济困难，有效提高了教育教学质量，确保每一位学生能完成学业。</w:t>
      </w:r>
    </w:p>
    <w:p w14:paraId="612DC9BB">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三是：我单位按照和田地区师范学校资金管理办法及资金支付审批流程，依据项目计划和实施进度,提出支付申请并提供相关真实、合规的证明材料，制定资金使用计划，经审核后按照国库集中支付管理制度的规定和程序及时支付资金。</w:t>
      </w:r>
      <w:r>
        <w:cr/>
      </w:r>
      <w:r>
        <w:rPr>
          <w:rFonts w:hint="eastAsia"/>
          <w:lang w:val="en-US" w:eastAsia="zh-CN"/>
        </w:rPr>
        <w:t xml:space="preserve">      </w:t>
      </w:r>
      <w:r>
        <w:rPr>
          <w:rStyle w:val="19"/>
          <w:rFonts w:hint="eastAsia" w:ascii="仿宋_GB2312" w:hAnsi="仿宋_GB2312" w:eastAsia="仿宋_GB2312" w:cs="仿宋_GB2312"/>
          <w:b/>
          <w:bCs/>
          <w:spacing w:val="-4"/>
          <w:sz w:val="32"/>
          <w:szCs w:val="32"/>
          <w:highlight w:val="none"/>
          <w:lang w:val="en-US" w:eastAsia="zh-CN"/>
        </w:rPr>
        <w:t>2、</w:t>
      </w:r>
      <w:r>
        <w:rPr>
          <w:rStyle w:val="19"/>
          <w:rFonts w:hint="eastAsia" w:ascii="仿宋_GB2312" w:hAnsi="仿宋_GB2312" w:eastAsia="仿宋_GB2312" w:cs="仿宋_GB2312"/>
          <w:b/>
          <w:bCs/>
          <w:spacing w:val="-4"/>
          <w:sz w:val="32"/>
          <w:szCs w:val="32"/>
          <w:highlight w:val="none"/>
        </w:rPr>
        <w:t>评价结论</w:t>
      </w:r>
    </w:p>
    <w:p w14:paraId="0E0187FD">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此次绩效评价通过绩效评价小组论证的评价指标体系及评分标准，采用因素分析法和比较法对本项目绩效进行客观评价，最终评分结果：总分为99.8分，绩效评级为“优”。综合评价结论如下：本项目共设置三级指标数量20个，实现三级指标数量19个，总体完成率为95%。</w:t>
      </w:r>
    </w:p>
    <w:p w14:paraId="00F123E7">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项目决策类指标共设置6个，满分指标6个，权重分21分，得分21分，得分率100%；</w:t>
      </w:r>
    </w:p>
    <w:p w14:paraId="1D710544">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过程管理类指标共设置5个，满分指标4个，权重分19分，得分18.8分，得分率98.93%；</w:t>
      </w:r>
    </w:p>
    <w:p w14:paraId="72D3558A">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项目产出类指标共设置7个，满分指标7个，权重分20分，得分20分，得分率100%；</w:t>
      </w:r>
    </w:p>
    <w:p w14:paraId="5B8FA31C">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项目效益类指标共设置2个，满分指标2个，权重分40分，得分40分，得分率100%。</w:t>
      </w:r>
    </w:p>
    <w:p w14:paraId="14D3B514">
      <w:pPr>
        <w:keepNext w:val="0"/>
        <w:keepLines w:val="0"/>
        <w:pageBreakBefore w:val="0"/>
        <w:widowControl w:val="0"/>
        <w:kinsoku/>
        <w:wordWrap/>
        <w:overflowPunct/>
        <w:topLinePunct w:val="0"/>
        <w:autoSpaceDE/>
        <w:autoSpaceDN/>
        <w:bidi w:val="0"/>
        <w:adjustRightInd/>
        <w:snapToGrid/>
        <w:spacing w:line="560" w:lineRule="exact"/>
        <w:ind w:left="0" w:leftChars="0" w:firstLine="639" w:firstLineChars="205"/>
        <w:jc w:val="both"/>
        <w:textAlignment w:val="auto"/>
        <w:rPr>
          <w:rStyle w:val="19"/>
          <w:rFonts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详细情况见“附件2：项目综合得分表”。</w:t>
      </w:r>
    </w:p>
    <w:p w14:paraId="282122E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黑体" w:hAnsi="黑体" w:eastAsia="黑体" w:cs="黑体"/>
          <w:sz w:val="32"/>
          <w:szCs w:val="32"/>
          <w:highlight w:val="none"/>
        </w:rPr>
      </w:pPr>
      <w:r>
        <w:rPr>
          <w:rStyle w:val="19"/>
          <w:rFonts w:hint="eastAsia" w:ascii="黑体" w:hAnsi="黑体" w:eastAsia="黑体" w:cs="黑体"/>
          <w:b w:val="0"/>
          <w:spacing w:val="-4"/>
          <w:sz w:val="32"/>
          <w:szCs w:val="32"/>
          <w:highlight w:val="none"/>
        </w:rPr>
        <w:t>四、绩效评价指标分析</w:t>
      </w:r>
      <w:r>
        <w:rPr>
          <w:rStyle w:val="19"/>
          <w:rFonts w:hint="eastAsia" w:ascii="黑体" w:hAnsi="黑体" w:eastAsia="黑体" w:cs="黑体"/>
          <w:sz w:val="32"/>
          <w:szCs w:val="32"/>
          <w:highlight w:val="none"/>
        </w:rPr>
        <w:t xml:space="preserve"> </w:t>
      </w:r>
    </w:p>
    <w:p w14:paraId="5B3D3394">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Fonts w:hint="eastAsia" w:ascii="仿宋_GB2312" w:hAnsi="仿宋_GB2312" w:eastAsia="仿宋_GB2312" w:cs="仿宋_GB2312"/>
          <w:b/>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1、</w:t>
      </w:r>
      <w:r>
        <w:rPr>
          <w:rStyle w:val="19"/>
          <w:rFonts w:hint="eastAsia" w:ascii="仿宋_GB2312" w:hAnsi="仿宋_GB2312" w:eastAsia="仿宋_GB2312" w:cs="仿宋_GB2312"/>
          <w:spacing w:val="-4"/>
          <w:sz w:val="32"/>
          <w:szCs w:val="32"/>
          <w:highlight w:val="none"/>
        </w:rPr>
        <w:t>项目决策情况</w:t>
      </w:r>
    </w:p>
    <w:p w14:paraId="65A91D6E">
      <w:pPr>
        <w:keepNext w:val="0"/>
        <w:keepLines w:val="0"/>
        <w:pageBreakBefore w:val="0"/>
        <w:widowControl w:val="0"/>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项目决策类指标由3个二级指标和6个三级指标构成，权重分21分，实际得分21分。</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项目立项情况分析</w:t>
      </w:r>
    </w:p>
    <w:p w14:paraId="0DAE050D">
      <w:pPr>
        <w:keepNext w:val="0"/>
        <w:keepLines w:val="0"/>
        <w:pageBreakBefore w:val="0"/>
        <w:widowControl w:val="0"/>
        <w:tabs>
          <w:tab w:val="center" w:pos="4295"/>
        </w:tabs>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立项依据充分性</w:t>
      </w:r>
    </w:p>
    <w:p w14:paraId="137BCC38">
      <w:pPr>
        <w:keepNext w:val="0"/>
        <w:keepLines w:val="0"/>
        <w:pageBreakBefore w:val="0"/>
        <w:widowControl w:val="0"/>
        <w:tabs>
          <w:tab w:val="center" w:pos="4295"/>
        </w:tabs>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立项符《关于提前下达2024年自治区教育项目经费预算的通知》（和地财教【2023】77号）中，符合行业发展规划和政策要求；本项目立项符合《和田地区师范学校单位配置内设机构和人员编制规定》中职责范围中的“确立了以市场为导向，以服务为宗旨，以需求为目标，以管理促效益，以质量求生存”的办学理念和工作思路”，属于我单位履职所需；根据《财政资金直接支付申请书》，本项目资金性质为“公共财政预算”功能分类为“2050302中等职业教育”经济分类为“30299其他商品和服务支出”属于公共财政支持范围，符合中央、地方事权支出责任划分原则；经检查我单位财政应用平台指标，本项目不存在重复。</w:t>
      </w:r>
    </w:p>
    <w:p w14:paraId="4DF7AEEA">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综上所述，本指标满分为5分，根据评分标准得5分，本项目立项依据充分。</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立项程序规范性</w:t>
      </w:r>
    </w:p>
    <w:p w14:paraId="59479941">
      <w:pPr>
        <w:tabs>
          <w:tab w:val="center" w:pos="4295"/>
        </w:tabs>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中等职业教育学生住宿费和教材费补助资金管理暂行办法》(新财教〔2016〕289号)文件要求实施项目。</w:t>
      </w:r>
    </w:p>
    <w:p w14:paraId="17957DC7">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综上所述，本指标满分为3分，根据评分标准得3分，本项目立项程序规范。</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（2）</w:t>
      </w:r>
      <w:r>
        <w:rPr>
          <w:rStyle w:val="19"/>
          <w:rFonts w:hint="eastAsia" w:ascii="仿宋_GB2312" w:hAnsi="仿宋_GB2312" w:eastAsia="仿宋_GB2312" w:cs="仿宋_GB2312"/>
          <w:b w:val="0"/>
          <w:bCs w:val="0"/>
          <w:spacing w:val="-4"/>
          <w:sz w:val="32"/>
          <w:szCs w:val="32"/>
          <w:highlight w:val="none"/>
        </w:rPr>
        <w:t>绩效目标情况分析</w:t>
      </w:r>
    </w:p>
    <w:p w14:paraId="77008B96">
      <w:pPr>
        <w:numPr>
          <w:ilvl w:val="0"/>
          <w:numId w:val="0"/>
        </w:numPr>
        <w:tabs>
          <w:tab w:val="center" w:pos="4295"/>
        </w:tabs>
        <w:spacing w:line="540" w:lineRule="exact"/>
        <w:ind w:firstLine="624" w:firstLineChars="200"/>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绩效目标合理性</w:t>
      </w:r>
    </w:p>
    <w:p w14:paraId="5ABA86D7">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已设置年度绩效目标，具体内容为“1.此资金使用学生生均公用经费116.8万元，受助生均公用学生人数1168人，住宿保障经费70.08万元。2.用于办公采购批次30次，办公用品质量合格率100%，资金按期拨付率100%，落实好资助政策，有效保障学校正常运转、减轻缓解学生经济困难，有效提高教育教学质量，有效保障学校正常运转,学校及学生满意度不低于95%。”；本项目实际工作内容为：截止2024年12月31日，本项目实际支出资金179.28万元，预算执行率为95.93%。实际已于已完成保障学校正常运转，受助生均公用学生人数1168人，用于办公采购批次30次，办公用品质量合格率100%，资金按期拨付率100%。通过本项目的实施，落实好资助政策，有效减轻缓解学生经济困难，有效提高教育教学质量，学校及学生满意度达到100%。；绩效目标与实际工作内容一致，两者具有相关性;本项目按照绩效目标完成了数量指标、质量指标、时效指标、成本指标，有效减轻缓解学生经济困难，有效提高教育教学质量，年度绩效目标完成，预期产出效益和效果符合正常的业绩水平。</w:t>
      </w:r>
    </w:p>
    <w:p w14:paraId="288DD60C">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综上所述，本指标满分为4分，根据评分标准得4分，本项目绩效目标设置合理。</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绩效指标明确性</w:t>
      </w:r>
    </w:p>
    <w:p w14:paraId="77ED478E">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经检查我单位年初设置的《项目支出绩效目标表》，得出如下结论：本项目已将年度绩效目标进行细化为绩效指标体系，共设置一级指标4个，二级指标7个，三级指标9个，定量指标8个，定性指标1个，指标量化率为88.89%，量化率达70.00%以上。</w:t>
      </w:r>
    </w:p>
    <w:p w14:paraId="52F645DF">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综上所述，本指标满分为3分，根据评分标准得3分，本项目所设置绩效指标明确。</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（3）</w:t>
      </w:r>
      <w:r>
        <w:rPr>
          <w:rStyle w:val="19"/>
          <w:rFonts w:hint="eastAsia" w:ascii="仿宋_GB2312" w:hAnsi="仿宋_GB2312" w:eastAsia="仿宋_GB2312" w:cs="仿宋_GB2312"/>
          <w:b w:val="0"/>
          <w:bCs w:val="0"/>
          <w:spacing w:val="-4"/>
          <w:sz w:val="32"/>
          <w:szCs w:val="32"/>
          <w:highlight w:val="none"/>
        </w:rPr>
        <w:t>资金投入情况分析</w:t>
      </w:r>
      <w: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预算编制科学性</w:t>
      </w:r>
    </w:p>
    <w:p w14:paraId="737F88BE">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依据《新疆维吾尔自治区中等职业教育学生住宿费和教材费补助资金管理暂行办法》（新财〔2016〕289号）；《关于提高自治区中等职业教育学校生均公用经费拨款标准的通知》（新财〔2019〕72号）生均公用经费标准1000元每年，免教材费生均标准300元每年。</w:t>
      </w:r>
    </w:p>
    <w:p w14:paraId="172EBFD7">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预算申请内容为和田地区师范学校2024年自治区教育项目经费（生均公用经费、住宿费），项目实际内容为2024年度下拨的生均公用经费资金116.8万元，教学业务费、教师培训、办公费、印刷费、水电费、取暖费、劳务费、专用材料费、交通差旅费、物业管理费、仪器设备及图书资料购置费、校舍及仪器设备的日常维修维护等。不得用于人员工资、基本建设投资、偿还债务等方面。免住宿费资金：70.08万元，只能用于全日制中等职业教育学生改善宿舍环境条件费用。</w:t>
      </w:r>
    </w:p>
    <w:p w14:paraId="68F94104">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预算申请资金186.88万元，我单位在预算申请中严格按照单位标准和数量进行核算，其中：生均公用经费成本116.8万元，免住宿费70.08万元。本项目预算额度测算依据充分，严格按照标准编制，预算确定资金量与实际工作任务相匹配；</w:t>
      </w:r>
    </w:p>
    <w:p w14:paraId="4906B466">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综上所述，本指标满分为4分，根据评分标准4分，本项目预算编制科学。</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资金分配合理性</w:t>
      </w:r>
    </w:p>
    <w:p w14:paraId="3FFF2E62">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实际分配资金以《关于申请和田地区师范学校2024年自治区教育项目经费（生均公用经费、住宿费）项目资金的请示》和《2024年自治区教育项目经费（生均公用经费、住宿费）项目实施方案》为依据进行资金分配，预算资金分配依据充分。根据《关于提前下达2024年自治区教育项目经费预算的通知》（和地财教【2023】77号），本项目实际到位资金186.88万元，实际分配资金与我单位提交申请的资金额度一致，资金分配额度合理，与我单位实际需求相适应。</w:t>
      </w:r>
    </w:p>
    <w:p w14:paraId="3B2CF235">
      <w:pPr>
        <w:keepNext w:val="0"/>
        <w:keepLines w:val="0"/>
        <w:pageBreakBefore w:val="0"/>
        <w:widowControl w:val="0"/>
        <w:numPr>
          <w:ilvl w:val="0"/>
          <w:numId w:val="0"/>
        </w:numPr>
        <w:tabs>
          <w:tab w:val="center" w:pos="4295"/>
        </w:tabs>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lang w:eastAsia="zh-CN"/>
        </w:rPr>
      </w:pPr>
      <w:r>
        <w:rPr>
          <w:rStyle w:val="19"/>
          <w:rFonts w:hint="eastAsia" w:ascii="仿宋_GB2312" w:hAnsi="仿宋_GB2312" w:eastAsia="仿宋_GB2312" w:cs="仿宋_GB2312"/>
          <w:b w:val="0"/>
          <w:bCs w:val="0"/>
          <w:spacing w:val="-4"/>
          <w:sz w:val="32"/>
          <w:szCs w:val="32"/>
          <w:highlight w:val="none"/>
        </w:rPr>
        <w:t>综上所述，本指标满分为2分，根据评分标准得2分，本项目资金分配合理。</w:t>
      </w:r>
      <w:r>
        <w:rPr>
          <w:rStyle w:val="19"/>
          <w:rFonts w:hint="eastAsia" w:ascii="仿宋_GB2312" w:hAnsi="仿宋_GB2312" w:eastAsia="仿宋_GB2312" w:cs="仿宋_GB2312"/>
          <w:b w:val="0"/>
          <w:bCs w:val="0"/>
          <w:spacing w:val="-4"/>
          <w:sz w:val="32"/>
          <w:szCs w:val="32"/>
          <w:highlight w:val="none"/>
          <w:lang w:eastAsia="zh-CN"/>
        </w:rPr>
        <w:tab/>
      </w:r>
    </w:p>
    <w:p w14:paraId="0887E172">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Style w:val="19"/>
          <w:rFonts w:hint="eastAsia" w:ascii="仿宋_GB2312" w:hAnsi="仿宋_GB2312" w:eastAsia="仿宋_GB2312" w:cs="仿宋_GB2312"/>
          <w:b/>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2、</w:t>
      </w:r>
      <w:r>
        <w:rPr>
          <w:rStyle w:val="19"/>
          <w:rFonts w:hint="eastAsia" w:ascii="仿宋_GB2312" w:hAnsi="仿宋_GB2312" w:eastAsia="仿宋_GB2312" w:cs="仿宋_GB2312"/>
          <w:spacing w:val="-4"/>
          <w:sz w:val="32"/>
          <w:szCs w:val="32"/>
          <w:highlight w:val="none"/>
        </w:rPr>
        <w:t>项目过程情况</w:t>
      </w:r>
    </w:p>
    <w:p w14:paraId="22A0D1A7">
      <w:pPr>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项目过程管理类指标由2个二级指标和5个三级指标构成，权重分19分，实际得分18.80分。</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资金管理情况分析</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资金到位率</w:t>
      </w:r>
    </w:p>
    <w:p w14:paraId="21D2E6E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本项目预算资金为186.88万元，其中：财政安排资金186.88万元，其他资金0万元，实际到位资金186.88万元，资金到位率=（实际到位资金/预算资金）×100%=（186.88/186.88）*100%=100%。得分=资金到位率*分值=100%*4=4分。</w:t>
      </w:r>
    </w:p>
    <w:p w14:paraId="40A5A8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综上所述，本指标满分为4分，根据评分标准得4分，本项目资金分配合理。</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预算执行率</w:t>
      </w:r>
    </w:p>
    <w:p w14:paraId="2719F0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本项目实际支出资金179.28万元，预算执行率=（实际支出资金/实际到位资金）×100%=（179.28/186.88）*100%=95.93%。得分=预算执行率*分值=95.93%*5=4.8分。</w:t>
      </w:r>
    </w:p>
    <w:p w14:paraId="01DFA332">
      <w:pPr>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综上所述，本指标满分为5分，根据评分标准得4.8分，本项目资金分配合理。</w:t>
      </w:r>
      <w: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③</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资金使用合规性</w:t>
      </w:r>
    </w:p>
    <w:p w14:paraId="004F47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通过检查本项目签订的合同、资金申请文件、发票等财务付款凭证，得出本项目资金支出符合国家财经法规、《政府会计制度》以及《和田地区师范学校资金管理办法》《和田地区师范学校收支业务管理办法》，资金的拨付有完整的审批程序和手续，资金实际使用方向与预算批复用途一致，不存在截留、挤占、挪用、虚列支出的情况。</w:t>
      </w:r>
    </w:p>
    <w:p w14:paraId="45C88E6D">
      <w:pPr>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综上所述，本指标满分为4分，根据评分标准得4分，资金支出符合我单位财务管理制度规定。</w:t>
      </w:r>
      <w:r>
        <w:rPr>
          <w:rFonts w:hint="eastAsia" w:ascii="仿宋_GB2312" w:hAnsi="仿宋_GB2312" w:eastAsia="仿宋_GB2312" w:cs="仿宋_GB2312"/>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（2）</w:t>
      </w:r>
      <w:r>
        <w:rPr>
          <w:rStyle w:val="19"/>
          <w:rFonts w:hint="eastAsia" w:ascii="仿宋_GB2312" w:hAnsi="仿宋_GB2312" w:eastAsia="仿宋_GB2312" w:cs="仿宋_GB2312"/>
          <w:b w:val="0"/>
          <w:bCs w:val="0"/>
          <w:spacing w:val="-4"/>
          <w:sz w:val="32"/>
          <w:szCs w:val="32"/>
          <w:highlight w:val="none"/>
        </w:rPr>
        <w:t>组织实施情况分析</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①</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管理制度健全性</w:t>
      </w:r>
    </w:p>
    <w:p w14:paraId="771F7E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我单位已制定《和田地区师范学校资金管理办法》《和田地区师范学校收支业务管理制度》《和田地区师范学校政府采购业务管理制度》《和田地区师范学校合同管理制度》，上述已建立的制度均符合行政事业单位内控管理要求，财务和业务管理制度合法、合规、完整，本项目执行符合上述制度规定。</w:t>
      </w:r>
    </w:p>
    <w:p w14:paraId="3AE125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39" w:firstLineChars="205"/>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综上所述，本指标满分为2分，根据评分标准得2分，项目制度建设健全。</w:t>
      </w:r>
      <w:r>
        <w:rPr>
          <w:rStyle w:val="19"/>
          <w:rFonts w:hint="eastAsia" w:ascii="仿宋_GB2312" w:hAnsi="仿宋_GB2312" w:eastAsia="仿宋_GB2312" w:cs="仿宋_GB2312"/>
          <w:b w:val="0"/>
          <w:bCs w:val="0"/>
          <w:spacing w:val="-4"/>
          <w:sz w:val="32"/>
          <w:szCs w:val="32"/>
          <w:highlight w:val="none"/>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②</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制度执行有效性</w:t>
      </w:r>
    </w:p>
    <w:p w14:paraId="0ABE4385">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经对比分析本项目实际执行过程资料和已建立的项目管理制度和财务管理制度，得出本项目严格按照本单位已建立制度执行。项目资金支出严格按照自治区、地区</w:t>
      </w:r>
      <w:bookmarkStart w:id="0" w:name="_GoBack"/>
      <w:bookmarkEnd w:id="0"/>
      <w:r>
        <w:rPr>
          <w:rStyle w:val="19"/>
          <w:rFonts w:hint="eastAsia" w:ascii="仿宋_GB2312" w:hAnsi="仿宋_GB2312" w:eastAsia="仿宋_GB2312" w:cs="仿宋_GB2312"/>
          <w:b w:val="0"/>
          <w:bCs w:val="0"/>
          <w:spacing w:val="-4"/>
          <w:sz w:val="32"/>
          <w:szCs w:val="32"/>
          <w:highlight w:val="none"/>
        </w:rPr>
        <w:t>以及本单位资金管理办法执行，项目启动实施后，为了加快本项目的实施，成立了和田地区师范学校项目工作领导小组，由党组书记胡涛任组长，负责项目的组织工作；阿布都拉·艾沙任副组长，负责项目的实施工作；组员包括：谢茂龙，主要负责项目监督管理、验收以及资金核拨等工作。</w:t>
      </w:r>
    </w:p>
    <w:p w14:paraId="1CD73298">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综上所述，本指标满分为4分，根据评分标准得4分，本项目所建立制度执行有效。</w:t>
      </w:r>
    </w:p>
    <w:p w14:paraId="09B5F1EC">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Fonts w:hint="eastAsia" w:ascii="仿宋_GB2312" w:hAnsi="仿宋_GB2312" w:eastAsia="仿宋_GB2312" w:cs="仿宋_GB2312"/>
          <w:b/>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3、</w:t>
      </w:r>
      <w:r>
        <w:rPr>
          <w:rStyle w:val="19"/>
          <w:rFonts w:hint="eastAsia" w:ascii="仿宋_GB2312" w:hAnsi="仿宋_GB2312" w:eastAsia="仿宋_GB2312" w:cs="仿宋_GB2312"/>
          <w:spacing w:val="-4"/>
          <w:sz w:val="32"/>
          <w:szCs w:val="32"/>
          <w:highlight w:val="none"/>
        </w:rPr>
        <w:t>项目产出情况</w:t>
      </w:r>
    </w:p>
    <w:p w14:paraId="24FE81C7">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项目产出类指标由4个二级指标和9个三级指标构成，权重分20分，实际得分20分。</w:t>
      </w:r>
    </w:p>
    <w:p w14:paraId="14531F36">
      <w:pPr>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rPr>
        <w:t>数量指标完成情况分析</w:t>
      </w:r>
    </w:p>
    <w:p w14:paraId="13EEEA2F">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受助生均公用学生人数（人）:预期指标值为≥1168人，实际完成值为=1168人,指标完成率为100%。</w:t>
      </w:r>
    </w:p>
    <w:p w14:paraId="6B0D6542">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享受免住宿费资助补助人数（人）:预期指标值为≥1168人，实际完成值为=1168人,指标完成率为100%。</w:t>
      </w:r>
    </w:p>
    <w:p w14:paraId="50CD4E9D">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办公采购批次（次）:预期指标值为≥30次，实际完成值为=30次,指标完成率为100%。</w:t>
      </w:r>
    </w:p>
    <w:p w14:paraId="16064A6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rPr>
        <w:t>质量指标完成情况分析</w:t>
      </w:r>
    </w:p>
    <w:p w14:paraId="5B199E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办公用品质量合格率（%）:预期指标值为=100%，实际完成值为=100%,指标完成率为100%。</w:t>
      </w:r>
      <w:r>
        <w:rPr>
          <w:rStyle w:val="19"/>
          <w:rFonts w:hint="eastAsia" w:ascii="仿宋_GB2312" w:hAnsi="仿宋_GB2312" w:eastAsia="仿宋_GB2312" w:cs="仿宋_GB2312"/>
          <w:b w:val="0"/>
          <w:bCs w:val="0"/>
          <w:spacing w:val="-4"/>
          <w:sz w:val="32"/>
          <w:szCs w:val="32"/>
          <w:highlight w:val="none"/>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（3）</w:t>
      </w:r>
      <w:r>
        <w:rPr>
          <w:rStyle w:val="19"/>
          <w:rFonts w:hint="eastAsia" w:ascii="仿宋_GB2312" w:hAnsi="仿宋_GB2312" w:eastAsia="仿宋_GB2312" w:cs="仿宋_GB2312"/>
          <w:b w:val="0"/>
          <w:bCs w:val="0"/>
          <w:spacing w:val="-4"/>
          <w:sz w:val="32"/>
          <w:szCs w:val="32"/>
          <w:highlight w:val="none"/>
        </w:rPr>
        <w:t>时效指标完成情况分析</w:t>
      </w:r>
    </w:p>
    <w:p w14:paraId="5CD5EACA">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资金按期拨付率（%）:预期指标值为=100%，实际完成值为=100%,指标完成率为100%。</w:t>
      </w:r>
      <w:r>
        <w:rPr>
          <w:rFonts w:hint="eastAsia" w:ascii="楷体" w:hAnsi="楷体" w:eastAsia="楷体"/>
          <w:b w:val="0"/>
          <w:bCs w:val="0"/>
          <w:spacing w:val="-4"/>
          <w:sz w:val="32"/>
          <w:szCs w:val="32"/>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（4）</w:t>
      </w:r>
      <w:r>
        <w:rPr>
          <w:rStyle w:val="19"/>
          <w:rFonts w:hint="eastAsia" w:ascii="仿宋_GB2312" w:hAnsi="仿宋_GB2312" w:eastAsia="仿宋_GB2312" w:cs="仿宋_GB2312"/>
          <w:b w:val="0"/>
          <w:bCs w:val="0"/>
          <w:spacing w:val="-4"/>
          <w:sz w:val="32"/>
          <w:szCs w:val="32"/>
          <w:highlight w:val="none"/>
        </w:rPr>
        <w:t>成本指标完成情况分析</w:t>
      </w:r>
    </w:p>
    <w:p w14:paraId="3277E8AB">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学校保障经费（万元）:预期指标值为≤116.80万元，实际完成值为=116.8万元,指标完成率为100%。</w:t>
      </w:r>
    </w:p>
    <w:p w14:paraId="1357EB85">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住宿费成本（万元）:预期指标值为≤70.08万元，实际完成值为=62.48万元,指标完成率为100%。</w:t>
      </w:r>
    </w:p>
    <w:p w14:paraId="29D45E80">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jc w:val="both"/>
        <w:textAlignment w:val="auto"/>
        <w:rPr>
          <w:rFonts w:hint="eastAsia" w:ascii="仿宋_GB2312" w:hAnsi="仿宋_GB2312" w:eastAsia="仿宋_GB2312" w:cs="仿宋_GB2312"/>
          <w:b/>
          <w:spacing w:val="-4"/>
          <w:sz w:val="32"/>
          <w:szCs w:val="32"/>
          <w:highlight w:val="none"/>
        </w:rPr>
      </w:pPr>
      <w:r>
        <w:rPr>
          <w:rStyle w:val="19"/>
          <w:rFonts w:hint="eastAsia" w:ascii="仿宋_GB2312" w:hAnsi="仿宋_GB2312" w:eastAsia="仿宋_GB2312" w:cs="仿宋_GB2312"/>
          <w:spacing w:val="-4"/>
          <w:sz w:val="32"/>
          <w:szCs w:val="32"/>
          <w:highlight w:val="none"/>
          <w:lang w:val="en-US" w:eastAsia="zh-CN"/>
        </w:rPr>
        <w:t>4、</w:t>
      </w:r>
      <w:r>
        <w:rPr>
          <w:rStyle w:val="19"/>
          <w:rFonts w:hint="eastAsia" w:ascii="仿宋_GB2312" w:hAnsi="仿宋_GB2312" w:eastAsia="仿宋_GB2312" w:cs="仿宋_GB2312"/>
          <w:spacing w:val="-4"/>
          <w:sz w:val="32"/>
          <w:szCs w:val="32"/>
          <w:highlight w:val="none"/>
        </w:rPr>
        <w:t>项目效益情况</w:t>
      </w:r>
    </w:p>
    <w:p w14:paraId="5E22D69A">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项目效益类指标由2个二级指标和2个三级指标构成，权重分40分，实际得分40分。</w:t>
      </w:r>
    </w:p>
    <w:p w14:paraId="5A8E03D5">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rPr>
        <w:t>经济效益完成情况分析</w:t>
      </w:r>
    </w:p>
    <w:p w14:paraId="719ED623">
      <w:pPr>
        <w:spacing w:line="540" w:lineRule="exact"/>
        <w:ind w:left="638" w:leftChars="304" w:firstLine="218" w:firstLineChars="70"/>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无。</w:t>
      </w:r>
    </w:p>
    <w:p w14:paraId="41886FA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rPr>
        <w:t>社会效益完成情况分析</w:t>
      </w:r>
    </w:p>
    <w:p w14:paraId="302BAB6B">
      <w:pPr>
        <w:spacing w:line="540" w:lineRule="exact"/>
        <w:ind w:firstLine="567"/>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rPr>
        <w:t>家庭经济困难学生生活负担:预期指标值为有效减轻，实际完成值为基本达成目标,指标完成率为100%。</w:t>
      </w:r>
      <w:r>
        <w:rPr>
          <w:rStyle w:val="19"/>
          <w:rFonts w:hint="eastAsia" w:ascii="仿宋_GB2312" w:hAnsi="仿宋_GB2312" w:eastAsia="仿宋_GB2312" w:cs="仿宋_GB2312"/>
          <w:b w:val="0"/>
          <w:bCs w:val="0"/>
          <w:spacing w:val="-4"/>
          <w:sz w:val="32"/>
          <w:szCs w:val="32"/>
          <w:highlight w:val="none"/>
        </w:rPr>
        <w:br w:type="textWrapping"/>
      </w:r>
      <w:r>
        <w:rPr>
          <w:rStyle w:val="19"/>
          <w:rFonts w:hint="eastAsia" w:ascii="仿宋_GB2312" w:hAnsi="仿宋_GB2312" w:eastAsia="仿宋_GB2312" w:cs="仿宋_GB2312"/>
          <w:b w:val="0"/>
          <w:bCs w:val="0"/>
          <w:spacing w:val="-4"/>
          <w:sz w:val="32"/>
          <w:szCs w:val="32"/>
          <w:highlight w:val="none"/>
          <w:lang w:val="en-US" w:eastAsia="zh-CN"/>
        </w:rPr>
        <w:t xml:space="preserve">    （3）</w:t>
      </w:r>
      <w:r>
        <w:rPr>
          <w:rStyle w:val="19"/>
          <w:rFonts w:hint="eastAsia" w:ascii="仿宋_GB2312" w:hAnsi="仿宋_GB2312" w:eastAsia="仿宋_GB2312" w:cs="仿宋_GB2312"/>
          <w:b w:val="0"/>
          <w:bCs w:val="0"/>
          <w:spacing w:val="-4"/>
          <w:sz w:val="32"/>
          <w:szCs w:val="32"/>
          <w:highlight w:val="none"/>
        </w:rPr>
        <w:t>生态效益完成情况分析</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无。</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（4）</w:t>
      </w:r>
      <w:r>
        <w:rPr>
          <w:rStyle w:val="19"/>
          <w:rFonts w:hint="eastAsia" w:ascii="仿宋_GB2312" w:hAnsi="仿宋_GB2312" w:eastAsia="仿宋_GB2312" w:cs="仿宋_GB2312"/>
          <w:b w:val="0"/>
          <w:bCs w:val="0"/>
          <w:spacing w:val="-4"/>
          <w:sz w:val="32"/>
          <w:szCs w:val="32"/>
          <w:highlight w:val="none"/>
        </w:rPr>
        <w:t>可持续影响完成情况分析</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rPr>
        <w:t>无。</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（5）</w:t>
      </w:r>
      <w:r>
        <w:rPr>
          <w:rStyle w:val="19"/>
          <w:rFonts w:hint="eastAsia" w:ascii="仿宋_GB2312" w:hAnsi="仿宋_GB2312" w:eastAsia="仿宋_GB2312" w:cs="仿宋_GB2312"/>
          <w:b w:val="0"/>
          <w:bCs w:val="0"/>
          <w:spacing w:val="-4"/>
          <w:sz w:val="32"/>
          <w:szCs w:val="32"/>
          <w:highlight w:val="none"/>
        </w:rPr>
        <w:t>满意度指标完成情况分析</w:t>
      </w:r>
    </w:p>
    <w:p w14:paraId="6A0EC389">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学生满意度:预期指标值为≥95%，实际完成值为=100%,指标完成率为100%。</w:t>
      </w:r>
    </w:p>
    <w:p w14:paraId="6B34549C">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黑体" w:hAnsi="黑体" w:eastAsia="黑体" w:cs="黑体"/>
          <w:b w:val="0"/>
          <w:spacing w:val="-4"/>
          <w:sz w:val="32"/>
          <w:szCs w:val="32"/>
          <w:highlight w:val="none"/>
        </w:rPr>
      </w:pPr>
      <w:r>
        <w:rPr>
          <w:rStyle w:val="19"/>
          <w:rFonts w:hint="eastAsia" w:ascii="黑体" w:hAnsi="黑体" w:eastAsia="黑体" w:cs="黑体"/>
          <w:b w:val="0"/>
          <w:spacing w:val="-4"/>
          <w:sz w:val="32"/>
          <w:szCs w:val="32"/>
          <w:highlight w:val="none"/>
        </w:rPr>
        <w:t>五、预算执行进度与绩效指标偏差</w:t>
      </w:r>
    </w:p>
    <w:p w14:paraId="6179F395">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本项目年初预算资金总额为186.88万元，全年预算数为186.88万元，全年执行数为179.28万元，预算执行率为95.93%。</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rPr>
        <w:t>本项目共设置三级指标数量9个，满分指标数量8个，扣分指标数量1个，经分析计算所有三级指标完成率得出，本项目总体完成率为98.8%。</w:t>
      </w:r>
    </w:p>
    <w:p w14:paraId="750EAA5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综上所述本项目预算执行率与总体完成率之间的偏差为2.87%。</w:t>
      </w:r>
    </w:p>
    <w:p w14:paraId="368BAAAA">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黑体" w:hAnsi="黑体" w:eastAsia="黑体" w:cs="黑体"/>
          <w:b w:val="0"/>
          <w:spacing w:val="-4"/>
          <w:sz w:val="32"/>
          <w:szCs w:val="32"/>
          <w:highlight w:val="none"/>
        </w:rPr>
      </w:pPr>
      <w:r>
        <w:rPr>
          <w:rStyle w:val="19"/>
          <w:rFonts w:hint="eastAsia" w:ascii="黑体" w:hAnsi="黑体" w:eastAsia="黑体" w:cs="黑体"/>
          <w:b w:val="0"/>
          <w:spacing w:val="-4"/>
          <w:sz w:val="32"/>
          <w:szCs w:val="32"/>
          <w:highlight w:val="none"/>
        </w:rPr>
        <w:t>六、主要经验及做法、存在的问题及原因分析</w:t>
      </w:r>
    </w:p>
    <w:p w14:paraId="77C8970D">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rPr>
        <w:t>主要经验及做法</w:t>
      </w:r>
    </w:p>
    <w:p w14:paraId="488A0C9B">
      <w:pPr>
        <w:spacing w:line="540" w:lineRule="exact"/>
        <w:ind w:firstLine="567"/>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我单位通过此次绩效评价，提升自评质量，加强制度建设，强化评价结果应用，对发现的问题现场反馈并要求改进，加强评价结果与项目资金安排的衔接，健全绩效管理工作机制，明确职责分工，组织专题培训，提高各级主管部门和基层单位绩效管理工作水平。</w:t>
      </w:r>
    </w:p>
    <w:p w14:paraId="4841FC5E">
      <w:pPr>
        <w:spacing w:line="540" w:lineRule="exact"/>
        <w:ind w:firstLine="567"/>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2</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本年度，我单位认真贯彻落实科学发展观，以积极参加市政府组成部门绩效评价工作为抓手，大抓财政绩效管理，建立了横向到边、纵向到底的绩效评价体系，并形成了评估实施统一组织、评估内容上下衔接、评估重点有所区分、评估方法综合利用、评估结果奖惩并用、行政过错责任追究的绩效管理机制，有力的推动财政科学发展。</w:t>
      </w:r>
    </w:p>
    <w:p w14:paraId="17349031">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楷体" w:hAnsi="楷体" w:eastAsia="楷体"/>
          <w:b w:val="0"/>
          <w:bCs w:val="0"/>
          <w:spacing w:val="-4"/>
          <w:sz w:val="32"/>
          <w:szCs w:val="32"/>
        </w:rPr>
      </w:pP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3</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lang w:val="en-US" w:eastAsia="zh-CN"/>
        </w:rPr>
        <w:t>本年度，我单位以提升财政资金绩效为主线，以绩效目标实现为导向，以财政支出绩效评价为手段，以评价结果应用为保障，建立完善预算绩效管理体系，积极推进我单位预算绩效管理体系，通过加强制度建设，提升自评质量，预算绩效管理取得新成效。</w:t>
      </w:r>
      <w:r>
        <w:rPr>
          <w:rStyle w:val="19"/>
          <w:rFonts w:hint="eastAsia" w:ascii="仿宋_GB2312" w:hAnsi="仿宋_GB2312" w:eastAsia="仿宋_GB2312" w:cs="仿宋_GB2312"/>
          <w:b w:val="0"/>
          <w:bCs w:val="0"/>
          <w:spacing w:val="-4"/>
          <w:sz w:val="32"/>
          <w:szCs w:val="32"/>
          <w:highlight w:val="none"/>
          <w:lang w:val="en-US" w:eastAsia="zh-CN"/>
        </w:rPr>
        <w:cr/>
      </w:r>
      <w:r>
        <w:rPr>
          <w:rStyle w:val="19"/>
          <w:rFonts w:hint="eastAsia" w:ascii="仿宋_GB2312" w:hAnsi="仿宋_GB2312" w:eastAsia="仿宋_GB2312" w:cs="仿宋_GB2312"/>
          <w:b w:val="0"/>
          <w:bCs w:val="0"/>
          <w:spacing w:val="-4"/>
          <w:sz w:val="32"/>
          <w:szCs w:val="32"/>
          <w:highlight w:val="none"/>
          <w:lang w:val="en-US" w:eastAsia="zh-CN"/>
        </w:rPr>
        <w:t xml:space="preserve">    2、</w:t>
      </w:r>
      <w:r>
        <w:rPr>
          <w:rStyle w:val="19"/>
          <w:rFonts w:hint="eastAsia" w:ascii="仿宋_GB2312" w:hAnsi="仿宋_GB2312" w:eastAsia="仿宋_GB2312" w:cs="仿宋_GB2312"/>
          <w:b w:val="0"/>
          <w:bCs w:val="0"/>
          <w:spacing w:val="-4"/>
          <w:sz w:val="32"/>
          <w:szCs w:val="32"/>
          <w:highlight w:val="none"/>
        </w:rPr>
        <w:t>存在的问题及原因分析</w:t>
      </w:r>
    </w:p>
    <w:p w14:paraId="5A2CB1A9">
      <w:pPr>
        <w:spacing w:line="540" w:lineRule="exact"/>
        <w:ind w:firstLine="567"/>
        <w:rPr>
          <w:rFonts w:ascii="仿宋_GB2312" w:eastAsia="仿宋_GB2312"/>
          <w:spacing w:val="-4"/>
          <w:sz w:val="32"/>
          <w:szCs w:val="32"/>
        </w:rPr>
      </w:pPr>
      <w:r>
        <w:rPr>
          <w:rStyle w:val="19"/>
          <w:rFonts w:hint="eastAsia" w:ascii="仿宋_GB2312" w:hAnsi="仿宋_GB2312" w:eastAsia="仿宋_GB2312" w:cs="仿宋_GB2312"/>
          <w:b w:val="0"/>
          <w:bCs w:val="0"/>
          <w:spacing w:val="-4"/>
          <w:sz w:val="32"/>
          <w:szCs w:val="32"/>
          <w:highlight w:val="none"/>
        </w:rPr>
        <w:t>绩效管理专业人员匮乏,规范管理有盲点。预算绩效管理工作的覆盖面广、专业性强,不论是预算单位在开展日常管理工作,还是财政部门组织实施绩效评价工作,都需要具备一定专业素养和实战经验的人力资源。推进绩效管理既缺乏工作经验也缺乏专业技能,难以做到程序规范、管理科学和绩效显著。近年以来,我单位配备了专门的绩效工作人员,但都不是绩效专业人员，属于“半道出家”。同时,既没有现成的经验可供借鉴,又缺乏专业性很强的技能储备,只能是边工作、边学习、边摸索、边积累,短期内很多工作难以深入推进。</w:t>
      </w:r>
      <w:r>
        <w:cr/>
      </w:r>
      <w:r>
        <w:rPr>
          <w:rFonts w:hint="eastAsia"/>
          <w:lang w:val="en-US" w:eastAsia="zh-CN"/>
        </w:rPr>
        <w:t xml:space="preserve">    </w:t>
      </w:r>
      <w:r>
        <w:rPr>
          <w:rStyle w:val="19"/>
          <w:rFonts w:hint="eastAsia" w:ascii="仿宋_GB2312" w:hAnsi="仿宋_GB2312" w:eastAsia="仿宋_GB2312" w:cs="仿宋_GB2312"/>
          <w:b w:val="0"/>
          <w:bCs w:val="0"/>
          <w:spacing w:val="-4"/>
          <w:sz w:val="32"/>
          <w:szCs w:val="32"/>
          <w:highlight w:val="none"/>
          <w:lang w:val="en-US" w:eastAsia="zh-CN"/>
        </w:rPr>
        <w:t xml:space="preserve"> </w:t>
      </w:r>
      <w:r>
        <w:rPr>
          <w:rStyle w:val="19"/>
          <w:rFonts w:hint="eastAsia" w:ascii="仿宋_GB2312" w:hAnsi="仿宋_GB2312" w:eastAsia="仿宋_GB2312" w:cs="仿宋_GB2312"/>
          <w:b w:val="0"/>
          <w:bCs w:val="0"/>
          <w:spacing w:val="-4"/>
          <w:sz w:val="32"/>
          <w:szCs w:val="32"/>
          <w:highlight w:val="none"/>
        </w:rPr>
        <w:t>资金管理方面</w:t>
      </w:r>
      <w:r>
        <w:rPr>
          <w:rStyle w:val="19"/>
          <w:rFonts w:hint="eastAsia" w:ascii="仿宋_GB2312" w:hAnsi="仿宋_GB2312" w:eastAsia="仿宋_GB2312" w:cs="仿宋_GB2312"/>
          <w:b w:val="0"/>
          <w:bCs w:val="0"/>
          <w:spacing w:val="-4"/>
          <w:sz w:val="32"/>
          <w:szCs w:val="32"/>
          <w:highlight w:val="none"/>
          <w:lang w:eastAsia="zh-CN"/>
        </w:rPr>
        <w:t>：</w:t>
      </w:r>
      <w:r>
        <w:rPr>
          <w:rStyle w:val="19"/>
          <w:rFonts w:hint="eastAsia" w:ascii="仿宋_GB2312" w:hAnsi="仿宋_GB2312" w:eastAsia="仿宋_GB2312" w:cs="仿宋_GB2312"/>
          <w:b w:val="0"/>
          <w:bCs w:val="0"/>
          <w:spacing w:val="-4"/>
          <w:sz w:val="32"/>
          <w:szCs w:val="32"/>
          <w:highlight w:val="none"/>
        </w:rPr>
        <w:t>财政专项资金在使用过程中，存在监管不力、管理制度不完善等问题造成的资金使用不规范，财政专项资金的申请、使用、验收等环节把关不严格，导致资金拨付与结算材料的真实、完整、合规性未达到要求，财政专项资金使用效率低也是一个普遍存在的问题。单位在申请专项资金时，往往只考虑自身的利益，而忽略了整体效益。同时，由于缺乏有效的绩效评价机制，使得专项资金的投入与产出不成正比，甚至出现了“花钱越多，问题越多”的现象。</w:t>
      </w:r>
    </w:p>
    <w:p w14:paraId="05C0BE6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黑体" w:hAnsi="黑体" w:eastAsia="黑体" w:cs="黑体"/>
          <w:b w:val="0"/>
          <w:spacing w:val="-4"/>
          <w:sz w:val="32"/>
          <w:szCs w:val="32"/>
          <w:highlight w:val="none"/>
          <w:lang w:val="en-US" w:eastAsia="zh-CN"/>
        </w:rPr>
      </w:pPr>
      <w:r>
        <w:rPr>
          <w:rStyle w:val="19"/>
          <w:rFonts w:hint="eastAsia" w:ascii="黑体" w:hAnsi="黑体" w:eastAsia="黑体" w:cs="黑体"/>
          <w:b w:val="0"/>
          <w:spacing w:val="-4"/>
          <w:sz w:val="32"/>
          <w:szCs w:val="32"/>
          <w:highlight w:val="none"/>
          <w:lang w:val="en-US" w:eastAsia="zh-CN"/>
        </w:rPr>
        <w:t>有关建议</w:t>
      </w:r>
    </w:p>
    <w:p w14:paraId="7C6283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12" w:firstLineChars="1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lang w:val="en-US" w:eastAsia="zh-CN"/>
        </w:rPr>
        <w:t>1、</w:t>
      </w:r>
      <w:r>
        <w:rPr>
          <w:rStyle w:val="19"/>
          <w:rFonts w:hint="eastAsia" w:ascii="仿宋_GB2312" w:hAnsi="仿宋_GB2312" w:eastAsia="仿宋_GB2312" w:cs="仿宋_GB2312"/>
          <w:b w:val="0"/>
          <w:bCs w:val="0"/>
          <w:spacing w:val="-4"/>
          <w:sz w:val="32"/>
          <w:szCs w:val="32"/>
          <w:highlight w:val="none"/>
        </w:rPr>
        <w:t>绩效管理方面</w:t>
      </w:r>
    </w:p>
    <w:p w14:paraId="17DC9C4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绩效目标设置是预算批复和预算安排的前置条件，是实施绩效监控、开展绩效评价等工作的重要基础和依据，统领预算绩效管理。应严格按照自治区印发的相关通知要求，切实提升绩效目标和指标的编制水平，强化目标对项目实施的约束力。针对当前预算绩效管理专业队伍缺乏和管理人员专业技能不强的现状,要集中业务骨干充实财政预算绩效管理队伍,强化专业培训、业务交流等措施,帮助和促进现有人员提高政策理论水平、实际工作能力。适时参加绩效管理工作相关学习培训,及时为单位开展绩效管理提供政策理论和专业操作技术指导,促进单位绩效管理整体上台阶。</w:t>
      </w:r>
      <w:r>
        <w:rPr>
          <w:rStyle w:val="19"/>
          <w:rFonts w:hint="eastAsia" w:ascii="仿宋_GB2312" w:hAnsi="仿宋_GB2312" w:eastAsia="仿宋_GB2312" w:cs="仿宋_GB2312"/>
          <w:b w:val="0"/>
          <w:bCs w:val="0"/>
          <w:spacing w:val="-4"/>
          <w:sz w:val="32"/>
          <w:szCs w:val="32"/>
          <w:highlight w:val="none"/>
        </w:rPr>
        <w:cr/>
      </w:r>
      <w:r>
        <w:rPr>
          <w:rStyle w:val="19"/>
          <w:rFonts w:hint="eastAsia" w:ascii="仿宋_GB2312" w:hAnsi="仿宋_GB2312" w:eastAsia="仿宋_GB2312" w:cs="仿宋_GB2312"/>
          <w:b w:val="0"/>
          <w:bCs w:val="0"/>
          <w:spacing w:val="-4"/>
          <w:sz w:val="32"/>
          <w:szCs w:val="32"/>
          <w:highlight w:val="none"/>
          <w:lang w:val="en-US" w:eastAsia="zh-CN"/>
        </w:rPr>
        <w:t xml:space="preserve">    2、</w:t>
      </w:r>
      <w:r>
        <w:rPr>
          <w:rStyle w:val="19"/>
          <w:rFonts w:hint="eastAsia" w:ascii="仿宋_GB2312" w:hAnsi="仿宋_GB2312" w:eastAsia="仿宋_GB2312" w:cs="仿宋_GB2312"/>
          <w:b w:val="0"/>
          <w:bCs w:val="0"/>
          <w:spacing w:val="-4"/>
          <w:sz w:val="32"/>
          <w:szCs w:val="32"/>
          <w:highlight w:val="none"/>
        </w:rPr>
        <w:t>资金管理方面</w:t>
      </w:r>
    </w:p>
    <w:p w14:paraId="648B2BE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rPr>
      </w:pPr>
      <w:r>
        <w:rPr>
          <w:rStyle w:val="19"/>
          <w:rFonts w:hint="eastAsia" w:ascii="仿宋_GB2312" w:hAnsi="仿宋_GB2312" w:eastAsia="仿宋_GB2312" w:cs="仿宋_GB2312"/>
          <w:b w:val="0"/>
          <w:bCs w:val="0"/>
          <w:spacing w:val="-4"/>
          <w:sz w:val="32"/>
          <w:szCs w:val="32"/>
          <w:highlight w:val="none"/>
        </w:rPr>
        <w:t>应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建立专项资金的绩效评价机制，对专项资金的使用效果进行科学评估。同时，加强预算编制和执行的管理，确保专项资金使用的合理性和有效性。此外，鼓励各单位或个人加强协作配合，形成合力，提高专项资金的使用效率。</w:t>
      </w:r>
    </w:p>
    <w:p w14:paraId="7427567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黑体" w:hAnsi="黑体" w:eastAsia="黑体" w:cs="黑体"/>
          <w:b w:val="0"/>
          <w:spacing w:val="-4"/>
          <w:sz w:val="32"/>
          <w:szCs w:val="32"/>
          <w:highlight w:val="none"/>
        </w:rPr>
      </w:pPr>
      <w:r>
        <w:rPr>
          <w:rStyle w:val="19"/>
          <w:rFonts w:hint="eastAsia" w:ascii="黑体" w:hAnsi="黑体" w:eastAsia="黑体" w:cs="黑体"/>
          <w:b w:val="0"/>
          <w:spacing w:val="-4"/>
          <w:sz w:val="32"/>
          <w:szCs w:val="32"/>
          <w:highlight w:val="none"/>
          <w:lang w:val="en-US" w:eastAsia="zh-CN"/>
        </w:rPr>
        <w:t>八</w:t>
      </w:r>
      <w:r>
        <w:rPr>
          <w:rStyle w:val="19"/>
          <w:rFonts w:hint="eastAsia" w:ascii="黑体" w:hAnsi="黑体" w:eastAsia="黑体" w:cs="黑体"/>
          <w:b w:val="0"/>
          <w:spacing w:val="-4"/>
          <w:sz w:val="32"/>
          <w:szCs w:val="32"/>
          <w:highlight w:val="none"/>
        </w:rPr>
        <w:t>、其他需要说明的问题</w:t>
      </w:r>
    </w:p>
    <w:p w14:paraId="2280DE02">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val="en-US" w:eastAsia="zh-CN"/>
        </w:rPr>
        <w:t>1、本项目部分间接产生的效果无法准确在短期内衡量，因此很难认定项目产生的全部效果。通过指标来反映绩效，指标的科学性和全面性需要不断地完善和研究。</w:t>
      </w:r>
    </w:p>
    <w:p w14:paraId="0DAC692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val="en-US" w:eastAsia="zh-CN"/>
        </w:rPr>
        <w:t>2、评价结果作为安排政府预算、完善政策和改进管理的重要依据。原则上，对评价等级为优、良的，根据情况予以支持；对评价等级为中、差的，要完善政策、改进管理，根据情况核减预算。</w:t>
      </w:r>
    </w:p>
    <w:p w14:paraId="60D18D4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val="en-US" w:eastAsia="zh-CN"/>
        </w:rPr>
        <w:t>3、评价结果分别编入政府决算和部门预算，报送本级人民代表大会常务委员会，并依法予以公开。</w:t>
      </w:r>
    </w:p>
    <w:p w14:paraId="13D2388D">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val="en-US" w:eastAsia="zh-CN"/>
        </w:rPr>
        <w:t>4、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54C87DC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r>
        <w:rPr>
          <w:rStyle w:val="19"/>
          <w:rFonts w:hint="eastAsia" w:ascii="仿宋_GB2312" w:hAnsi="仿宋_GB2312" w:eastAsia="仿宋_GB2312" w:cs="仿宋_GB2312"/>
          <w:b w:val="0"/>
          <w:bCs w:val="0"/>
          <w:spacing w:val="-4"/>
          <w:sz w:val="32"/>
          <w:szCs w:val="32"/>
          <w:highlight w:val="none"/>
          <w:lang w:val="en-US" w:eastAsia="zh-CN"/>
        </w:rPr>
        <w:t>5、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1AC27AB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both"/>
        <w:textAlignment w:val="auto"/>
        <w:rPr>
          <w:rStyle w:val="19"/>
          <w:rFonts w:hint="eastAsia" w:ascii="仿宋_GB2312" w:hAnsi="仿宋_GB2312" w:eastAsia="仿宋_GB2312" w:cs="仿宋_GB2312"/>
          <w:b w:val="0"/>
          <w:bCs w:val="0"/>
          <w:spacing w:val="-4"/>
          <w:sz w:val="32"/>
          <w:szCs w:val="32"/>
          <w:highlight w:val="none"/>
          <w:lang w:val="en-US" w:eastAsia="zh-CN"/>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73F43FA">
        <w:pPr>
          <w:pStyle w:val="12"/>
          <w:jc w:val="center"/>
        </w:pPr>
        <w:r>
          <w:fldChar w:fldCharType="begin"/>
        </w:r>
        <w:r>
          <w:instrText xml:space="preserve">PAGE   \* MERGEFORMAT</w:instrText>
        </w:r>
        <w:r>
          <w:fldChar w:fldCharType="separate"/>
        </w:r>
        <w:r>
          <w:rPr>
            <w:lang w:val="zh-CN"/>
          </w:rPr>
          <w:t>1</w:t>
        </w:r>
        <w:r>
          <w:fldChar w:fldCharType="end"/>
        </w:r>
      </w:p>
    </w:sdtContent>
  </w:sdt>
  <w:p w14:paraId="7166968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F2148"/>
    <w:multiLevelType w:val="singleLevel"/>
    <w:tmpl w:val="077F214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E2AC5"/>
    <w:rsid w:val="00671208"/>
    <w:rsid w:val="00D17411"/>
    <w:rsid w:val="02512F75"/>
    <w:rsid w:val="029B75CA"/>
    <w:rsid w:val="03261624"/>
    <w:rsid w:val="04266694"/>
    <w:rsid w:val="048077BB"/>
    <w:rsid w:val="048E122E"/>
    <w:rsid w:val="056A623F"/>
    <w:rsid w:val="057448C8"/>
    <w:rsid w:val="070140D7"/>
    <w:rsid w:val="08EC540F"/>
    <w:rsid w:val="09D56EBF"/>
    <w:rsid w:val="0BA8707A"/>
    <w:rsid w:val="0C004E8B"/>
    <w:rsid w:val="0C7156BE"/>
    <w:rsid w:val="0CDD7C7C"/>
    <w:rsid w:val="0D1C2D59"/>
    <w:rsid w:val="0D3E6931"/>
    <w:rsid w:val="0DC161D1"/>
    <w:rsid w:val="0FAE6C29"/>
    <w:rsid w:val="0FC05E29"/>
    <w:rsid w:val="0FF7237E"/>
    <w:rsid w:val="10787257"/>
    <w:rsid w:val="10922202"/>
    <w:rsid w:val="10B84D24"/>
    <w:rsid w:val="10DE7566"/>
    <w:rsid w:val="1122167C"/>
    <w:rsid w:val="118B7221"/>
    <w:rsid w:val="12BA72BF"/>
    <w:rsid w:val="12F25E2D"/>
    <w:rsid w:val="137B5074"/>
    <w:rsid w:val="137E1BE5"/>
    <w:rsid w:val="13B642FE"/>
    <w:rsid w:val="146749BD"/>
    <w:rsid w:val="14EA67C6"/>
    <w:rsid w:val="170D06D9"/>
    <w:rsid w:val="189015C1"/>
    <w:rsid w:val="18EE62E8"/>
    <w:rsid w:val="1922346A"/>
    <w:rsid w:val="1AB75623"/>
    <w:rsid w:val="1C5174B0"/>
    <w:rsid w:val="1C9F475A"/>
    <w:rsid w:val="1D631052"/>
    <w:rsid w:val="1DBB4A48"/>
    <w:rsid w:val="1DFE521F"/>
    <w:rsid w:val="1E366767"/>
    <w:rsid w:val="20DB35F6"/>
    <w:rsid w:val="21771570"/>
    <w:rsid w:val="24066BDB"/>
    <w:rsid w:val="24507E57"/>
    <w:rsid w:val="24D10B3F"/>
    <w:rsid w:val="24F95A17"/>
    <w:rsid w:val="251D7019"/>
    <w:rsid w:val="26A050C5"/>
    <w:rsid w:val="27E05A24"/>
    <w:rsid w:val="28E22AAD"/>
    <w:rsid w:val="293146FB"/>
    <w:rsid w:val="293E2777"/>
    <w:rsid w:val="293F6969"/>
    <w:rsid w:val="29475CCC"/>
    <w:rsid w:val="2A473181"/>
    <w:rsid w:val="2B2B0D51"/>
    <w:rsid w:val="2BD9277E"/>
    <w:rsid w:val="2D4549FF"/>
    <w:rsid w:val="2D8E54E4"/>
    <w:rsid w:val="2E9D638E"/>
    <w:rsid w:val="31394BC5"/>
    <w:rsid w:val="318E34E9"/>
    <w:rsid w:val="31EC5663"/>
    <w:rsid w:val="3321133C"/>
    <w:rsid w:val="33FC76B3"/>
    <w:rsid w:val="346F1AF2"/>
    <w:rsid w:val="352A733C"/>
    <w:rsid w:val="35366A4B"/>
    <w:rsid w:val="373D24BC"/>
    <w:rsid w:val="37CE4EB3"/>
    <w:rsid w:val="38846DF5"/>
    <w:rsid w:val="39C33BBB"/>
    <w:rsid w:val="3A8723CC"/>
    <w:rsid w:val="3AC16F61"/>
    <w:rsid w:val="3B2B74FF"/>
    <w:rsid w:val="3B7566C9"/>
    <w:rsid w:val="3BD93BD8"/>
    <w:rsid w:val="3C2F7B85"/>
    <w:rsid w:val="3CB02ABC"/>
    <w:rsid w:val="3CF249E7"/>
    <w:rsid w:val="3D255ECD"/>
    <w:rsid w:val="3F490325"/>
    <w:rsid w:val="41670862"/>
    <w:rsid w:val="41AB7285"/>
    <w:rsid w:val="43D57181"/>
    <w:rsid w:val="44F3240C"/>
    <w:rsid w:val="450B1E4C"/>
    <w:rsid w:val="45E22BAD"/>
    <w:rsid w:val="462E7BA0"/>
    <w:rsid w:val="46C027C2"/>
    <w:rsid w:val="471D03BB"/>
    <w:rsid w:val="476F3F5C"/>
    <w:rsid w:val="48C83D71"/>
    <w:rsid w:val="48DF2FCB"/>
    <w:rsid w:val="491004AC"/>
    <w:rsid w:val="49B605D8"/>
    <w:rsid w:val="4ABE596A"/>
    <w:rsid w:val="4C9D782D"/>
    <w:rsid w:val="4DC351C2"/>
    <w:rsid w:val="4E872543"/>
    <w:rsid w:val="4EF02C2A"/>
    <w:rsid w:val="4FC74BC1"/>
    <w:rsid w:val="50A373DC"/>
    <w:rsid w:val="513C7FF9"/>
    <w:rsid w:val="52156097"/>
    <w:rsid w:val="52485B88"/>
    <w:rsid w:val="525E0CC8"/>
    <w:rsid w:val="52B92EE7"/>
    <w:rsid w:val="53DF5431"/>
    <w:rsid w:val="545509EE"/>
    <w:rsid w:val="54857525"/>
    <w:rsid w:val="54CB6F02"/>
    <w:rsid w:val="56156C7A"/>
    <w:rsid w:val="565B7134"/>
    <w:rsid w:val="570F1328"/>
    <w:rsid w:val="572D11A5"/>
    <w:rsid w:val="574D3BFE"/>
    <w:rsid w:val="58BA1767"/>
    <w:rsid w:val="5960279E"/>
    <w:rsid w:val="5A020049"/>
    <w:rsid w:val="5AAB4CAC"/>
    <w:rsid w:val="5BC629D9"/>
    <w:rsid w:val="5BFF211A"/>
    <w:rsid w:val="5CA93FCD"/>
    <w:rsid w:val="5DA30DE2"/>
    <w:rsid w:val="5DFB3FA8"/>
    <w:rsid w:val="5E807125"/>
    <w:rsid w:val="5E916AC6"/>
    <w:rsid w:val="5E9E7B40"/>
    <w:rsid w:val="5F3E6C4E"/>
    <w:rsid w:val="5F5F51DD"/>
    <w:rsid w:val="5F7979D9"/>
    <w:rsid w:val="5FCA3BCF"/>
    <w:rsid w:val="610F6AD4"/>
    <w:rsid w:val="61A223C8"/>
    <w:rsid w:val="61C6283F"/>
    <w:rsid w:val="61E17D65"/>
    <w:rsid w:val="6200012E"/>
    <w:rsid w:val="6251225F"/>
    <w:rsid w:val="64357A15"/>
    <w:rsid w:val="64CC0858"/>
    <w:rsid w:val="65651C0D"/>
    <w:rsid w:val="685847A6"/>
    <w:rsid w:val="689A2A1B"/>
    <w:rsid w:val="69FE014A"/>
    <w:rsid w:val="6ACA5C35"/>
    <w:rsid w:val="6BFF0A82"/>
    <w:rsid w:val="6C47110C"/>
    <w:rsid w:val="6CAE2A90"/>
    <w:rsid w:val="6D8134CB"/>
    <w:rsid w:val="6D9739CD"/>
    <w:rsid w:val="6F343626"/>
    <w:rsid w:val="6F5E0C47"/>
    <w:rsid w:val="6FDFEAB7"/>
    <w:rsid w:val="6FE26134"/>
    <w:rsid w:val="700D41C4"/>
    <w:rsid w:val="70992FE9"/>
    <w:rsid w:val="710E6119"/>
    <w:rsid w:val="71A87F57"/>
    <w:rsid w:val="73037217"/>
    <w:rsid w:val="73261311"/>
    <w:rsid w:val="73FF5520"/>
    <w:rsid w:val="742A7349"/>
    <w:rsid w:val="747B7BA5"/>
    <w:rsid w:val="74B756F0"/>
    <w:rsid w:val="75811530"/>
    <w:rsid w:val="759E1430"/>
    <w:rsid w:val="75B25848"/>
    <w:rsid w:val="75CD2682"/>
    <w:rsid w:val="763C15B6"/>
    <w:rsid w:val="76B31878"/>
    <w:rsid w:val="78697682"/>
    <w:rsid w:val="7A320D06"/>
    <w:rsid w:val="7A65148B"/>
    <w:rsid w:val="7C156B31"/>
    <w:rsid w:val="7D2C6D56"/>
    <w:rsid w:val="7DFA7D8C"/>
    <w:rsid w:val="7E6B2A38"/>
    <w:rsid w:val="7EB50B00"/>
    <w:rsid w:val="7ED06D3F"/>
    <w:rsid w:val="7F98785D"/>
    <w:rsid w:val="7FC5490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xmlns="http://schemas.openxmlformats.org/officeDocument/2006/custom-properties" fmtid="{D5CDD505-2E9C-101B-9397-08002B2CF9AE}" name="KSOProductBuildVer" pid="2">
    <vt:lpwstr xmlns:vt="http://schemas.openxmlformats.org/officeDocument/2006/docPropsVTypes">2052-12.1.0.21541</vt:lpwstr>
  </property>
  <property xmlns="http://schemas.openxmlformats.org/officeDocument/2006/custom-properties" fmtid="{D5CDD505-2E9C-101B-9397-08002B2CF9AE}" name="ICV" pid="3">
    <vt:lpwstr xmlns:vt="http://schemas.openxmlformats.org/officeDocument/2006/docPropsVTypes">54E69B458BF24F6B9460813E3F3303AF_13</vt:lpwstr>
  </property>
  <property xmlns="http://schemas.openxmlformats.org/officeDocument/2006/custom-properties" fmtid="{D5CDD505-2E9C-101B-9397-08002B2CF9AE}" name="KSOTemplateDocerSaveRecord" pid="4">
    <vt:lpwstr xmlns:vt="http://schemas.openxmlformats.org/officeDocument/2006/docPropsVTypes">eyJoZGlkIjoiYWJmNTAxYTA0NTllZTU0OWY5NWY0MWNlMzBjNGU2OTYiLCJ1c2VySWQiOiIxNzAyNzM4NTM4In0=</vt:lpwstr>
  </property>
</Properties>
</file>

<file path=customXml/itemProps1.xml><?xml version="1.0" encoding="utf-8"?>
<ds:datastoreItem xmlns:ds="http://schemas.openxmlformats.org/officeDocument/2006/customXml" ds:itemID="{2907c1d8-6225-40ad-be55-195acd43d61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12415</Words>
  <Characters>13056</Characters>
  <Lines>5</Lines>
  <Paragraphs>1</Paragraphs>
  <TotalTime>2</TotalTime>
  <ScaleCrop>false</ScaleCrop>
  <LinksUpToDate>false</LinksUpToDate>
  <CharactersWithSpaces>13479</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恺_xFF08_预算处_xFF09_</dc:creator>
  <cp:lastModifiedBy>sugon</cp:lastModifiedBy>
  <cp:lastPrinted>2025-10-21T18:41:20Z</cp:lastPrinted>
  <dcterms:modified xsi:type="dcterms:W3CDTF">2025-10-21T18:41:41Z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54E69B458BF24F6B9460813E3F3303AF_13</vt:lpwstr>
  </property>
  <property fmtid="{D5CDD505-2E9C-101B-9397-08002B2CF9AE}" pid="4" name="KSOTemplateDocerSaveRecord">
    <vt:lpwstr>eyJoZGlkIjoiYWJmNTAxYTA0NTllZTU0OWY5NWY0MWNlMzBjNGU2OTYiLCJ1c2VySWQiOiIxNzAyNzM4NTM4In0=</vt:lpwstr>
  </property>
</Properties>
</file>