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658822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和田地区生态环境局墨玉县分局2024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D8661E">
      <w:r>
        <w:br w:type="page"/>
      </w:r>
    </w:p>
    <w:p w14:paraId="729AD1DE">
      <w:pPr>
        <w:spacing w:line="640" w:lineRule="exact"/>
        <w:jc w:val="center"/>
        <w:outlineLvl w:val="1"/>
      </w:pPr>
      <w:r>
        <w:rPr>
          <w:rFonts w:ascii="黑体" w:hAnsi="黑体" w:eastAsia="黑体"/>
          <w:sz w:val="32"/>
        </w:rPr>
        <w:t>第一部分 单位概况</w:t>
      </w:r>
    </w:p>
    <w:p w14:paraId="5946B3CC">
      <w:pPr>
        <w:spacing w:line="640" w:lineRule="exact"/>
        <w:ind w:firstLine="640"/>
        <w:jc w:val="both"/>
        <w:outlineLvl w:val="2"/>
      </w:pPr>
      <w:r>
        <w:rPr>
          <w:rFonts w:ascii="黑体" w:hAnsi="黑体" w:eastAsia="黑体"/>
          <w:sz w:val="32"/>
        </w:rPr>
        <w:t>一、主要职能</w:t>
      </w:r>
    </w:p>
    <w:p w14:paraId="7BB03D78">
      <w:pPr>
        <w:spacing w:line="580" w:lineRule="exact"/>
        <w:ind w:firstLine="640"/>
        <w:jc w:val="both"/>
      </w:pPr>
      <w:r>
        <w:rPr>
          <w:rFonts w:ascii="仿宋_GB2312" w:hAnsi="仿宋_GB2312" w:eastAsia="仿宋_GB2312"/>
          <w:sz w:val="32"/>
        </w:rPr>
        <w:t>1、贯彻落实国家环境保护基本制度为墨玉县生态环境工作服务。</w:t>
      </w:r>
    </w:p>
    <w:p w14:paraId="75D99741">
      <w:pPr>
        <w:spacing w:line="580" w:lineRule="exact"/>
        <w:ind w:firstLine="640"/>
        <w:jc w:val="both"/>
      </w:pPr>
      <w:r>
        <w:rPr>
          <w:rFonts w:ascii="仿宋_GB2312" w:hAnsi="仿宋_GB2312" w:eastAsia="仿宋_GB2312"/>
          <w:sz w:val="32"/>
        </w:rPr>
        <w:t>2、负责重大生态环境问题的统筹协调和监督管理。</w:t>
      </w:r>
    </w:p>
    <w:p w14:paraId="38A3338D">
      <w:pPr>
        <w:spacing w:line="580" w:lineRule="exact"/>
        <w:ind w:firstLine="640"/>
        <w:jc w:val="both"/>
      </w:pPr>
      <w:r>
        <w:rPr>
          <w:rFonts w:ascii="仿宋_GB2312" w:hAnsi="仿宋_GB2312" w:eastAsia="仿宋_GB2312"/>
          <w:sz w:val="32"/>
        </w:rPr>
        <w:t>3、负责监督管理地区减排目标的落实。</w:t>
      </w:r>
    </w:p>
    <w:p w14:paraId="6BE1D44A">
      <w:pPr>
        <w:spacing w:line="580" w:lineRule="exact"/>
        <w:ind w:firstLine="640"/>
        <w:jc w:val="both"/>
      </w:pPr>
      <w:r>
        <w:rPr>
          <w:rFonts w:ascii="仿宋_GB2312" w:hAnsi="仿宋_GB2312" w:eastAsia="仿宋_GB2312"/>
          <w:sz w:val="32"/>
        </w:rPr>
        <w:t>4、负责环境污染防治的监督管理。</w:t>
      </w:r>
    </w:p>
    <w:p w14:paraId="45FD72A5">
      <w:pPr>
        <w:spacing w:line="580" w:lineRule="exact"/>
        <w:ind w:firstLine="640"/>
        <w:jc w:val="both"/>
      </w:pPr>
      <w:r>
        <w:rPr>
          <w:rFonts w:ascii="仿宋_GB2312" w:hAnsi="仿宋_GB2312" w:eastAsia="仿宋_GB2312"/>
          <w:sz w:val="32"/>
        </w:rPr>
        <w:t>5、指导协调和监督生态保护修复工作。</w:t>
      </w:r>
    </w:p>
    <w:p w14:paraId="3D64D87A">
      <w:pPr>
        <w:spacing w:line="580" w:lineRule="exact"/>
        <w:ind w:firstLine="640"/>
        <w:jc w:val="both"/>
      </w:pPr>
      <w:r>
        <w:rPr>
          <w:rFonts w:ascii="仿宋_GB2312" w:hAnsi="仿宋_GB2312" w:eastAsia="仿宋_GB2312"/>
          <w:sz w:val="32"/>
        </w:rPr>
        <w:t>6、负责实用功能辐射安全的监督管理。</w:t>
      </w:r>
    </w:p>
    <w:p w14:paraId="64F5CAC4">
      <w:pPr>
        <w:spacing w:line="580" w:lineRule="exact"/>
        <w:ind w:firstLine="640"/>
        <w:jc w:val="both"/>
      </w:pPr>
      <w:r>
        <w:rPr>
          <w:rFonts w:ascii="仿宋_GB2312" w:hAnsi="仿宋_GB2312" w:eastAsia="仿宋_GB2312"/>
          <w:sz w:val="32"/>
        </w:rPr>
        <w:t>7、负责生态环境监测工作。</w:t>
      </w:r>
    </w:p>
    <w:p w14:paraId="00C51D88">
      <w:pPr>
        <w:spacing w:line="580" w:lineRule="exact"/>
        <w:ind w:firstLine="640"/>
        <w:jc w:val="both"/>
      </w:pPr>
      <w:r>
        <w:rPr>
          <w:rFonts w:ascii="仿宋_GB2312" w:hAnsi="仿宋_GB2312" w:eastAsia="仿宋_GB2312"/>
          <w:sz w:val="32"/>
        </w:rPr>
        <w:t>8、负责应对气候变化工作。</w:t>
      </w:r>
    </w:p>
    <w:p w14:paraId="4ECC347F">
      <w:pPr>
        <w:spacing w:line="580" w:lineRule="exact"/>
        <w:ind w:firstLine="640"/>
        <w:jc w:val="both"/>
      </w:pPr>
      <w:r>
        <w:rPr>
          <w:rFonts w:ascii="仿宋_GB2312" w:hAnsi="仿宋_GB2312" w:eastAsia="仿宋_GB2312"/>
          <w:sz w:val="32"/>
        </w:rPr>
        <w:t>9、组织指导和协调生态环境保护宣传教育工作。</w:t>
      </w:r>
    </w:p>
    <w:p w14:paraId="0D8AFD61">
      <w:pPr>
        <w:spacing w:line="580" w:lineRule="exact"/>
        <w:ind w:firstLine="640"/>
        <w:jc w:val="both"/>
      </w:pPr>
      <w:r>
        <w:rPr>
          <w:rFonts w:ascii="仿宋_GB2312" w:hAnsi="仿宋_GB2312" w:eastAsia="仿宋_GB2312"/>
          <w:sz w:val="32"/>
        </w:rPr>
        <w:t>10、完成县委、县政府交办的其他任务。</w:t>
      </w:r>
    </w:p>
    <w:p w14:paraId="0F1C4CE8">
      <w:pPr>
        <w:spacing w:line="640" w:lineRule="exact"/>
        <w:ind w:firstLine="640"/>
        <w:jc w:val="both"/>
        <w:outlineLvl w:val="2"/>
      </w:pPr>
      <w:r>
        <w:rPr>
          <w:rFonts w:ascii="黑体" w:hAnsi="黑体" w:eastAsia="黑体"/>
          <w:sz w:val="32"/>
        </w:rPr>
        <w:t>二、机构设置及人员情况</w:t>
      </w:r>
    </w:p>
    <w:p w14:paraId="004AB187">
      <w:pPr>
        <w:spacing w:line="580" w:lineRule="exact"/>
        <w:ind w:firstLine="640"/>
        <w:jc w:val="both"/>
      </w:pPr>
      <w:r>
        <w:rPr>
          <w:rFonts w:ascii="仿宋_GB2312" w:hAnsi="仿宋_GB2312" w:eastAsia="仿宋_GB2312"/>
          <w:sz w:val="32"/>
        </w:rPr>
        <w:t>和田地区生态环境局墨玉县分局2024年度，实有人数26人，其中：在职人员17人，增加17人；离休人员0人，增加0人；退休人员9人,增加9人。</w:t>
      </w:r>
    </w:p>
    <w:p w14:paraId="23A6AD66">
      <w:pPr>
        <w:spacing w:line="580" w:lineRule="exact"/>
        <w:ind w:firstLine="640"/>
        <w:jc w:val="both"/>
      </w:pPr>
      <w:r>
        <w:rPr>
          <w:rFonts w:ascii="仿宋_GB2312" w:hAnsi="仿宋_GB2312" w:eastAsia="仿宋_GB2312"/>
          <w:sz w:val="32"/>
        </w:rPr>
        <w:t>和田地区生态环境局墨玉县分局无下属预算单位，下设4个科室，分别是：财务室、办公室、环境执法大队、环境监测站。</w:t>
      </w:r>
    </w:p>
    <w:p w14:paraId="1766439C">
      <w:r>
        <w:br w:type="page"/>
      </w:r>
    </w:p>
    <w:p w14:paraId="30A8250A">
      <w:pPr>
        <w:spacing w:line="240" w:lineRule="auto"/>
        <w:jc w:val="center"/>
        <w:outlineLvl w:val="1"/>
      </w:pPr>
      <w:r>
        <w:rPr>
          <w:rFonts w:ascii="黑体" w:hAnsi="黑体" w:eastAsia="黑体"/>
          <w:sz w:val="32"/>
        </w:rPr>
        <w:t>第二部分 部门决算情况说明</w:t>
      </w:r>
    </w:p>
    <w:p w14:paraId="6B4529F3">
      <w:pPr>
        <w:spacing w:line="640" w:lineRule="exact"/>
        <w:ind w:firstLine="640"/>
        <w:jc w:val="both"/>
        <w:outlineLvl w:val="2"/>
      </w:pPr>
      <w:r>
        <w:rPr>
          <w:rFonts w:ascii="黑体" w:hAnsi="黑体" w:eastAsia="黑体"/>
          <w:sz w:val="32"/>
        </w:rPr>
        <w:t>一、收入支出决算总体情况说明</w:t>
      </w:r>
    </w:p>
    <w:p w14:paraId="346942FD">
      <w:pPr>
        <w:spacing w:line="580" w:lineRule="exact"/>
        <w:ind w:firstLine="640"/>
        <w:jc w:val="both"/>
      </w:pPr>
      <w:r>
        <w:rPr>
          <w:rFonts w:ascii="仿宋_GB2312" w:hAnsi="仿宋_GB2312" w:eastAsia="仿宋_GB2312"/>
          <w:b/>
          <w:sz w:val="32"/>
        </w:rPr>
        <w:t>2024年度收入总计445.31万元，</w:t>
      </w:r>
      <w:r>
        <w:rPr>
          <w:rFonts w:ascii="仿宋_GB2312" w:hAnsi="仿宋_GB2312" w:eastAsia="仿宋_GB2312"/>
          <w:b w:val="0"/>
          <w:sz w:val="32"/>
        </w:rPr>
        <w:t>其中：本年收入合计445.31万元，使用非财政拨款结余（含专用结余）0.00万元，年初结转和结余0.00万元。</w:t>
      </w:r>
    </w:p>
    <w:p w14:paraId="233994CA">
      <w:pPr>
        <w:spacing w:line="580" w:lineRule="exact"/>
        <w:ind w:firstLine="640"/>
        <w:jc w:val="both"/>
      </w:pPr>
      <w:r>
        <w:rPr>
          <w:rFonts w:ascii="仿宋_GB2312" w:hAnsi="仿宋_GB2312" w:eastAsia="仿宋_GB2312"/>
          <w:b/>
          <w:sz w:val="32"/>
        </w:rPr>
        <w:t>2024年度支出总计445.31万元，</w:t>
      </w:r>
      <w:r>
        <w:rPr>
          <w:rFonts w:ascii="仿宋_GB2312" w:hAnsi="仿宋_GB2312" w:eastAsia="仿宋_GB2312"/>
          <w:b w:val="0"/>
          <w:sz w:val="32"/>
        </w:rPr>
        <w:t>其中：本年支出合计445.31万元，结余分配0.00万元，年末结转和结余0.00万元。</w:t>
      </w:r>
    </w:p>
    <w:p w14:paraId="3CC1AE2D">
      <w:pPr>
        <w:spacing w:line="580" w:lineRule="exact"/>
        <w:ind w:firstLine="640"/>
        <w:jc w:val="both"/>
      </w:pPr>
      <w:r>
        <w:rPr>
          <w:rFonts w:ascii="仿宋_GB2312" w:hAnsi="仿宋_GB2312" w:eastAsia="仿宋_GB2312"/>
          <w:b w:val="0"/>
          <w:sz w:val="32"/>
        </w:rPr>
        <w:t>收入支出总体与上年相比，增加445.31万元，增长100.00%，主要原因是：本单位为2024年1月新增单位，无上年对比数据。</w:t>
      </w:r>
    </w:p>
    <w:p w14:paraId="4D2B3C6E">
      <w:pPr>
        <w:spacing w:line="640" w:lineRule="exact"/>
        <w:ind w:firstLine="640"/>
        <w:jc w:val="both"/>
        <w:outlineLvl w:val="2"/>
      </w:pPr>
      <w:r>
        <w:rPr>
          <w:rFonts w:ascii="黑体" w:hAnsi="黑体" w:eastAsia="黑体"/>
          <w:sz w:val="32"/>
        </w:rPr>
        <w:t>二、收入决算情况说明</w:t>
      </w:r>
    </w:p>
    <w:p w14:paraId="417AE9FB">
      <w:pPr>
        <w:spacing w:line="580" w:lineRule="exact"/>
        <w:ind w:firstLine="640"/>
        <w:jc w:val="both"/>
      </w:pPr>
      <w:r>
        <w:rPr>
          <w:rFonts w:ascii="仿宋_GB2312" w:hAnsi="仿宋_GB2312" w:eastAsia="仿宋_GB2312"/>
          <w:b/>
          <w:sz w:val="32"/>
        </w:rPr>
        <w:t>本年收入445.31万元，</w:t>
      </w:r>
      <w:r>
        <w:rPr>
          <w:rFonts w:ascii="仿宋_GB2312" w:hAnsi="仿宋_GB2312" w:eastAsia="仿宋_GB2312"/>
          <w:b w:val="0"/>
          <w:sz w:val="32"/>
        </w:rPr>
        <w:t>其中：财政拨款收入445.31万元，占100.00%；上级补助收入0.00万元，占0.00%；事业收入0.00万元，占0.00%；经营收入0.00万元，占0.00%；附属单位上缴收入0.00万元，占0.00%；其他收入0.00万元，占0.00%。</w:t>
      </w:r>
    </w:p>
    <w:p w14:paraId="18D1509C">
      <w:pPr>
        <w:spacing w:line="640" w:lineRule="exact"/>
        <w:ind w:firstLine="640"/>
        <w:jc w:val="both"/>
        <w:outlineLvl w:val="2"/>
      </w:pPr>
      <w:r>
        <w:rPr>
          <w:rFonts w:ascii="黑体" w:hAnsi="黑体" w:eastAsia="黑体"/>
          <w:sz w:val="32"/>
        </w:rPr>
        <w:t>三、支出决算情况说明</w:t>
      </w:r>
    </w:p>
    <w:p w14:paraId="77FDDE2C">
      <w:pPr>
        <w:spacing w:line="580" w:lineRule="exact"/>
        <w:ind w:firstLine="640"/>
        <w:jc w:val="both"/>
      </w:pPr>
      <w:r>
        <w:rPr>
          <w:rFonts w:ascii="仿宋_GB2312" w:hAnsi="仿宋_GB2312" w:eastAsia="仿宋_GB2312"/>
          <w:b/>
          <w:sz w:val="32"/>
        </w:rPr>
        <w:t>本年支出445.31万元，</w:t>
      </w:r>
      <w:r>
        <w:rPr>
          <w:rFonts w:ascii="仿宋_GB2312" w:hAnsi="仿宋_GB2312" w:eastAsia="仿宋_GB2312"/>
          <w:b w:val="0"/>
          <w:sz w:val="32"/>
        </w:rPr>
        <w:t>其中：基本支出407.13万元，占91.43%；项目支出38.18万元，占8.57%；上缴上级支出0.00万元，占0.00%；经营支出0.00万元，占0.00%；对附属单位补助支出0.00万元，占0.00%。</w:t>
      </w:r>
    </w:p>
    <w:p w14:paraId="7CC75400">
      <w:pPr>
        <w:spacing w:line="640" w:lineRule="exact"/>
        <w:ind w:firstLine="640"/>
        <w:jc w:val="both"/>
        <w:outlineLvl w:val="2"/>
      </w:pPr>
      <w:r>
        <w:rPr>
          <w:rFonts w:ascii="黑体" w:hAnsi="黑体" w:eastAsia="黑体"/>
          <w:sz w:val="32"/>
        </w:rPr>
        <w:t>四、财政拨款收入支出决算总体情况说明</w:t>
      </w:r>
    </w:p>
    <w:p w14:paraId="337B8735">
      <w:pPr>
        <w:spacing w:line="580" w:lineRule="exact"/>
        <w:ind w:firstLine="640"/>
        <w:jc w:val="both"/>
      </w:pPr>
      <w:r>
        <w:rPr>
          <w:rFonts w:ascii="仿宋_GB2312" w:hAnsi="仿宋_GB2312" w:eastAsia="仿宋_GB2312"/>
          <w:b/>
          <w:sz w:val="32"/>
        </w:rPr>
        <w:t>2024年度财政拨款收入总计445.31万元，</w:t>
      </w:r>
      <w:r>
        <w:rPr>
          <w:rFonts w:ascii="仿宋_GB2312" w:hAnsi="仿宋_GB2312" w:eastAsia="仿宋_GB2312"/>
          <w:b w:val="0"/>
          <w:sz w:val="32"/>
        </w:rPr>
        <w:t>其中：年初财政拨款结转和结余0.00万元，本年财政拨款收入445.31万元。</w:t>
      </w:r>
      <w:r>
        <w:rPr>
          <w:rFonts w:ascii="仿宋_GB2312" w:hAnsi="仿宋_GB2312" w:eastAsia="仿宋_GB2312"/>
          <w:b/>
          <w:sz w:val="32"/>
        </w:rPr>
        <w:t>财政拨款支出总计445.31万元，</w:t>
      </w:r>
      <w:r>
        <w:rPr>
          <w:rFonts w:ascii="仿宋_GB2312" w:hAnsi="仿宋_GB2312" w:eastAsia="仿宋_GB2312"/>
          <w:b w:val="0"/>
          <w:sz w:val="32"/>
        </w:rPr>
        <w:t>其中：年末财政拨款结转和结余0.00万元，本年财政拨款支出445.31万元。</w:t>
      </w:r>
    </w:p>
    <w:p w14:paraId="56E0174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增加445.31万元，增长100.00%，主要原因是：本单位为2024年1月新增单位，无上年对比数据。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年初预算数399.70万元，决算数445.31万元，预决算差异率11.41%，主要原因是：年中追加人员工资、社保、公积金基数调增部分资金，导致预决算存在差异。</w:t>
      </w:r>
    </w:p>
    <w:p w14:paraId="3414DAD0">
      <w:pPr>
        <w:spacing w:line="640" w:lineRule="exact"/>
        <w:ind w:firstLine="640"/>
        <w:jc w:val="both"/>
        <w:outlineLvl w:val="2"/>
      </w:pPr>
      <w:r>
        <w:rPr>
          <w:rFonts w:ascii="黑体" w:hAnsi="黑体" w:eastAsia="黑体"/>
          <w:sz w:val="32"/>
        </w:rPr>
        <w:t>五、一般公共预算财政拨款支出决算情况说明</w:t>
      </w:r>
    </w:p>
    <w:p w14:paraId="67FBB880">
      <w:pPr>
        <w:spacing w:line="640" w:lineRule="exact"/>
        <w:ind w:firstLine="640"/>
        <w:jc w:val="both"/>
        <w:outlineLvl w:val="3"/>
      </w:pPr>
      <w:r>
        <w:rPr>
          <w:rFonts w:ascii="楷体_GB2312" w:hAnsi="楷体_GB2312" w:eastAsia="楷体_GB2312"/>
          <w:b/>
          <w:sz w:val="32"/>
        </w:rPr>
        <w:t>（一）一般公共预算财政拨款支出决算总体情况</w:t>
      </w:r>
    </w:p>
    <w:p w14:paraId="340270F5">
      <w:pPr>
        <w:spacing w:line="580" w:lineRule="exact"/>
        <w:ind w:firstLine="640"/>
        <w:jc w:val="both"/>
      </w:pPr>
      <w:r>
        <w:rPr>
          <w:rFonts w:ascii="仿宋_GB2312" w:hAnsi="仿宋_GB2312" w:eastAsia="仿宋_GB2312"/>
          <w:b/>
          <w:sz w:val="32"/>
        </w:rPr>
        <w:t>2024年度一般公共预算财政拨款支出445.31万元，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增加445.31万元，增长100.00%，主要原因是：本单位为2024年1月新增单位，无上年对比数据。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年初预算数399.70万元，决算数445.31万元，预决算差异率11.41%，主要原因是：年中追加人员工资、社保、公积金基数调增部分资金，导致预决算存在差异。</w:t>
      </w:r>
    </w:p>
    <w:p w14:paraId="48A7A2BB">
      <w:pPr>
        <w:spacing w:line="640" w:lineRule="exact"/>
        <w:ind w:firstLine="640"/>
        <w:jc w:val="both"/>
        <w:outlineLvl w:val="3"/>
      </w:pPr>
      <w:r>
        <w:rPr>
          <w:rFonts w:ascii="楷体_GB2312" w:hAnsi="楷体_GB2312" w:eastAsia="楷体_GB2312"/>
          <w:b/>
          <w:sz w:val="32"/>
        </w:rPr>
        <w:t>（二）一般公共预算财政拨款支出决算结构情况</w:t>
      </w:r>
    </w:p>
    <w:p w14:paraId="26D5E64E">
      <w:pPr>
        <w:spacing w:line="580" w:lineRule="exact"/>
        <w:ind w:firstLine="640"/>
        <w:jc w:val="both"/>
      </w:pPr>
      <w:r>
        <w:rPr>
          <w:rFonts w:ascii="仿宋_GB2312" w:hAnsi="仿宋_GB2312" w:eastAsia="仿宋_GB2312"/>
          <w:b w:val="0"/>
          <w:sz w:val="32"/>
        </w:rPr>
        <w:t>1.社会保障和就业支出(类)54.19万元,占12.17%。</w:t>
      </w:r>
    </w:p>
    <w:p w14:paraId="2AF2390D">
      <w:pPr>
        <w:spacing w:line="580" w:lineRule="exact"/>
        <w:ind w:firstLine="640"/>
        <w:jc w:val="both"/>
      </w:pPr>
      <w:r>
        <w:rPr>
          <w:rFonts w:ascii="仿宋_GB2312" w:hAnsi="仿宋_GB2312" w:eastAsia="仿宋_GB2312"/>
          <w:b w:val="0"/>
          <w:sz w:val="32"/>
        </w:rPr>
        <w:t>2.卫生健康支出(类)21.56万元,占4.84%。</w:t>
      </w:r>
    </w:p>
    <w:p w14:paraId="4A993FFF">
      <w:pPr>
        <w:spacing w:line="580" w:lineRule="exact"/>
        <w:ind w:firstLine="640"/>
        <w:jc w:val="both"/>
      </w:pPr>
      <w:r>
        <w:rPr>
          <w:rFonts w:ascii="仿宋_GB2312" w:hAnsi="仿宋_GB2312" w:eastAsia="仿宋_GB2312"/>
          <w:b w:val="0"/>
          <w:sz w:val="32"/>
        </w:rPr>
        <w:t>3.节能环保支出(类)317.42万元,占71.28%。</w:t>
      </w:r>
    </w:p>
    <w:p w14:paraId="399B44BF">
      <w:pPr>
        <w:spacing w:line="580" w:lineRule="exact"/>
        <w:ind w:firstLine="640"/>
        <w:jc w:val="both"/>
      </w:pPr>
      <w:r>
        <w:rPr>
          <w:rFonts w:ascii="仿宋_GB2312" w:hAnsi="仿宋_GB2312" w:eastAsia="仿宋_GB2312"/>
          <w:b w:val="0"/>
          <w:sz w:val="32"/>
        </w:rPr>
        <w:t>4.住房保障支出(类)28.15万元,占6.32%。</w:t>
      </w:r>
    </w:p>
    <w:p w14:paraId="3B6948BB">
      <w:pPr>
        <w:spacing w:line="580" w:lineRule="exact"/>
        <w:ind w:firstLine="640"/>
        <w:jc w:val="both"/>
      </w:pPr>
      <w:r>
        <w:rPr>
          <w:rFonts w:ascii="仿宋_GB2312" w:hAnsi="仿宋_GB2312" w:eastAsia="仿宋_GB2312"/>
          <w:b w:val="0"/>
          <w:sz w:val="32"/>
        </w:rPr>
        <w:t>5.其他支出(类)23.99万元,占5.39%。</w:t>
      </w:r>
    </w:p>
    <w:p w14:paraId="527590E5">
      <w:pPr>
        <w:spacing w:line="640" w:lineRule="exact"/>
        <w:ind w:firstLine="640"/>
        <w:jc w:val="both"/>
        <w:outlineLvl w:val="3"/>
      </w:pPr>
      <w:r>
        <w:rPr>
          <w:rFonts w:ascii="楷体_GB2312" w:hAnsi="楷体_GB2312" w:eastAsia="楷体_GB2312"/>
          <w:b/>
          <w:sz w:val="32"/>
        </w:rPr>
        <w:t>（三）一般公共预算财政拨款支出决算具体情况</w:t>
      </w:r>
    </w:p>
    <w:p w14:paraId="593547D4">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1.社会保障和就业支出(类)行政事业单位养老支出(款)行政单位离退休(项):支出决算数为10.69万元，比上年决算增加10.69万元，增长100.00%,主要原因是：本单位为2024年1月新增单位，无上年对比数据。</w:t>
      </w:r>
    </w:p>
    <w:p w14:paraId="11E2830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36.97万元，比上年决算增加36.97万元，增长100.00%,主要原因是：本单位为2024年1月新增单位，无上年对比数据。</w:t>
      </w:r>
    </w:p>
    <w:p w14:paraId="5F9FC49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3.社会保障和就业支出(类)行政事业单位养老支出(款)机关事业单位职业年金缴费支出(项):支出决算数为6.53万元，比上年决算增加6.53万元，增长100.00%,主要原因是：本单位为2024年1月新增单位，无上年对比数据。</w:t>
      </w:r>
    </w:p>
    <w:p w14:paraId="1ABDC083">
      <w:pPr>
        <w:spacing w:line="580" w:lineRule="exact"/>
        <w:ind w:firstLine="640"/>
        <w:jc w:val="both"/>
      </w:pPr>
      <w:r>
        <w:rPr>
          <w:rFonts w:ascii="仿宋_GB2312" w:hAnsi="仿宋_GB2312" w:eastAsia="仿宋_GB2312"/>
          <w:b w:val="0"/>
          <w:sz w:val="32"/>
        </w:rPr>
        <w:t>4.卫生健康支出(类)行政事业单位医疗(款)行政单位医疗(项):支出决算数为15.02万元，比上年决算增加15.02万元，增长100.00%,主要原因是：本单位为2024年1月新增单位，无上年对比数据。</w:t>
      </w:r>
    </w:p>
    <w:p w14:paraId="1C6C7D06">
      <w:pPr>
        <w:spacing w:line="580" w:lineRule="exact"/>
        <w:ind w:firstLine="640"/>
        <w:jc w:val="both"/>
      </w:pPr>
      <w:r>
        <w:rPr>
          <w:rFonts w:ascii="仿宋_GB2312" w:hAnsi="仿宋_GB2312" w:eastAsia="仿宋_GB2312"/>
          <w:b w:val="0"/>
          <w:sz w:val="32"/>
        </w:rPr>
        <w:t>5.卫生健康支出(类)行政事业单位医疗(款)公务员医疗补助(项):支出决算数为6.54万元，比上年决算增加6.54万元，增长100.00%,主要原因是：本单位为2024年1月新增单位，无上年对比数据。</w:t>
      </w:r>
    </w:p>
    <w:p w14:paraId="2F20D42A">
      <w:pPr>
        <w:spacing w:line="580" w:lineRule="exact"/>
        <w:ind w:firstLine="640"/>
        <w:jc w:val="both"/>
      </w:pPr>
      <w:r>
        <w:rPr>
          <w:rFonts w:ascii="仿宋_GB2312" w:hAnsi="仿宋_GB2312" w:eastAsia="仿宋_GB2312"/>
          <w:b w:val="0"/>
          <w:sz w:val="32"/>
        </w:rPr>
        <w:t>6.节能环保支出(类)环境保护管理事务(款)行政运行(项):支出决算数为303.22万元，比上年决算增加303.22万元，增长100.00%,主要原因是：本单位为2024年1月新增单位，无上年对比数据。</w:t>
      </w:r>
    </w:p>
    <w:p w14:paraId="0E40AE35">
      <w:pPr>
        <w:spacing w:line="580" w:lineRule="exact"/>
        <w:ind w:firstLine="640"/>
        <w:jc w:val="both"/>
      </w:pPr>
      <w:r>
        <w:rPr>
          <w:rFonts w:ascii="仿宋_GB2312" w:hAnsi="仿宋_GB2312" w:eastAsia="仿宋_GB2312"/>
          <w:b w:val="0"/>
          <w:sz w:val="32"/>
        </w:rPr>
        <w:t>7.节能环保支出(类)环境保护管理事务(款)其他环境保护管理事务支出(项):支出决算数为10.59万元，比上年决算增加10.59万元，增长100.00%,主要原因是：本单位为2024年1月新增单位，无上年对比数据。</w:t>
      </w:r>
    </w:p>
    <w:p w14:paraId="1BD2BB7C">
      <w:pPr>
        <w:spacing w:line="580" w:lineRule="exact"/>
        <w:ind w:firstLine="640"/>
        <w:jc w:val="both"/>
      </w:pPr>
      <w:r>
        <w:rPr>
          <w:rFonts w:ascii="仿宋_GB2312" w:hAnsi="仿宋_GB2312" w:eastAsia="仿宋_GB2312"/>
          <w:b w:val="0"/>
          <w:sz w:val="32"/>
        </w:rPr>
        <w:t>8.节能环保支出(类)环境监测与监察(款)其他环境监测与监察支出(项):支出决算数为3.60万元，比上年决算增加3.60万元，增长100.00%,主要原因是：本单位为2024年1月新增单位，无上年对比数据。</w:t>
      </w:r>
    </w:p>
    <w:p w14:paraId="25B0319B">
      <w:pPr>
        <w:spacing w:line="580" w:lineRule="exact"/>
        <w:ind w:firstLine="640"/>
        <w:jc w:val="both"/>
      </w:pPr>
      <w:r>
        <w:rPr>
          <w:rFonts w:ascii="仿宋_GB2312" w:hAnsi="仿宋_GB2312" w:eastAsia="仿宋_GB2312"/>
          <w:b w:val="0"/>
          <w:sz w:val="32"/>
        </w:rPr>
        <w:t>9.住房保障支出(类)住房改革支出(款)住房公积金(项):支出决算数为28.15万元，比上年决算增加28.15万元，增长100.00%,主要原因是：本单位为2024年1月新增单位，无上年对比数据。</w:t>
      </w:r>
    </w:p>
    <w:p w14:paraId="36E0E633">
      <w:pPr>
        <w:spacing w:line="580" w:lineRule="exact"/>
        <w:ind w:firstLine="640"/>
        <w:jc w:val="both"/>
      </w:pPr>
      <w:r>
        <w:rPr>
          <w:rFonts w:ascii="仿宋_GB2312" w:hAnsi="仿宋_GB2312" w:eastAsia="仿宋_GB2312"/>
          <w:b w:val="0"/>
          <w:sz w:val="32"/>
        </w:rPr>
        <w:t>10.其他支出(类)其他支出(款)其他支出(项):支出决算数为23.99万元，比上年决算增加23.99万元，增长100.00%,主要原因是：本单位为2024年1月新增单位，无上年对比数据。</w:t>
      </w:r>
    </w:p>
    <w:p w14:paraId="6E91DB5E">
      <w:pPr>
        <w:spacing w:line="640" w:lineRule="exact"/>
        <w:ind w:firstLine="640"/>
        <w:jc w:val="both"/>
        <w:outlineLvl w:val="2"/>
      </w:pPr>
      <w:r>
        <w:rPr>
          <w:rFonts w:ascii="黑体" w:hAnsi="黑体" w:eastAsia="黑体"/>
          <w:sz w:val="32"/>
        </w:rPr>
        <w:t>六、一般公共预算财政拨款基本支出决算情况说明</w:t>
      </w:r>
    </w:p>
    <w:p w14:paraId="7E918FC9">
      <w:pPr>
        <w:spacing w:line="580" w:lineRule="exact"/>
        <w:ind w:firstLine="640"/>
        <w:jc w:val="both"/>
      </w:pPr>
      <w:r>
        <w:rPr>
          <w:rFonts w:ascii="仿宋_GB2312" w:hAnsi="仿宋_GB2312" w:eastAsia="仿宋_GB2312"/>
          <w:b w:val="0"/>
          <w:sz w:val="32"/>
        </w:rPr>
        <w:t>2024年度一般公共预算财政拨款基本支出407.13万元，其中：</w:t>
      </w:r>
      <w:r>
        <w:rPr>
          <w:rFonts w:ascii="仿宋_GB2312" w:hAnsi="仿宋_GB2312" w:eastAsia="仿宋_GB2312"/>
          <w:b/>
          <w:sz w:val="32"/>
        </w:rPr>
        <w:t>人员经费380.59万元，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3C07D064">
      <w:pPr>
        <w:spacing w:line="580" w:lineRule="exact"/>
        <w:ind w:firstLine="640"/>
        <w:jc w:val="both"/>
      </w:pPr>
      <w:r>
        <w:rPr>
          <w:rFonts w:ascii="仿宋_GB2312" w:hAnsi="仿宋_GB2312" w:eastAsia="仿宋_GB2312"/>
          <w:b/>
          <w:sz w:val="32"/>
        </w:rPr>
        <w:t>公用经费26.53万元，</w:t>
      </w:r>
      <w:r>
        <w:rPr>
          <w:rFonts w:ascii="仿宋_GB2312" w:hAnsi="仿宋_GB2312" w:eastAsia="仿宋_GB2312"/>
          <w:b w:val="0"/>
          <w:sz w:val="32"/>
        </w:rPr>
        <w:t>包括：办公费、邮电费、差旅费、工会经费、福利费、公务用车运行维护费。</w:t>
      </w:r>
    </w:p>
    <w:p w14:paraId="38043E86">
      <w:pPr>
        <w:spacing w:line="640" w:lineRule="exact"/>
        <w:ind w:firstLine="640"/>
        <w:jc w:val="both"/>
        <w:outlineLvl w:val="2"/>
      </w:pPr>
      <w:r>
        <w:rPr>
          <w:rFonts w:ascii="黑体" w:hAnsi="黑体" w:eastAsia="黑体"/>
          <w:sz w:val="32"/>
        </w:rPr>
        <w:t>七、政府性基金预算财政拨款收入支出决算情况说明</w:t>
      </w:r>
    </w:p>
    <w:p w14:paraId="1505DA3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89743E8">
      <w:pPr>
        <w:spacing w:line="640" w:lineRule="exact"/>
        <w:ind w:firstLine="640"/>
        <w:jc w:val="both"/>
        <w:outlineLvl w:val="2"/>
      </w:pPr>
      <w:r>
        <w:rPr>
          <w:rFonts w:ascii="黑体" w:hAnsi="黑体" w:eastAsia="黑体"/>
          <w:sz w:val="32"/>
        </w:rPr>
        <w:t>八、国有资本经营预算财政拨款收入支出决算情况说明</w:t>
      </w:r>
    </w:p>
    <w:p w14:paraId="6603215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8EE34E">
      <w:pPr>
        <w:spacing w:line="640" w:lineRule="exact"/>
        <w:ind w:firstLine="640"/>
        <w:jc w:val="both"/>
        <w:outlineLvl w:val="2"/>
      </w:pPr>
      <w:r>
        <w:rPr>
          <w:rFonts w:ascii="黑体" w:hAnsi="黑体" w:eastAsia="黑体"/>
          <w:sz w:val="32"/>
        </w:rPr>
        <w:t>九、财政拨款“三公”经费支出决算情况说明</w:t>
      </w:r>
    </w:p>
    <w:p w14:paraId="440207E3">
      <w:pPr>
        <w:spacing w:line="580" w:lineRule="exact"/>
        <w:ind w:firstLine="640"/>
        <w:jc w:val="both"/>
      </w:pPr>
      <w:r>
        <w:rPr>
          <w:rFonts w:ascii="仿宋_GB2312" w:hAnsi="仿宋_GB2312" w:eastAsia="仿宋_GB2312"/>
          <w:b/>
          <w:sz w:val="32"/>
        </w:rPr>
        <w:t>2024年度财政拨款“三公”经费支出5.98万元，</w:t>
      </w:r>
      <w:r>
        <w:rPr>
          <w:rFonts w:ascii="仿宋_GB2312" w:hAnsi="仿宋_GB2312" w:eastAsia="仿宋_GB2312"/>
          <w:b w:val="0"/>
          <w:sz w:val="32"/>
        </w:rPr>
        <w:t>比上年增加5.98万元，增长100.00%，主要原因是：本单位为2024年1月新增单位，无上年对比数据。其中：因公出国（境）费支出0.00万元，占0.00%，比上年增加0.00万元，增长0.00%，主要原因是：2023年与2024年均未安排因公出国（境）费支出。公务用车购置及运行维护费支出5.98万元，占100.00%，比上年增加5.98万元，增长100.00%，主要原因是：本单位为2024年1月新增单位，无上年对比数据。公务接待费支出0.00万元，占0.00%，比上年增加0.00万元，增长0.00%，主要原因是：2023年与2024年均未安排公务接待费支出。</w:t>
      </w:r>
    </w:p>
    <w:p w14:paraId="4CF0D7B1">
      <w:pPr>
        <w:spacing w:line="580" w:lineRule="exact"/>
        <w:ind w:firstLine="640"/>
        <w:jc w:val="both"/>
      </w:pPr>
      <w:r>
        <w:rPr>
          <w:rFonts w:ascii="仿宋_GB2312" w:hAnsi="仿宋_GB2312" w:eastAsia="仿宋_GB2312"/>
          <w:b/>
          <w:sz w:val="32"/>
        </w:rPr>
        <w:t>具体情况如下：</w:t>
      </w:r>
    </w:p>
    <w:p w14:paraId="6BCD96A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216156C">
      <w:pPr>
        <w:spacing w:line="580" w:lineRule="exact"/>
        <w:ind w:firstLine="640"/>
        <w:jc w:val="both"/>
      </w:pPr>
      <w:r>
        <w:rPr>
          <w:rFonts w:ascii="仿宋_GB2312" w:hAnsi="仿宋_GB2312" w:eastAsia="仿宋_GB2312"/>
          <w:b w:val="0"/>
          <w:sz w:val="32"/>
        </w:rPr>
        <w:t>公务用车购置及运行维护费5.98万元，其中：公务用车购置费0.00万元，公务用车运行维护费5.98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45BA9A2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0AA4B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5.98万元，预决算差异率-0.33%，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5.98万元，预决算差异率-0.33%，主要原因是：严格落实中央八项规定精神，厉行节约，减少公务用车使用频次，燃油费减少。公务接待费全年预算数0.00万元，决算数0.00万元，预决算差异率0.00%，主要原因是：本单位无公务接待费。</w:t>
      </w:r>
    </w:p>
    <w:p w14:paraId="5368D410">
      <w:pPr>
        <w:spacing w:line="640" w:lineRule="exact"/>
        <w:ind w:firstLine="640"/>
        <w:jc w:val="both"/>
        <w:outlineLvl w:val="2"/>
      </w:pPr>
      <w:r>
        <w:rPr>
          <w:rFonts w:ascii="黑体" w:hAnsi="黑体" w:eastAsia="黑体"/>
          <w:sz w:val="32"/>
        </w:rPr>
        <w:t>十、其他重要事项的情况说明</w:t>
      </w:r>
    </w:p>
    <w:p w14:paraId="7EDD8CA4">
      <w:pPr>
        <w:spacing w:line="640" w:lineRule="exact"/>
        <w:ind w:firstLine="640"/>
        <w:jc w:val="both"/>
        <w:outlineLvl w:val="3"/>
      </w:pPr>
      <w:r>
        <w:rPr>
          <w:rFonts w:ascii="楷体_GB2312" w:hAnsi="楷体_GB2312" w:eastAsia="楷体_GB2312"/>
          <w:b/>
          <w:sz w:val="32"/>
        </w:rPr>
        <w:t>（一）机关运行经费及公用经费支出情况</w:t>
      </w:r>
    </w:p>
    <w:p w14:paraId="0CBAA68B">
      <w:pPr>
        <w:spacing w:line="580" w:lineRule="exact"/>
        <w:ind w:firstLine="640"/>
        <w:jc w:val="both"/>
      </w:pPr>
      <w:r>
        <w:rPr>
          <w:rFonts w:ascii="仿宋_GB2312" w:hAnsi="仿宋_GB2312" w:eastAsia="仿宋_GB2312"/>
          <w:b w:val="0"/>
          <w:sz w:val="32"/>
        </w:rPr>
        <w:t>2024年度和田地区生态环境局墨玉县分局（行政单位和参照公务员法管理事业单位）机关运行经费支出26.53万元，比上年增加26.53万元，增长100.00%，主要原因是：本单位为2024年1月新增单位，无上年对比数据。</w:t>
      </w:r>
    </w:p>
    <w:p w14:paraId="566E6E79">
      <w:pPr>
        <w:spacing w:line="640" w:lineRule="exact"/>
        <w:ind w:firstLine="640"/>
        <w:jc w:val="both"/>
        <w:outlineLvl w:val="3"/>
      </w:pPr>
      <w:r>
        <w:rPr>
          <w:rFonts w:ascii="楷体_GB2312" w:hAnsi="楷体_GB2312" w:eastAsia="楷体_GB2312"/>
          <w:b/>
          <w:sz w:val="32"/>
        </w:rPr>
        <w:t>（二）政府采购情况</w:t>
      </w:r>
    </w:p>
    <w:p w14:paraId="63EEA344">
      <w:pPr>
        <w:spacing w:line="580" w:lineRule="exact"/>
        <w:ind w:firstLine="640"/>
        <w:jc w:val="both"/>
      </w:pPr>
      <w:r>
        <w:rPr>
          <w:rFonts w:ascii="仿宋_GB2312" w:hAnsi="仿宋_GB2312" w:eastAsia="仿宋_GB2312"/>
          <w:b w:val="0"/>
          <w:sz w:val="32"/>
        </w:rPr>
        <w:t>2024年度政府采购支出总额4.46万元，其中：政府采购货物支出0.13万元、政府采购工程支出0.00万元、政府采购服务支出4.33万元。</w:t>
      </w:r>
    </w:p>
    <w:p w14:paraId="2C9F74F3">
      <w:pPr>
        <w:spacing w:line="580" w:lineRule="exact"/>
        <w:ind w:firstLine="640"/>
        <w:jc w:val="both"/>
      </w:pPr>
      <w:r>
        <w:rPr>
          <w:rFonts w:ascii="仿宋_GB2312" w:hAnsi="仿宋_GB2312" w:eastAsia="仿宋_GB2312"/>
          <w:b w:val="0"/>
          <w:sz w:val="32"/>
        </w:rPr>
        <w:t>授予中小企业合同金额4.46万元，占政府采购支出总额的100.00%，其中：授予小微企业合同金额4.46万元，占政府采购支出总额的100.00%。</w:t>
      </w:r>
    </w:p>
    <w:p w14:paraId="04F8E735">
      <w:pPr>
        <w:spacing w:line="640" w:lineRule="exact"/>
        <w:ind w:firstLine="640"/>
        <w:jc w:val="both"/>
        <w:outlineLvl w:val="3"/>
      </w:pPr>
      <w:r>
        <w:rPr>
          <w:rFonts w:ascii="楷体_GB2312" w:hAnsi="楷体_GB2312" w:eastAsia="楷体_GB2312"/>
          <w:b/>
          <w:sz w:val="32"/>
        </w:rPr>
        <w:t>（三）国有资产占用情况说明</w:t>
      </w:r>
    </w:p>
    <w:p w14:paraId="73BF9930">
      <w:pPr>
        <w:spacing w:line="580" w:lineRule="exact"/>
        <w:ind w:firstLine="640"/>
        <w:jc w:val="both"/>
      </w:pPr>
      <w:r>
        <w:rPr>
          <w:rFonts w:ascii="仿宋_GB2312" w:hAnsi="仿宋_GB2312" w:eastAsia="仿宋_GB2312"/>
          <w:b w:val="0"/>
          <w:sz w:val="32"/>
        </w:rPr>
        <w:t>截至2024年12月31日，房屋3,849.85平方米，价值356.67万元。车辆3辆，价值53.79万元，其中：副部（省）级及以上领导用车0辆、主要负责人用车0辆、机要通信用车0辆、应急保障用车0辆、执法执勤用</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3</w:t>
      </w:r>
      <w:bookmarkStart w:id="0" w:name="_GoBack"/>
      <w:bookmarkEnd w:id="0"/>
      <w:r>
        <w:rPr>
          <w:rFonts w:ascii="仿宋_GB2312" w:hAnsi="仿宋_GB2312" w:eastAsia="仿宋_GB2312"/>
          <w:b w:val="0"/>
          <w:sz w:val="32"/>
        </w:rPr>
        <w:t>辆，其他用车主要是：一般公务用车。单价100万元（含）以上设备（不含车辆）0台（套）。</w:t>
      </w:r>
    </w:p>
    <w:p w14:paraId="1DCCCCD2">
      <w:pPr>
        <w:spacing w:line="640" w:lineRule="exact"/>
        <w:ind w:firstLine="640"/>
        <w:jc w:val="both"/>
        <w:outlineLvl w:val="2"/>
      </w:pPr>
      <w:r>
        <w:rPr>
          <w:rFonts w:ascii="黑体" w:hAnsi="黑体" w:eastAsia="黑体"/>
          <w:sz w:val="32"/>
        </w:rPr>
        <w:t>十一、预算绩效的情况说明</w:t>
      </w:r>
    </w:p>
    <w:p w14:paraId="11FF4DE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445.31万元，实际执行总额445.31万元；预算绩效评价项目2个，全年预算数39.00万元，全年执行数38.18万元。预算绩效管理取得的成效：一是对发现的问题采取措施，及时纠正，认真处理，强化管理，有效杜绝了专项资金在分配使用过程中的违纪现象的发生，保证了专项资金的使用安全；二是抓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项目自评情况附绩效自评表及自评报告。具体附整体支出绩效自评表，项目支出绩效自评表和评价报告。</w:t>
      </w:r>
    </w:p>
    <w:p w14:paraId="529C01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F9509A">
        <w:tblPrEx>
          <w:tblCellMar>
            <w:top w:w="0" w:type="dxa"/>
            <w:left w:w="108" w:type="dxa"/>
            <w:bottom w:w="0" w:type="dxa"/>
            <w:right w:w="108" w:type="dxa"/>
          </w:tblCellMar>
        </w:tblPrEx>
        <w:tc>
          <w:tcPr>
            <w:tcW w:w="8847" w:type="dxa"/>
            <w:gridSpan w:val="9"/>
            <w:vAlign w:val="center"/>
          </w:tcPr>
          <w:p w14:paraId="63748DB7">
            <w:pPr>
              <w:jc w:val="center"/>
            </w:pPr>
            <w:r>
              <w:rPr>
                <w:rFonts w:ascii="宋体" w:hAnsi="宋体" w:eastAsia="宋体"/>
                <w:sz w:val="24"/>
              </w:rPr>
              <w:t>单位整体支出绩效自评表</w:t>
            </w:r>
          </w:p>
        </w:tc>
      </w:tr>
      <w:tr w14:paraId="1CBB5E96">
        <w:tblPrEx>
          <w:tblCellMar>
            <w:top w:w="0" w:type="dxa"/>
            <w:left w:w="108" w:type="dxa"/>
            <w:bottom w:w="0" w:type="dxa"/>
            <w:right w:w="108" w:type="dxa"/>
          </w:tblCellMar>
        </w:tblPrEx>
        <w:tc>
          <w:tcPr>
            <w:tcW w:w="8847" w:type="dxa"/>
            <w:gridSpan w:val="9"/>
            <w:vAlign w:val="center"/>
          </w:tcPr>
          <w:p w14:paraId="4E9FE6E1">
            <w:pPr>
              <w:jc w:val="center"/>
            </w:pPr>
            <w:r>
              <w:rPr>
                <w:rFonts w:ascii="宋体" w:hAnsi="宋体" w:eastAsia="宋体"/>
                <w:sz w:val="24"/>
              </w:rPr>
              <w:t>（2024年度）</w:t>
            </w:r>
          </w:p>
        </w:tc>
      </w:tr>
      <w:tr w14:paraId="3135A6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A418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AF797D">
            <w:pPr>
              <w:jc w:val="center"/>
            </w:pPr>
            <w:r>
              <w:rPr>
                <w:rFonts w:ascii="宋体" w:hAnsi="宋体" w:eastAsia="宋体"/>
                <w:sz w:val="16"/>
              </w:rPr>
              <w:t>和田地区生态环境局墨玉县分局</w:t>
            </w:r>
          </w:p>
        </w:tc>
      </w:tr>
      <w:tr w14:paraId="43CDEA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98F6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6863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02AB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441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5C9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ACB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F97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C78B">
            <w:pPr>
              <w:jc w:val="center"/>
            </w:pPr>
            <w:r>
              <w:rPr>
                <w:rFonts w:ascii="宋体" w:hAnsi="宋体" w:eastAsia="宋体"/>
                <w:sz w:val="16"/>
              </w:rPr>
              <w:t>得分</w:t>
            </w:r>
          </w:p>
        </w:tc>
      </w:tr>
      <w:tr w14:paraId="72780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73A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0B38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A3CE5">
            <w:pPr>
              <w:jc w:val="center"/>
            </w:pPr>
            <w:r>
              <w:rPr>
                <w:rFonts w:ascii="宋体" w:hAnsi="宋体" w:eastAsia="宋体"/>
                <w:sz w:val="16"/>
              </w:rPr>
              <w:t>399.70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A67AF">
            <w:pPr>
              <w:jc w:val="center"/>
            </w:pPr>
            <w:r>
              <w:rPr>
                <w:rFonts w:ascii="宋体" w:hAnsi="宋体" w:eastAsia="宋体"/>
                <w:sz w:val="16"/>
              </w:rPr>
              <w:t>445.31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A6A54">
            <w:pPr>
              <w:jc w:val="center"/>
            </w:pPr>
            <w:r>
              <w:rPr>
                <w:rFonts w:ascii="宋体" w:hAnsi="宋体" w:eastAsia="宋体"/>
                <w:sz w:val="16"/>
              </w:rPr>
              <w:t>445.31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3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B50C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6AAB7">
            <w:pPr>
              <w:jc w:val="center"/>
            </w:pPr>
            <w:r>
              <w:rPr>
                <w:rFonts w:ascii="宋体" w:hAnsi="宋体" w:eastAsia="宋体"/>
                <w:sz w:val="16"/>
              </w:rPr>
              <w:t>10</w:t>
            </w:r>
          </w:p>
        </w:tc>
      </w:tr>
      <w:tr w14:paraId="55229C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F74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9557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92C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1B8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223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7F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6B98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3E5F">
            <w:pPr>
              <w:jc w:val="center"/>
            </w:pPr>
            <w:r>
              <w:rPr>
                <w:rFonts w:ascii="宋体" w:hAnsi="宋体" w:eastAsia="宋体"/>
                <w:sz w:val="16"/>
              </w:rPr>
              <w:t>—</w:t>
            </w:r>
          </w:p>
        </w:tc>
      </w:tr>
      <w:tr w14:paraId="02C70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644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1F2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CC17">
            <w:pPr>
              <w:jc w:val="center"/>
            </w:pPr>
            <w:r>
              <w:rPr>
                <w:rFonts w:ascii="宋体" w:hAnsi="宋体" w:eastAsia="宋体"/>
                <w:sz w:val="16"/>
              </w:rPr>
              <w:t>399.70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C90E">
            <w:pPr>
              <w:jc w:val="center"/>
            </w:pPr>
            <w:r>
              <w:rPr>
                <w:rFonts w:ascii="宋体" w:hAnsi="宋体" w:eastAsia="宋体"/>
                <w:sz w:val="16"/>
              </w:rPr>
              <w:t>445.31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36E82">
            <w:pPr>
              <w:jc w:val="center"/>
            </w:pPr>
            <w:r>
              <w:rPr>
                <w:rFonts w:ascii="宋体" w:hAnsi="宋体" w:eastAsia="宋体"/>
                <w:sz w:val="16"/>
              </w:rPr>
              <w:t>445.31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05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894D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EAAED">
            <w:pPr>
              <w:jc w:val="center"/>
            </w:pPr>
            <w:r>
              <w:rPr>
                <w:rFonts w:ascii="宋体" w:hAnsi="宋体" w:eastAsia="宋体"/>
                <w:sz w:val="16"/>
              </w:rPr>
              <w:t>—</w:t>
            </w:r>
          </w:p>
        </w:tc>
      </w:tr>
      <w:tr w14:paraId="0C3AB2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B82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D87D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2D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127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EDE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EA0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2F5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CC08">
            <w:pPr>
              <w:jc w:val="center"/>
            </w:pPr>
            <w:r>
              <w:rPr>
                <w:rFonts w:ascii="宋体" w:hAnsi="宋体" w:eastAsia="宋体"/>
                <w:sz w:val="16"/>
              </w:rPr>
              <w:t>—</w:t>
            </w:r>
          </w:p>
        </w:tc>
      </w:tr>
      <w:tr w14:paraId="07A43F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9E3B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2BBEE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B14D84">
            <w:pPr>
              <w:jc w:val="center"/>
            </w:pPr>
            <w:r>
              <w:rPr>
                <w:rFonts w:ascii="宋体" w:hAnsi="宋体" w:eastAsia="宋体"/>
                <w:sz w:val="16"/>
              </w:rPr>
              <w:t>实际完成目标</w:t>
            </w:r>
          </w:p>
        </w:tc>
      </w:tr>
      <w:tr w14:paraId="4595F9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6DD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D0209B">
            <w:pPr>
              <w:jc w:val="both"/>
            </w:pPr>
            <w:r>
              <w:rPr>
                <w:rFonts w:ascii="宋体" w:hAnsi="宋体" w:eastAsia="宋体"/>
                <w:sz w:val="16"/>
              </w:rPr>
              <w:t>1.和田地区生态环境局墨玉县分局保障2024年25名在职与退休工作人员基本支出，保障单位4辆公务用车燃油、保险、维修，污染企业执法检查、污染企业污染物监测、县域生态环境质量监测等内容。部门整体支出399.7万元。其中人员经费366.1万元，公用经费18.6万元，2024年环境业务执法经费（墨玉县分局）15万元。通过保障部门正常运转，提升干部自身素质建设，提升社会服务能力，持续做好墨玉县生态环境向好发展。争取使受益群众及受益在职人员满意度达到90%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，持续开展生态环境保护铁军建设，以生态环境高水平保护推动经济高质量发展完成以下目标：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目标1：全县地表水好于Ⅲ类水体监测点位完成率100%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目标2：全县优良天数比例（%）</w:t>
            </w:r>
            <w:r>
              <w:rPr>
                <w:rFonts w:hint="eastAsia" w:ascii="宋体" w:hAnsi="宋体" w:eastAsia="宋体"/>
                <w:sz w:val="16"/>
              </w:rPr>
              <w:t>≥</w:t>
            </w:r>
            <w:r>
              <w:rPr>
                <w:rFonts w:ascii="宋体" w:hAnsi="宋体" w:eastAsia="宋体"/>
                <w:sz w:val="16"/>
              </w:rPr>
              <w:t>24.70%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目标3：全县PM2.5(空气中细颗粒物)全年平均浓度，</w:t>
            </w:r>
            <w:r>
              <w:rPr>
                <w:rFonts w:hint="eastAsia" w:ascii="宋体" w:hAnsi="宋体" w:eastAsia="宋体"/>
                <w:sz w:val="16"/>
              </w:rPr>
              <w:t>≤</w:t>
            </w:r>
            <w:r>
              <w:rPr>
                <w:rFonts w:ascii="宋体" w:hAnsi="宋体" w:eastAsia="宋体"/>
                <w:sz w:val="16"/>
              </w:rPr>
              <w:t>50微克/立方米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目标4：全县全年重污染平均天数</w:t>
            </w:r>
            <w:r>
              <w:rPr>
                <w:rFonts w:hint="eastAsia" w:ascii="宋体" w:hAnsi="宋体" w:eastAsia="宋体"/>
                <w:sz w:val="16"/>
              </w:rPr>
              <w:t>≤</w:t>
            </w:r>
            <w:r>
              <w:rPr>
                <w:rFonts w:ascii="宋体" w:hAnsi="宋体" w:eastAsia="宋体"/>
                <w:sz w:val="16"/>
              </w:rPr>
              <w:t>0天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目标5：全县地表水Ⅴ类水质监测点位数</w:t>
            </w:r>
            <w:r>
              <w:rPr>
                <w:rFonts w:hint="eastAsia" w:ascii="宋体" w:hAnsi="宋体" w:eastAsia="宋体"/>
                <w:sz w:val="16"/>
              </w:rPr>
              <w:t>≤</w:t>
            </w:r>
            <w:r>
              <w:rPr>
                <w:rFonts w:ascii="宋体" w:hAnsi="宋体" w:eastAsia="宋体"/>
                <w:sz w:val="16"/>
              </w:rPr>
              <w:t>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B781C">
            <w:pPr>
              <w:jc w:val="both"/>
            </w:pPr>
            <w:r>
              <w:rPr>
                <w:rFonts w:hint="eastAsia" w:ascii="宋体" w:hAnsi="宋体"/>
                <w:sz w:val="16"/>
                <w:lang w:eastAsia="zh-CN"/>
              </w:rPr>
              <w:t>截至</w:t>
            </w:r>
            <w:r>
              <w:rPr>
                <w:rFonts w:ascii="宋体" w:hAnsi="宋体" w:eastAsia="宋体"/>
                <w:sz w:val="16"/>
              </w:rPr>
              <w:t>2024年12月31日，本单位实际完成保障和田地区生态环境局墨玉县分局2024年26名在职与退休人员基本支出，保障单位日常办公与车辆正常运行，保障生态环境执法工作正常开展。一是达到全县地表水达到Ⅲ类标准或以上。二是全县优良天数增加，为117天。三是全县PM2.5平均浓度65微克/立方米，未达标目标值。实际形成支出445.31万元，通过完成以上工作，保障了部门正常运转，提升干部自身素质建设，提升社会服务能力，为墨玉生态环境发展提供支持。</w:t>
            </w:r>
          </w:p>
        </w:tc>
      </w:tr>
      <w:tr w14:paraId="595C23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4FF1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1E4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6575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6A26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A577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024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138B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01D8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A66A5">
            <w:pPr>
              <w:jc w:val="center"/>
            </w:pPr>
            <w:r>
              <w:rPr>
                <w:rFonts w:ascii="宋体" w:hAnsi="宋体" w:eastAsia="宋体"/>
                <w:sz w:val="16"/>
              </w:rPr>
              <w:t>得分</w:t>
            </w:r>
          </w:p>
        </w:tc>
      </w:tr>
      <w:tr w14:paraId="4772DA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9DEC8">
            <w:pPr>
              <w:jc w:val="center"/>
            </w:pPr>
            <w:r>
              <w:rPr>
                <w:rFonts w:ascii="宋体" w:hAnsi="宋体" w:eastAsia="宋体"/>
                <w:sz w:val="16"/>
              </w:rPr>
              <w:t>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88782">
            <w:pPr>
              <w:jc w:val="center"/>
            </w:pPr>
            <w:r>
              <w:rPr>
                <w:rFonts w:ascii="宋体" w:hAnsi="宋体" w:eastAsia="宋体"/>
                <w:sz w:val="16"/>
              </w:rPr>
              <w:t>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C3FE">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E37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D61DA">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15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E24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753D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37A9E">
            <w:pPr>
              <w:jc w:val="center"/>
            </w:pPr>
            <w:r>
              <w:rPr>
                <w:rFonts w:ascii="宋体" w:hAnsi="宋体" w:eastAsia="宋体"/>
                <w:sz w:val="16"/>
              </w:rPr>
              <w:t>10</w:t>
            </w:r>
          </w:p>
        </w:tc>
      </w:tr>
      <w:tr w14:paraId="0112D8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9F6B">
            <w:pPr>
              <w:jc w:val="center"/>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D63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22F6">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52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B1C75">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CB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9BF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757E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75028">
            <w:pPr>
              <w:jc w:val="center"/>
            </w:pPr>
            <w:r>
              <w:rPr>
                <w:rFonts w:ascii="宋体" w:hAnsi="宋体" w:eastAsia="宋体"/>
                <w:sz w:val="16"/>
              </w:rPr>
              <w:t>10</w:t>
            </w:r>
          </w:p>
        </w:tc>
      </w:tr>
      <w:tr w14:paraId="1048DA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0FC1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6C5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0AC94">
            <w:pPr>
              <w:jc w:val="center"/>
            </w:pPr>
            <w:r>
              <w:rPr>
                <w:rFonts w:ascii="宋体" w:hAnsi="宋体" w:eastAsia="宋体"/>
                <w:sz w:val="16"/>
              </w:rPr>
              <w:t>全县优良天数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C49AA">
            <w:pPr>
              <w:jc w:val="center"/>
            </w:pPr>
            <w:r>
              <w:rPr>
                <w:rFonts w:hint="eastAsia" w:ascii="宋体" w:hAnsi="宋体" w:eastAsia="宋体"/>
                <w:sz w:val="16"/>
              </w:rPr>
              <w:t>≥</w:t>
            </w:r>
            <w:r>
              <w:rPr>
                <w:rFonts w:ascii="宋体" w:hAnsi="宋体" w:eastAsia="宋体"/>
                <w:sz w:val="16"/>
              </w:rPr>
              <w:t>23天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2DE0D">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F0CD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60BFE">
            <w:pPr>
              <w:jc w:val="center"/>
            </w:pPr>
            <w:r>
              <w:rPr>
                <w:rFonts w:ascii="宋体" w:hAnsi="宋体" w:eastAsia="宋体"/>
                <w:sz w:val="16"/>
              </w:rPr>
              <w:t>117天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2BD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EC60B">
            <w:pPr>
              <w:jc w:val="center"/>
            </w:pPr>
            <w:r>
              <w:rPr>
                <w:rFonts w:ascii="宋体" w:hAnsi="宋体" w:eastAsia="宋体"/>
                <w:sz w:val="16"/>
              </w:rPr>
              <w:t>12</w:t>
            </w:r>
          </w:p>
        </w:tc>
      </w:tr>
      <w:tr w14:paraId="6306ED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B87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B5A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DBD01">
            <w:pPr>
              <w:jc w:val="center"/>
            </w:pPr>
            <w:r>
              <w:rPr>
                <w:rFonts w:ascii="宋体" w:hAnsi="宋体" w:eastAsia="宋体"/>
                <w:sz w:val="16"/>
              </w:rPr>
              <w:t>全县PM2.5(空气中细颗粒物)全年平均浓度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C76D3">
            <w:pPr>
              <w:jc w:val="center"/>
            </w:pPr>
            <w:r>
              <w:rPr>
                <w:rFonts w:hint="eastAsia" w:ascii="宋体" w:hAnsi="宋体" w:eastAsia="宋体"/>
                <w:sz w:val="16"/>
              </w:rPr>
              <w:t>≤</w:t>
            </w: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DC892">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72980">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4F0F9">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974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B5524">
            <w:pPr>
              <w:jc w:val="center"/>
            </w:pPr>
            <w:r>
              <w:rPr>
                <w:rFonts w:ascii="宋体" w:hAnsi="宋体" w:eastAsia="宋体"/>
                <w:sz w:val="16"/>
              </w:rPr>
              <w:t>13</w:t>
            </w:r>
          </w:p>
        </w:tc>
      </w:tr>
      <w:tr w14:paraId="0678A6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BE2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48F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5E812">
            <w:pPr>
              <w:jc w:val="center"/>
            </w:pPr>
            <w:r>
              <w:rPr>
                <w:rFonts w:ascii="宋体" w:hAnsi="宋体" w:eastAsia="宋体"/>
                <w:sz w:val="16"/>
              </w:rPr>
              <w:t>全县全年重污染平均天数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1FA21">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A4CC0">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61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5E95">
            <w:pPr>
              <w:jc w:val="center"/>
            </w:pPr>
            <w:r>
              <w:rPr>
                <w:rFonts w:ascii="宋体" w:hAnsi="宋体" w:eastAsia="宋体"/>
                <w:sz w:val="16"/>
              </w:rPr>
              <w:t>13天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C580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9B965">
            <w:pPr>
              <w:jc w:val="center"/>
            </w:pPr>
            <w:r>
              <w:rPr>
                <w:rFonts w:ascii="宋体" w:hAnsi="宋体" w:eastAsia="宋体"/>
                <w:sz w:val="16"/>
              </w:rPr>
              <w:t>0</w:t>
            </w:r>
          </w:p>
        </w:tc>
      </w:tr>
      <w:tr w14:paraId="4B03AF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18E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3C9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0CF95">
            <w:pPr>
              <w:jc w:val="center"/>
            </w:pPr>
            <w:r>
              <w:rPr>
                <w:rFonts w:ascii="宋体" w:hAnsi="宋体" w:eastAsia="宋体"/>
                <w:sz w:val="16"/>
              </w:rPr>
              <w:t>全县地表水Ⅴ类水质监测点位数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7A3A9">
            <w:pPr>
              <w:jc w:val="center"/>
            </w:pPr>
            <w:r>
              <w:rPr>
                <w:rFonts w:hint="eastAsia" w:ascii="宋体" w:hAnsi="宋体" w:eastAsia="宋体"/>
                <w:sz w:val="16"/>
              </w:rPr>
              <w:t>≤</w:t>
            </w: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91AA4">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EBE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3B166">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E0D1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9BD9">
            <w:pPr>
              <w:jc w:val="center"/>
            </w:pPr>
            <w:r>
              <w:rPr>
                <w:rFonts w:ascii="宋体" w:hAnsi="宋体" w:eastAsia="宋体"/>
                <w:sz w:val="16"/>
              </w:rPr>
              <w:t>10</w:t>
            </w:r>
          </w:p>
        </w:tc>
      </w:tr>
      <w:tr w14:paraId="2FE55A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A62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C44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B712D">
            <w:pPr>
              <w:jc w:val="center"/>
            </w:pPr>
            <w:r>
              <w:rPr>
                <w:rFonts w:ascii="宋体" w:hAnsi="宋体" w:eastAsia="宋体"/>
                <w:sz w:val="16"/>
              </w:rPr>
              <w:t>全县地表水好于Ⅲ类水体监测点位率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E36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C0FA5">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B9E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C0C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057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1C3B">
            <w:pPr>
              <w:jc w:val="center"/>
            </w:pPr>
            <w:r>
              <w:rPr>
                <w:rFonts w:ascii="宋体" w:hAnsi="宋体" w:eastAsia="宋体"/>
                <w:sz w:val="16"/>
              </w:rPr>
              <w:t>10</w:t>
            </w:r>
          </w:p>
        </w:tc>
      </w:tr>
      <w:tr w14:paraId="43021D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D6178">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61D1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9533E">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96EBB">
            <w:pPr>
              <w:jc w:val="center"/>
            </w:pPr>
            <w:r>
              <w:rPr>
                <w:rFonts w:hint="eastAsia" w:ascii="宋体" w:hAnsi="宋体" w:eastAsia="宋体"/>
                <w:sz w:val="16"/>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42D13">
            <w:pPr>
              <w:jc w:val="center"/>
            </w:pPr>
            <w:r>
              <w:rPr>
                <w:rFonts w:ascii="宋体" w:hAnsi="宋体" w:eastAsia="宋体"/>
                <w:sz w:val="16"/>
              </w:rPr>
              <w:t>单位工作计划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C370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ADD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740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47214">
            <w:pPr>
              <w:jc w:val="center"/>
            </w:pPr>
            <w:r>
              <w:rPr>
                <w:rFonts w:ascii="宋体" w:hAnsi="宋体" w:eastAsia="宋体"/>
                <w:sz w:val="16"/>
              </w:rPr>
              <w:t>15</w:t>
            </w:r>
          </w:p>
        </w:tc>
      </w:tr>
    </w:tbl>
    <w:p w14:paraId="36AFE5F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4D5DA56">
        <w:tblPrEx>
          <w:tblCellMar>
            <w:top w:w="0" w:type="dxa"/>
            <w:left w:w="108" w:type="dxa"/>
            <w:bottom w:w="0" w:type="dxa"/>
            <w:right w:w="108" w:type="dxa"/>
          </w:tblCellMar>
        </w:tblPrEx>
        <w:tc>
          <w:tcPr>
            <w:tcW w:w="8847" w:type="dxa"/>
            <w:gridSpan w:val="9"/>
            <w:vAlign w:val="center"/>
          </w:tcPr>
          <w:p w14:paraId="5DD76077">
            <w:pPr>
              <w:jc w:val="center"/>
            </w:pPr>
            <w:r>
              <w:rPr>
                <w:rFonts w:ascii="宋体" w:hAnsi="宋体" w:eastAsia="宋体"/>
                <w:sz w:val="24"/>
              </w:rPr>
              <w:t>项目支出绩效自评表</w:t>
            </w:r>
          </w:p>
        </w:tc>
      </w:tr>
      <w:tr w14:paraId="31447DFE">
        <w:tblPrEx>
          <w:tblCellMar>
            <w:top w:w="0" w:type="dxa"/>
            <w:left w:w="108" w:type="dxa"/>
            <w:bottom w:w="0" w:type="dxa"/>
            <w:right w:w="108" w:type="dxa"/>
          </w:tblCellMar>
        </w:tblPrEx>
        <w:tc>
          <w:tcPr>
            <w:tcW w:w="8847" w:type="dxa"/>
            <w:gridSpan w:val="9"/>
            <w:vAlign w:val="center"/>
          </w:tcPr>
          <w:p w14:paraId="1414FEB2">
            <w:pPr>
              <w:jc w:val="center"/>
            </w:pPr>
            <w:r>
              <w:rPr>
                <w:rFonts w:ascii="宋体" w:hAnsi="宋体" w:eastAsia="宋体"/>
                <w:sz w:val="24"/>
              </w:rPr>
              <w:t>(2024年度)</w:t>
            </w:r>
          </w:p>
        </w:tc>
      </w:tr>
      <w:tr w14:paraId="2FC20C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AE94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2CCDEB">
            <w:pPr>
              <w:jc w:val="center"/>
            </w:pPr>
            <w:r>
              <w:rPr>
                <w:rFonts w:ascii="宋体" w:hAnsi="宋体" w:eastAsia="宋体"/>
                <w:sz w:val="16"/>
              </w:rPr>
              <w:t>2024年上半年自治区驻村工作专项项目</w:t>
            </w:r>
          </w:p>
        </w:tc>
      </w:tr>
      <w:tr w14:paraId="6437A6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7FE3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9BF42F">
            <w:pPr>
              <w:jc w:val="center"/>
            </w:pPr>
            <w:r>
              <w:rPr>
                <w:rFonts w:ascii="宋体" w:hAnsi="宋体" w:eastAsia="宋体"/>
                <w:sz w:val="16"/>
              </w:rPr>
              <w:t>和田地区生态环境局墨玉县分局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D271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E027D5">
            <w:pPr>
              <w:jc w:val="center"/>
            </w:pPr>
            <w:r>
              <w:rPr>
                <w:rFonts w:ascii="宋体" w:hAnsi="宋体" w:eastAsia="宋体"/>
                <w:sz w:val="16"/>
              </w:rPr>
              <w:t>和田地区生态环境局墨玉县分局</w:t>
            </w:r>
          </w:p>
        </w:tc>
      </w:tr>
      <w:tr w14:paraId="246C86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8C15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57A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3260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45D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CBF7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7FD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731A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3177B">
            <w:pPr>
              <w:jc w:val="center"/>
            </w:pPr>
            <w:r>
              <w:rPr>
                <w:rFonts w:ascii="宋体" w:hAnsi="宋体" w:eastAsia="宋体"/>
                <w:sz w:val="16"/>
              </w:rPr>
              <w:t>得分</w:t>
            </w:r>
          </w:p>
        </w:tc>
      </w:tr>
      <w:tr w14:paraId="593B0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156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454B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8A184">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0A4B6">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4178A">
            <w:pPr>
              <w:jc w:val="center"/>
            </w:pPr>
            <w:r>
              <w:rPr>
                <w:rFonts w:ascii="宋体" w:hAnsi="宋体" w:eastAsia="宋体"/>
                <w:sz w:val="16"/>
              </w:rPr>
              <w:t>23.99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834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4B7A">
            <w:pPr>
              <w:jc w:val="center"/>
            </w:pPr>
            <w:r>
              <w:rPr>
                <w:rFonts w:ascii="宋体" w:hAnsi="宋体" w:eastAsia="宋体"/>
                <w:sz w:val="16"/>
              </w:rPr>
              <w:t xml:space="preserve">99.96%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3B730">
            <w:pPr>
              <w:jc w:val="center"/>
            </w:pPr>
            <w:r>
              <w:rPr>
                <w:rFonts w:ascii="宋体" w:hAnsi="宋体" w:eastAsia="宋体"/>
                <w:sz w:val="16"/>
              </w:rPr>
              <w:t>10.00分</w:t>
            </w:r>
          </w:p>
        </w:tc>
      </w:tr>
      <w:tr w14:paraId="1DDB1B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6BC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41E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7B361">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74D09">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69E8F">
            <w:pPr>
              <w:jc w:val="center"/>
            </w:pPr>
            <w:r>
              <w:rPr>
                <w:rFonts w:ascii="宋体" w:hAnsi="宋体" w:eastAsia="宋体"/>
                <w:sz w:val="16"/>
              </w:rPr>
              <w:t>23.99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6D3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FC7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FF7E4">
            <w:pPr>
              <w:jc w:val="center"/>
            </w:pPr>
            <w:r>
              <w:rPr>
                <w:rFonts w:ascii="宋体" w:hAnsi="宋体" w:eastAsia="宋体"/>
                <w:sz w:val="16"/>
              </w:rPr>
              <w:t>—</w:t>
            </w:r>
          </w:p>
        </w:tc>
      </w:tr>
      <w:tr w14:paraId="294A06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10D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EC8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193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98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238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CF4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47D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896B">
            <w:pPr>
              <w:jc w:val="center"/>
            </w:pPr>
            <w:r>
              <w:rPr>
                <w:rFonts w:ascii="宋体" w:hAnsi="宋体" w:eastAsia="宋体"/>
                <w:sz w:val="16"/>
              </w:rPr>
              <w:t>—</w:t>
            </w:r>
          </w:p>
        </w:tc>
      </w:tr>
      <w:tr w14:paraId="5ECA50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887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279C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48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0BA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775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A3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C38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86859">
            <w:pPr>
              <w:jc w:val="center"/>
            </w:pPr>
            <w:r>
              <w:rPr>
                <w:rFonts w:ascii="宋体" w:hAnsi="宋体" w:eastAsia="宋体"/>
                <w:sz w:val="16"/>
              </w:rPr>
              <w:t>—</w:t>
            </w:r>
          </w:p>
        </w:tc>
      </w:tr>
      <w:tr w14:paraId="50FA57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F9D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3EE8B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7785DD">
            <w:pPr>
              <w:jc w:val="center"/>
            </w:pPr>
            <w:r>
              <w:rPr>
                <w:rFonts w:ascii="宋体" w:hAnsi="宋体" w:eastAsia="宋体"/>
                <w:sz w:val="16"/>
              </w:rPr>
              <w:t>实际完成情况</w:t>
            </w:r>
          </w:p>
        </w:tc>
      </w:tr>
      <w:tr w14:paraId="6A13A4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5A8A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0DFCE3">
            <w:pPr>
              <w:jc w:val="both"/>
            </w:pPr>
            <w:r>
              <w:rPr>
                <w:rFonts w:ascii="宋体" w:hAnsi="宋体" w:eastAsia="宋体"/>
                <w:sz w:val="16"/>
              </w:rPr>
              <w:t>本项目主要实施内容为：保障2个工作队6名工作队队员</w:t>
            </w:r>
            <w:r>
              <w:rPr>
                <w:rFonts w:hint="eastAsia" w:ascii="宋体" w:hAnsi="宋体"/>
                <w:sz w:val="16"/>
                <w:lang w:eastAsia="zh-CN"/>
              </w:rPr>
              <w:t>为民办实事</w:t>
            </w:r>
            <w:r>
              <w:rPr>
                <w:rFonts w:ascii="宋体" w:hAnsi="宋体" w:eastAsia="宋体"/>
                <w:sz w:val="16"/>
              </w:rPr>
              <w:t>工作队为民办实事10件，项目总投资为24万元，项目计划于2024年12月完成。通过本项目的实施，可有效改善群众生活质量，待项目实施完成，争取使受益人群满意度不低于95%。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0F3C6">
            <w:pPr>
              <w:jc w:val="both"/>
            </w:pPr>
            <w:r>
              <w:rPr>
                <w:rFonts w:hint="eastAsia" w:ascii="宋体" w:hAnsi="宋体"/>
                <w:sz w:val="16"/>
                <w:lang w:eastAsia="zh-CN"/>
              </w:rPr>
              <w:t>截至</w:t>
            </w:r>
            <w:r>
              <w:rPr>
                <w:rFonts w:ascii="宋体" w:hAnsi="宋体" w:eastAsia="宋体"/>
                <w:sz w:val="16"/>
              </w:rPr>
              <w:t>2024年12月底，本项目实际形成支出23.99万元，已完成为民办实事、访贫问苦10件，驻村工作队人数6人在位在岗，派出驻村工作队2个的任务。达到了有效解决当地群众的生活困难的效益，驻村工作队所在村村民满意率达到100%。</w:t>
            </w:r>
          </w:p>
        </w:tc>
      </w:tr>
      <w:tr w14:paraId="46DF32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F4316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2EA2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402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20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242D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14A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556A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CFC2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DC252">
            <w:pPr>
              <w:jc w:val="center"/>
            </w:pPr>
            <w:r>
              <w:rPr>
                <w:rFonts w:ascii="宋体" w:hAnsi="宋体" w:eastAsia="宋体"/>
                <w:sz w:val="16"/>
              </w:rPr>
              <w:t>偏差原因分析及改进措施</w:t>
            </w:r>
          </w:p>
        </w:tc>
      </w:tr>
      <w:tr w14:paraId="1945F6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F9BC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43AD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A24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94B6B">
            <w:pPr>
              <w:jc w:val="center"/>
            </w:pPr>
            <w:r>
              <w:rPr>
                <w:rFonts w:hint="eastAsia" w:ascii="宋体" w:hAnsi="宋体"/>
                <w:sz w:val="16"/>
                <w:lang w:eastAsia="zh-CN"/>
              </w:rPr>
              <w:t>为民办实事</w:t>
            </w: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432AD">
            <w:pPr>
              <w:jc w:val="center"/>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40792">
            <w:pPr>
              <w:jc w:val="center"/>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8B7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80B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EBE2C">
            <w:pPr>
              <w:jc w:val="center"/>
            </w:pPr>
          </w:p>
        </w:tc>
      </w:tr>
      <w:tr w14:paraId="513AE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CD1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EA4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3B4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CAD7C">
            <w:pPr>
              <w:jc w:val="center"/>
            </w:pPr>
            <w:r>
              <w:rPr>
                <w:rFonts w:ascii="宋体" w:hAnsi="宋体" w:eastAsia="宋体"/>
                <w:sz w:val="16"/>
              </w:rPr>
              <w:t>派驻工作队人数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3794A">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A5C1">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DF58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670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20F2D">
            <w:pPr>
              <w:jc w:val="center"/>
            </w:pPr>
          </w:p>
        </w:tc>
      </w:tr>
      <w:tr w14:paraId="4710B8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16D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2C1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8FF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3250">
            <w:pPr>
              <w:jc w:val="center"/>
            </w:pPr>
            <w:r>
              <w:rPr>
                <w:rFonts w:hint="eastAsia" w:ascii="宋体" w:hAnsi="宋体"/>
                <w:sz w:val="16"/>
                <w:lang w:eastAsia="zh-CN"/>
              </w:rPr>
              <w:t>为民办实事</w:t>
            </w:r>
            <w:r>
              <w:rPr>
                <w:rFonts w:ascii="宋体" w:hAnsi="宋体" w:eastAsia="宋体"/>
                <w:sz w:val="16"/>
              </w:rPr>
              <w:t>工作队数量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0AB7">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1523F">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C47C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FA2E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68E86">
            <w:pPr>
              <w:jc w:val="center"/>
            </w:pPr>
          </w:p>
        </w:tc>
      </w:tr>
      <w:tr w14:paraId="6BA23D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85E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907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0967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E7B2">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DC0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38C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0702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1444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AE1D2">
            <w:pPr>
              <w:jc w:val="center"/>
            </w:pPr>
          </w:p>
        </w:tc>
      </w:tr>
      <w:tr w14:paraId="18D47E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36B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1FFE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DAD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59F5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6CE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E3C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E14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BB10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65EF8">
            <w:pPr>
              <w:jc w:val="center"/>
            </w:pPr>
          </w:p>
        </w:tc>
      </w:tr>
      <w:tr w14:paraId="1EA68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697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979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58C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6EFB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4C1E4">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ABFF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1C6D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261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1F38">
            <w:pPr>
              <w:jc w:val="center"/>
            </w:pPr>
          </w:p>
        </w:tc>
      </w:tr>
      <w:tr w14:paraId="50224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04F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0098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163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17006">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EE5B">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3B6BC">
            <w:pPr>
              <w:jc w:val="center"/>
            </w:pPr>
            <w:r>
              <w:rPr>
                <w:rFonts w:ascii="宋体" w:hAnsi="宋体" w:eastAsia="宋体"/>
                <w:sz w:val="16"/>
              </w:rPr>
              <w:t>=23.99万元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22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341F">
            <w:pPr>
              <w:jc w:val="center"/>
            </w:pPr>
            <w:r>
              <w:rPr>
                <w:rFonts w:ascii="宋体" w:hAnsi="宋体" w:eastAsia="宋体"/>
                <w:sz w:val="16"/>
              </w:rPr>
              <w:t>19.98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5586D">
            <w:pPr>
              <w:jc w:val="center"/>
            </w:pPr>
            <w:r>
              <w:rPr>
                <w:rFonts w:ascii="宋体" w:hAnsi="宋体" w:eastAsia="宋体"/>
                <w:sz w:val="16"/>
              </w:rPr>
              <w:t>偏差原因：工作队未完全按照每个村12万的工作经费做保障资料，导致支付有一点结余资金未支付。改进措施：今后将加强资金的使用力度，监督驻村工作队将资金使用最大化。</w:t>
            </w:r>
          </w:p>
        </w:tc>
      </w:tr>
      <w:tr w14:paraId="0CBBEF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2A6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A4E2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4B9B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EFF69">
            <w:pPr>
              <w:jc w:val="center"/>
            </w:pPr>
            <w:r>
              <w:rPr>
                <w:rFonts w:ascii="宋体" w:hAnsi="宋体" w:eastAsia="宋体"/>
                <w:sz w:val="16"/>
              </w:rPr>
              <w:t>做好群众工作，改善群众生活质量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5966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7FB3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A4E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52B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9F58F">
            <w:pPr>
              <w:jc w:val="center"/>
            </w:pPr>
          </w:p>
        </w:tc>
      </w:tr>
      <w:tr w14:paraId="5D63D0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D9C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063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ED7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AB590">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7093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598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91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C5A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EE415">
            <w:pPr>
              <w:jc w:val="center"/>
            </w:pPr>
          </w:p>
        </w:tc>
      </w:tr>
      <w:tr w14:paraId="0692EA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E7C9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4251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7DF7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A06A85">
            <w:pPr>
              <w:jc w:val="center"/>
            </w:pPr>
            <w:r>
              <w:rPr>
                <w:rFonts w:ascii="宋体" w:hAnsi="宋体" w:eastAsia="宋体"/>
                <w:sz w:val="16"/>
              </w:rPr>
              <w:t>99.98分</w:t>
            </w:r>
          </w:p>
        </w:tc>
      </w:tr>
    </w:tbl>
    <w:p w14:paraId="47F32CD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8C0B38">
        <w:tblPrEx>
          <w:tblCellMar>
            <w:top w:w="0" w:type="dxa"/>
            <w:left w:w="108" w:type="dxa"/>
            <w:bottom w:w="0" w:type="dxa"/>
            <w:right w:w="108" w:type="dxa"/>
          </w:tblCellMar>
        </w:tblPrEx>
        <w:tc>
          <w:tcPr>
            <w:tcW w:w="8847" w:type="dxa"/>
            <w:gridSpan w:val="9"/>
            <w:vAlign w:val="center"/>
          </w:tcPr>
          <w:p w14:paraId="72E381C6">
            <w:pPr>
              <w:jc w:val="center"/>
            </w:pPr>
            <w:r>
              <w:rPr>
                <w:rFonts w:ascii="宋体" w:hAnsi="宋体" w:eastAsia="宋体"/>
                <w:sz w:val="24"/>
              </w:rPr>
              <w:t>项目支出绩效自评表</w:t>
            </w:r>
          </w:p>
        </w:tc>
      </w:tr>
      <w:tr w14:paraId="070DF703">
        <w:tblPrEx>
          <w:tblCellMar>
            <w:top w:w="0" w:type="dxa"/>
            <w:left w:w="108" w:type="dxa"/>
            <w:bottom w:w="0" w:type="dxa"/>
            <w:right w:w="108" w:type="dxa"/>
          </w:tblCellMar>
        </w:tblPrEx>
        <w:tc>
          <w:tcPr>
            <w:tcW w:w="8847" w:type="dxa"/>
            <w:gridSpan w:val="9"/>
            <w:vAlign w:val="center"/>
          </w:tcPr>
          <w:p w14:paraId="794F473D">
            <w:pPr>
              <w:jc w:val="center"/>
            </w:pPr>
            <w:r>
              <w:rPr>
                <w:rFonts w:ascii="宋体" w:hAnsi="宋体" w:eastAsia="宋体"/>
                <w:sz w:val="24"/>
              </w:rPr>
              <w:t>(2024年度)</w:t>
            </w:r>
          </w:p>
        </w:tc>
      </w:tr>
      <w:tr w14:paraId="31FCCE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D90F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C217A0">
            <w:pPr>
              <w:jc w:val="center"/>
            </w:pPr>
            <w:r>
              <w:rPr>
                <w:rFonts w:ascii="宋体" w:hAnsi="宋体" w:eastAsia="宋体"/>
                <w:sz w:val="16"/>
              </w:rPr>
              <w:t>2024年环境业务执法经费（墨玉县分局）</w:t>
            </w:r>
          </w:p>
        </w:tc>
      </w:tr>
      <w:tr w14:paraId="46FCC0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703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3E86E3">
            <w:pPr>
              <w:jc w:val="center"/>
            </w:pPr>
            <w:r>
              <w:rPr>
                <w:rFonts w:ascii="宋体" w:hAnsi="宋体" w:eastAsia="宋体"/>
                <w:sz w:val="16"/>
              </w:rPr>
              <w:t>和田地区生态环境局墨玉县分局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A0C4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D98FE5">
            <w:pPr>
              <w:jc w:val="center"/>
            </w:pPr>
            <w:r>
              <w:rPr>
                <w:rFonts w:ascii="宋体" w:hAnsi="宋体" w:eastAsia="宋体"/>
                <w:sz w:val="16"/>
              </w:rPr>
              <w:t>和田地区生态环境局墨玉县分局</w:t>
            </w:r>
          </w:p>
        </w:tc>
      </w:tr>
      <w:tr w14:paraId="1F2558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4336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5A75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78D2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C1EA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190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99E9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16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17B1B">
            <w:pPr>
              <w:jc w:val="center"/>
            </w:pPr>
            <w:r>
              <w:rPr>
                <w:rFonts w:ascii="宋体" w:hAnsi="宋体" w:eastAsia="宋体"/>
                <w:sz w:val="16"/>
              </w:rPr>
              <w:t>得分</w:t>
            </w:r>
          </w:p>
        </w:tc>
      </w:tr>
      <w:tr w14:paraId="43A96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0A3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85FE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582D3">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C7552">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93143">
            <w:pPr>
              <w:jc w:val="center"/>
            </w:pPr>
            <w:r>
              <w:rPr>
                <w:rFonts w:ascii="宋体" w:hAnsi="宋体" w:eastAsia="宋体"/>
                <w:sz w:val="16"/>
              </w:rPr>
              <w:t>14.19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68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3936">
            <w:pPr>
              <w:jc w:val="center"/>
            </w:pPr>
            <w:r>
              <w:rPr>
                <w:rFonts w:ascii="宋体" w:hAnsi="宋体" w:eastAsia="宋体"/>
                <w:sz w:val="16"/>
              </w:rPr>
              <w:t xml:space="preserve">94.60%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187A5">
            <w:pPr>
              <w:jc w:val="center"/>
            </w:pPr>
            <w:r>
              <w:rPr>
                <w:rFonts w:ascii="宋体" w:hAnsi="宋体" w:eastAsia="宋体"/>
                <w:sz w:val="16"/>
              </w:rPr>
              <w:t>10.00分</w:t>
            </w:r>
          </w:p>
        </w:tc>
      </w:tr>
      <w:tr w14:paraId="6C66F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9F2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79F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E1AF8">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31C07">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6B70A">
            <w:pPr>
              <w:jc w:val="center"/>
            </w:pPr>
            <w:r>
              <w:rPr>
                <w:rFonts w:ascii="宋体" w:hAnsi="宋体" w:eastAsia="宋体"/>
                <w:sz w:val="16"/>
              </w:rPr>
              <w:t>14.19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96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BF9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2E42E">
            <w:pPr>
              <w:jc w:val="center"/>
            </w:pPr>
            <w:r>
              <w:rPr>
                <w:rFonts w:ascii="宋体" w:hAnsi="宋体" w:eastAsia="宋体"/>
                <w:sz w:val="16"/>
              </w:rPr>
              <w:t>—</w:t>
            </w:r>
          </w:p>
        </w:tc>
      </w:tr>
      <w:tr w14:paraId="43B41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598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8CE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90D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96E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A99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BA1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A09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7C94F">
            <w:pPr>
              <w:jc w:val="center"/>
            </w:pPr>
            <w:r>
              <w:rPr>
                <w:rFonts w:ascii="宋体" w:hAnsi="宋体" w:eastAsia="宋体"/>
                <w:sz w:val="16"/>
              </w:rPr>
              <w:t>—</w:t>
            </w:r>
          </w:p>
        </w:tc>
      </w:tr>
      <w:tr w14:paraId="24E166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57D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44F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8BF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E08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D7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1F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0EA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3E1BA">
            <w:pPr>
              <w:jc w:val="center"/>
            </w:pPr>
            <w:r>
              <w:rPr>
                <w:rFonts w:ascii="宋体" w:hAnsi="宋体" w:eastAsia="宋体"/>
                <w:sz w:val="16"/>
              </w:rPr>
              <w:t>—</w:t>
            </w:r>
          </w:p>
        </w:tc>
      </w:tr>
      <w:tr w14:paraId="6F919E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E7D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8786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BD85D3">
            <w:pPr>
              <w:jc w:val="center"/>
            </w:pPr>
            <w:r>
              <w:rPr>
                <w:rFonts w:ascii="宋体" w:hAnsi="宋体" w:eastAsia="宋体"/>
                <w:sz w:val="16"/>
              </w:rPr>
              <w:t>实际完成情况</w:t>
            </w:r>
          </w:p>
        </w:tc>
      </w:tr>
      <w:tr w14:paraId="4CA2D6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27C6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F8D170">
            <w:pPr>
              <w:jc w:val="both"/>
            </w:pPr>
            <w:r>
              <w:rPr>
                <w:rFonts w:ascii="宋体" w:hAnsi="宋体" w:eastAsia="宋体"/>
                <w:sz w:val="16"/>
              </w:rPr>
              <w:t>本项目主要实施内容为：购置执法设备1套，开展培训2次，采购执法制服4套，举办各类环保宣传活动5次，项目总投资为15万元，项目计划于2024年12月完成。通过本项目的实施，可有效提高群众对生态环境的重视程度，保障生态环境的稳定性，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240F4A">
            <w:pPr>
              <w:jc w:val="both"/>
            </w:pPr>
            <w:r>
              <w:rPr>
                <w:rFonts w:hint="eastAsia" w:ascii="宋体" w:hAnsi="宋体"/>
                <w:sz w:val="16"/>
                <w:lang w:eastAsia="zh-CN"/>
              </w:rPr>
              <w:t>截至</w:t>
            </w:r>
            <w:r>
              <w:rPr>
                <w:rFonts w:ascii="宋体" w:hAnsi="宋体" w:eastAsia="宋体"/>
                <w:sz w:val="16"/>
              </w:rPr>
              <w:t>2024年12月31日，本项目实际形成支出14.19万元，已完成执法设备购置数1套，执法业务培训次数2次，执法制服采购数量4套，环保各类宣传活动举办次数5次的任务，达到了有效提高单位执法装备通过宣传有效了群众对生态环境保护的重视程度的效益，受益群众满意度达到100%。</w:t>
            </w:r>
          </w:p>
        </w:tc>
      </w:tr>
      <w:tr w14:paraId="6D8011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F90C7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C9C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ABCD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0EFD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33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12E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27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4A64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B534">
            <w:pPr>
              <w:jc w:val="center"/>
            </w:pPr>
            <w:r>
              <w:rPr>
                <w:rFonts w:ascii="宋体" w:hAnsi="宋体" w:eastAsia="宋体"/>
                <w:sz w:val="16"/>
              </w:rPr>
              <w:t>偏差原因分析及改进措施</w:t>
            </w:r>
          </w:p>
        </w:tc>
      </w:tr>
      <w:tr w14:paraId="3B2690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0776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D177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C80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F41BA">
            <w:pPr>
              <w:jc w:val="center"/>
            </w:pPr>
            <w:r>
              <w:rPr>
                <w:rFonts w:ascii="宋体" w:hAnsi="宋体" w:eastAsia="宋体"/>
                <w:sz w:val="16"/>
              </w:rPr>
              <w:t>执法设备购置数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1CC66">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AE553">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6DAF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668E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4D7B2">
            <w:pPr>
              <w:jc w:val="center"/>
            </w:pPr>
          </w:p>
        </w:tc>
      </w:tr>
      <w:tr w14:paraId="4D593A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1EE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300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3C6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53750">
            <w:pPr>
              <w:jc w:val="center"/>
            </w:pPr>
            <w:r>
              <w:rPr>
                <w:rFonts w:ascii="宋体" w:hAnsi="宋体" w:eastAsia="宋体"/>
                <w:sz w:val="16"/>
              </w:rPr>
              <w:t>执法业务培训次数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5EF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75EB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C1E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6BDB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35AEE">
            <w:pPr>
              <w:jc w:val="center"/>
            </w:pPr>
            <w:r>
              <w:rPr>
                <w:rFonts w:ascii="宋体" w:hAnsi="宋体" w:eastAsia="宋体"/>
                <w:sz w:val="16"/>
              </w:rPr>
              <w:t>偏差原因：年初做测算做</w:t>
            </w:r>
            <w:r>
              <w:rPr>
                <w:rFonts w:hint="eastAsia" w:ascii="宋体" w:hAnsi="宋体"/>
                <w:sz w:val="16"/>
                <w:lang w:eastAsia="zh-CN"/>
              </w:rPr>
              <w:t>得</w:t>
            </w:r>
            <w:r>
              <w:rPr>
                <w:rFonts w:ascii="宋体" w:hAnsi="宋体" w:eastAsia="宋体"/>
                <w:sz w:val="16"/>
              </w:rPr>
              <w:t>不够精准。改进措施：今后加强预算的精准度，从严从高设置绩效目标。</w:t>
            </w:r>
          </w:p>
        </w:tc>
      </w:tr>
      <w:tr w14:paraId="061FD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34F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F09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0B1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2EC91">
            <w:pPr>
              <w:jc w:val="center"/>
            </w:pPr>
            <w:r>
              <w:rPr>
                <w:rFonts w:ascii="宋体" w:hAnsi="宋体" w:eastAsia="宋体"/>
                <w:sz w:val="16"/>
              </w:rPr>
              <w:t>执法制服采购数量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154E9">
            <w:pPr>
              <w:jc w:val="center"/>
            </w:pPr>
            <w:r>
              <w:rPr>
                <w:rFonts w:ascii="宋体" w:hAnsi="宋体" w:eastAsia="宋体"/>
                <w:sz w:val="16"/>
              </w:rPr>
              <w: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B95CC">
            <w:pPr>
              <w:jc w:val="center"/>
            </w:pPr>
            <w:r>
              <w:rPr>
                <w:rFonts w:ascii="宋体" w:hAnsi="宋体" w:eastAsia="宋体"/>
                <w:sz w:val="16"/>
              </w:rPr>
              <w: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7333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60FF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8553">
            <w:pPr>
              <w:jc w:val="center"/>
            </w:pPr>
          </w:p>
        </w:tc>
      </w:tr>
      <w:tr w14:paraId="1FB705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37E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772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753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5FCA2">
            <w:pPr>
              <w:jc w:val="center"/>
            </w:pPr>
            <w:r>
              <w:rPr>
                <w:rFonts w:ascii="宋体" w:hAnsi="宋体" w:eastAsia="宋体"/>
                <w:sz w:val="16"/>
              </w:rPr>
              <w:t>环保各类宣传活动举办次数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DB98B">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B492D">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07E3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1DC3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3B82F">
            <w:pPr>
              <w:jc w:val="center"/>
            </w:pPr>
          </w:p>
        </w:tc>
      </w:tr>
      <w:tr w14:paraId="4D8239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9EF9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0E5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5BA5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811F">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2E6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17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7E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BA8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FC13">
            <w:pPr>
              <w:jc w:val="center"/>
            </w:pPr>
          </w:p>
        </w:tc>
      </w:tr>
      <w:tr w14:paraId="66923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67A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9E9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7260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52FE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466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9A7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87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FFA1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D98E">
            <w:pPr>
              <w:jc w:val="center"/>
            </w:pPr>
          </w:p>
        </w:tc>
      </w:tr>
      <w:tr w14:paraId="755868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C38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49B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25A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40BD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050A">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919E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BD3E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AE58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BB440">
            <w:pPr>
              <w:jc w:val="center"/>
            </w:pPr>
          </w:p>
        </w:tc>
      </w:tr>
      <w:tr w14:paraId="68BEB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294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9766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EFF8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E01C7">
            <w:pPr>
              <w:jc w:val="center"/>
            </w:pPr>
            <w:r>
              <w:rPr>
                <w:rFonts w:ascii="宋体" w:hAnsi="宋体" w:eastAsia="宋体"/>
                <w:sz w:val="16"/>
              </w:rPr>
              <w:t>设备购置费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2D3F9">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E552B">
            <w:pPr>
              <w:jc w:val="center"/>
            </w:pPr>
            <w:r>
              <w:rPr>
                <w:rFonts w:ascii="宋体" w:hAnsi="宋体" w:eastAsia="宋体"/>
                <w:sz w:val="16"/>
              </w:rPr>
              <w:t>=2.2万元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ADD6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73871">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9A3DC">
            <w:pPr>
              <w:jc w:val="center"/>
            </w:pPr>
            <w:r>
              <w:rPr>
                <w:rFonts w:ascii="宋体" w:hAnsi="宋体" w:eastAsia="宋体"/>
                <w:sz w:val="16"/>
              </w:rPr>
              <w:t>偏差原因：年初做预算时做</w:t>
            </w:r>
            <w:r>
              <w:rPr>
                <w:rFonts w:hint="eastAsia" w:ascii="宋体" w:hAnsi="宋体"/>
                <w:sz w:val="16"/>
                <w:lang w:eastAsia="zh-CN"/>
              </w:rPr>
              <w:t>得</w:t>
            </w:r>
            <w:r>
              <w:rPr>
                <w:rFonts w:ascii="宋体" w:hAnsi="宋体" w:eastAsia="宋体"/>
                <w:sz w:val="16"/>
              </w:rPr>
              <w:t>不够精准，年底前资金无法调剂采购不了，使资金有结余。改进措施：今后加强预算的精准度，确保资金预算与使用达到一致。</w:t>
            </w:r>
          </w:p>
        </w:tc>
      </w:tr>
      <w:tr w14:paraId="4CA170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10B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295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79D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A12B0">
            <w:pPr>
              <w:jc w:val="center"/>
            </w:pPr>
            <w:r>
              <w:rPr>
                <w:rFonts w:ascii="宋体" w:hAnsi="宋体" w:eastAsia="宋体"/>
                <w:sz w:val="16"/>
              </w:rPr>
              <w:t>购置执法服装费用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CF103">
            <w:pPr>
              <w:jc w:val="center"/>
            </w:pPr>
            <w:r>
              <w:rPr>
                <w:rFonts w:ascii="宋体" w:hAnsi="宋体" w:eastAsia="宋体"/>
                <w:sz w:val="16"/>
              </w:rPr>
              <w:t>&lt;1.7万元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40658">
            <w:pPr>
              <w:jc w:val="center"/>
            </w:pPr>
            <w:r>
              <w:rPr>
                <w:rFonts w:ascii="宋体" w:hAnsi="宋体" w:eastAsia="宋体"/>
                <w:sz w:val="16"/>
              </w:rPr>
              <w:t>=1.69万元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6BBC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18D38">
            <w:pPr>
              <w:jc w:val="center"/>
            </w:pPr>
            <w:r>
              <w:rPr>
                <w:rFonts w:ascii="宋体" w:hAnsi="宋体" w:eastAsia="宋体"/>
                <w:sz w:val="16"/>
              </w:rPr>
              <w:t>1.97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8D911">
            <w:pPr>
              <w:jc w:val="center"/>
            </w:pPr>
            <w:r>
              <w:rPr>
                <w:rFonts w:ascii="宋体" w:hAnsi="宋体" w:eastAsia="宋体"/>
                <w:sz w:val="16"/>
              </w:rPr>
              <w:t>偏差原因：按照实际采购支付，资金略有结余未使用。改进措施：今后加强资金的预算精准度，确保资金使用达到100%</w:t>
            </w:r>
            <w:r>
              <w:rPr>
                <w:rFonts w:hint="eastAsia" w:ascii="宋体" w:hAnsi="宋体"/>
                <w:sz w:val="16"/>
                <w:lang w:eastAsia="zh-CN"/>
              </w:rPr>
              <w:t>。</w:t>
            </w:r>
          </w:p>
        </w:tc>
      </w:tr>
      <w:tr w14:paraId="261952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731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E1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705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7ED1F">
            <w:pPr>
              <w:jc w:val="center"/>
            </w:pPr>
            <w:r>
              <w:rPr>
                <w:rFonts w:ascii="宋体" w:hAnsi="宋体" w:eastAsia="宋体"/>
                <w:sz w:val="16"/>
              </w:rPr>
              <w:t>水站运维费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71620">
            <w:pPr>
              <w:jc w:val="center"/>
            </w:pPr>
            <w:r>
              <w:rPr>
                <w:rFonts w:ascii="宋体" w:hAnsi="宋体" w:eastAsia="宋体"/>
                <w:sz w:val="16"/>
              </w:rPr>
              <w:t>≤0.80万元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62E70">
            <w:pPr>
              <w:jc w:val="center"/>
            </w:pPr>
            <w:r>
              <w:rPr>
                <w:rFonts w:ascii="宋体" w:hAnsi="宋体" w:eastAsia="宋体"/>
                <w:sz w:val="16"/>
              </w:rPr>
              <w:t>=0.8万元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0305">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719BF">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AC573">
            <w:pPr>
              <w:jc w:val="center"/>
            </w:pPr>
          </w:p>
        </w:tc>
      </w:tr>
      <w:tr w14:paraId="73E257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4F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043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378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1BA03">
            <w:pPr>
              <w:jc w:val="center"/>
            </w:pPr>
            <w:r>
              <w:rPr>
                <w:rFonts w:ascii="宋体" w:hAnsi="宋体" w:eastAsia="宋体"/>
                <w:sz w:val="16"/>
              </w:rPr>
              <w:t>环境应急调度系统建设费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94863">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D319A">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99E1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B3CB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41772">
            <w:pPr>
              <w:jc w:val="center"/>
            </w:pPr>
          </w:p>
        </w:tc>
      </w:tr>
      <w:tr w14:paraId="22CFA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CE1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003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93D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168A8">
            <w:pPr>
              <w:jc w:val="center"/>
            </w:pPr>
            <w:r>
              <w:rPr>
                <w:rFonts w:ascii="宋体" w:hAnsi="宋体" w:eastAsia="宋体"/>
                <w:sz w:val="16"/>
              </w:rPr>
              <w:t>宣传资料费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ED18F">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66C05">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DAA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89B8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C2A9">
            <w:pPr>
              <w:jc w:val="center"/>
            </w:pPr>
          </w:p>
        </w:tc>
      </w:tr>
      <w:tr w14:paraId="695E97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A3C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030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A61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BFB7">
            <w:pPr>
              <w:jc w:val="center"/>
            </w:pPr>
            <w:r>
              <w:rPr>
                <w:rFonts w:ascii="宋体" w:hAnsi="宋体" w:eastAsia="宋体"/>
                <w:sz w:val="16"/>
              </w:rPr>
              <w:t>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E4737">
            <w:pPr>
              <w:jc w:val="center"/>
            </w:pPr>
            <w:r>
              <w:rPr>
                <w:rFonts w:ascii="宋体" w:hAnsi="宋体" w:eastAsia="宋体"/>
                <w:sz w:val="16"/>
              </w:rPr>
              <w:t>≤0.80万元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D57A0">
            <w:pPr>
              <w:jc w:val="center"/>
            </w:pPr>
            <w:r>
              <w:rPr>
                <w:rFonts w:ascii="宋体" w:hAnsi="宋体" w:eastAsia="宋体"/>
                <w:sz w:val="16"/>
              </w:rPr>
              <w:t>=0.8万元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27D8">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4F7EE">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89A61">
            <w:pPr>
              <w:jc w:val="center"/>
            </w:pPr>
          </w:p>
        </w:tc>
      </w:tr>
      <w:tr w14:paraId="481D93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04F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E11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ECF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35D11">
            <w:pPr>
              <w:jc w:val="center"/>
            </w:pPr>
            <w:r>
              <w:rPr>
                <w:rFonts w:ascii="宋体" w:hAnsi="宋体" w:eastAsia="宋体"/>
                <w:sz w:val="16"/>
              </w:rPr>
              <w:t>委托业务费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79CF2">
            <w:pPr>
              <w:jc w:val="center"/>
            </w:pPr>
            <w:r>
              <w:rPr>
                <w:rFonts w:ascii="宋体" w:hAnsi="宋体" w:eastAsia="宋体"/>
                <w:sz w:val="16"/>
              </w:rPr>
              <w:t>≤1.70万元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1F9E4">
            <w:pPr>
              <w:jc w:val="center"/>
            </w:pPr>
            <w:r>
              <w:rPr>
                <w:rFonts w:ascii="宋体" w:hAnsi="宋体" w:eastAsia="宋体"/>
                <w:sz w:val="16"/>
              </w:rPr>
              <w: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1FA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7073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2A4F">
            <w:pPr>
              <w:jc w:val="center"/>
            </w:pPr>
          </w:p>
        </w:tc>
      </w:tr>
      <w:tr w14:paraId="04A61D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2A67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D312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3BF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1DC69">
            <w:pPr>
              <w:jc w:val="center"/>
            </w:pPr>
            <w:r>
              <w:rPr>
                <w:rFonts w:ascii="宋体" w:hAnsi="宋体" w:eastAsia="宋体"/>
                <w:sz w:val="16"/>
              </w:rPr>
              <w:t>对生态环境提高重视程度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381E8">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24A2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BE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4D3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400A4">
            <w:pPr>
              <w:jc w:val="center"/>
            </w:pPr>
          </w:p>
        </w:tc>
      </w:tr>
      <w:tr w14:paraId="1E5A0D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690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F63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B1D7">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0435">
            <w:pPr>
              <w:jc w:val="center"/>
            </w:pPr>
            <w:r>
              <w:rPr>
                <w:rFonts w:ascii="宋体" w:hAnsi="宋体" w:eastAsia="宋体"/>
                <w:sz w:val="16"/>
              </w:rPr>
              <w:t>保障生态环境的稳定性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5113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B9AA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93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E14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8EB90">
            <w:pPr>
              <w:jc w:val="center"/>
            </w:pPr>
          </w:p>
        </w:tc>
      </w:tr>
      <w:tr w14:paraId="52D03C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8F2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5F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DD9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20A5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04D3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D0E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391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922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4A1EE">
            <w:pPr>
              <w:jc w:val="center"/>
            </w:pPr>
          </w:p>
        </w:tc>
      </w:tr>
      <w:tr w14:paraId="0C33D4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9F40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6AC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B756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2F6536">
            <w:pPr>
              <w:jc w:val="center"/>
            </w:pPr>
            <w:r>
              <w:rPr>
                <w:rFonts w:ascii="宋体" w:hAnsi="宋体" w:eastAsia="宋体"/>
                <w:sz w:val="16"/>
              </w:rPr>
              <w:t>91.3分</w:t>
            </w:r>
          </w:p>
        </w:tc>
      </w:tr>
    </w:tbl>
    <w:p w14:paraId="6C006A23">
      <w:r>
        <w:br w:type="page"/>
      </w:r>
    </w:p>
    <w:p w14:paraId="641D23D0">
      <w:pPr>
        <w:spacing w:line="640" w:lineRule="exact"/>
        <w:ind w:firstLine="640"/>
        <w:jc w:val="both"/>
        <w:outlineLvl w:val="2"/>
      </w:pPr>
      <w:r>
        <w:rPr>
          <w:rFonts w:ascii="黑体" w:hAnsi="黑体" w:eastAsia="黑体"/>
          <w:sz w:val="32"/>
        </w:rPr>
        <w:t>十二、其他需说明的事项</w:t>
      </w:r>
    </w:p>
    <w:p w14:paraId="54C25EBC">
      <w:pPr>
        <w:spacing w:line="580" w:lineRule="exact"/>
        <w:ind w:firstLine="640"/>
        <w:jc w:val="both"/>
      </w:pPr>
      <w:r>
        <w:rPr>
          <w:rFonts w:ascii="仿宋_GB2312" w:hAnsi="仿宋_GB2312" w:eastAsia="仿宋_GB2312"/>
          <w:b w:val="0"/>
          <w:sz w:val="32"/>
        </w:rPr>
        <w:t>本单位无其他需说明的事项。</w:t>
      </w:r>
    </w:p>
    <w:p w14:paraId="04AA2426">
      <w:r>
        <w:br w:type="page"/>
      </w:r>
    </w:p>
    <w:p w14:paraId="095145E5">
      <w:pPr>
        <w:spacing w:line="240" w:lineRule="auto"/>
        <w:jc w:val="center"/>
        <w:outlineLvl w:val="1"/>
      </w:pPr>
      <w:r>
        <w:rPr>
          <w:rFonts w:ascii="黑体" w:hAnsi="黑体" w:eastAsia="黑体"/>
          <w:sz w:val="32"/>
        </w:rPr>
        <w:t>第三部分 专业名词解释</w:t>
      </w:r>
    </w:p>
    <w:p w14:paraId="267B8F0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D72A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1EAD8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1ED9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A3F40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F199D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9E30E2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62198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34903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E7DA2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05A0E0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F677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ADF8D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D603C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4CFCCF">
      <w:r>
        <w:br w:type="page"/>
      </w:r>
    </w:p>
    <w:p w14:paraId="128558B5">
      <w:pPr>
        <w:spacing w:line="240" w:lineRule="auto"/>
        <w:jc w:val="center"/>
        <w:outlineLvl w:val="1"/>
      </w:pPr>
      <w:r>
        <w:rPr>
          <w:rFonts w:ascii="黑体" w:hAnsi="黑体" w:eastAsia="黑体"/>
          <w:sz w:val="32"/>
        </w:rPr>
        <w:t>第四部分 部门决算报表（见附表）</w:t>
      </w:r>
    </w:p>
    <w:p w14:paraId="460E33D6">
      <w:pPr>
        <w:spacing w:line="240" w:lineRule="auto"/>
        <w:ind w:firstLine="640"/>
        <w:jc w:val="both"/>
      </w:pPr>
      <w:r>
        <w:rPr>
          <w:rFonts w:ascii="仿宋_GB2312" w:hAnsi="仿宋_GB2312" w:eastAsia="仿宋_GB2312"/>
          <w:b w:val="0"/>
          <w:sz w:val="32"/>
        </w:rPr>
        <w:t>一、《收入支出决算总表》</w:t>
      </w:r>
    </w:p>
    <w:p w14:paraId="7026FACD">
      <w:pPr>
        <w:spacing w:line="240" w:lineRule="auto"/>
        <w:ind w:firstLine="640"/>
        <w:jc w:val="both"/>
      </w:pPr>
      <w:r>
        <w:rPr>
          <w:rFonts w:ascii="仿宋_GB2312" w:hAnsi="仿宋_GB2312" w:eastAsia="仿宋_GB2312"/>
          <w:b w:val="0"/>
          <w:sz w:val="32"/>
        </w:rPr>
        <w:t>二、《收入决算表》</w:t>
      </w:r>
    </w:p>
    <w:p w14:paraId="5EA5AB61">
      <w:pPr>
        <w:spacing w:line="240" w:lineRule="auto"/>
        <w:ind w:firstLine="640"/>
        <w:jc w:val="both"/>
      </w:pPr>
      <w:r>
        <w:rPr>
          <w:rFonts w:ascii="仿宋_GB2312" w:hAnsi="仿宋_GB2312" w:eastAsia="仿宋_GB2312"/>
          <w:b w:val="0"/>
          <w:sz w:val="32"/>
        </w:rPr>
        <w:t>三、《支出决算表》</w:t>
      </w:r>
    </w:p>
    <w:p w14:paraId="65761FA8">
      <w:pPr>
        <w:spacing w:line="240" w:lineRule="auto"/>
        <w:ind w:firstLine="640"/>
        <w:jc w:val="both"/>
      </w:pPr>
      <w:r>
        <w:rPr>
          <w:rFonts w:ascii="仿宋_GB2312" w:hAnsi="仿宋_GB2312" w:eastAsia="仿宋_GB2312"/>
          <w:b w:val="0"/>
          <w:sz w:val="32"/>
        </w:rPr>
        <w:t>四、《财政拨款收入支出决算总表》</w:t>
      </w:r>
    </w:p>
    <w:p w14:paraId="5EF7F51D">
      <w:pPr>
        <w:spacing w:line="240" w:lineRule="auto"/>
        <w:ind w:firstLine="640"/>
        <w:jc w:val="both"/>
      </w:pPr>
      <w:r>
        <w:rPr>
          <w:rFonts w:ascii="仿宋_GB2312" w:hAnsi="仿宋_GB2312" w:eastAsia="仿宋_GB2312"/>
          <w:b w:val="0"/>
          <w:sz w:val="32"/>
        </w:rPr>
        <w:t>五、《一般公共预算财政拨款支出决算表》</w:t>
      </w:r>
    </w:p>
    <w:p w14:paraId="2CCCC1AF">
      <w:pPr>
        <w:spacing w:line="240" w:lineRule="auto"/>
        <w:ind w:firstLine="640"/>
        <w:jc w:val="both"/>
      </w:pPr>
      <w:r>
        <w:rPr>
          <w:rFonts w:ascii="仿宋_GB2312" w:hAnsi="仿宋_GB2312" w:eastAsia="仿宋_GB2312"/>
          <w:b w:val="0"/>
          <w:sz w:val="32"/>
        </w:rPr>
        <w:t>六、《一般公共预算财政拨款基本支出决算表》</w:t>
      </w:r>
    </w:p>
    <w:p w14:paraId="0DC42A48">
      <w:pPr>
        <w:spacing w:line="240" w:lineRule="auto"/>
        <w:ind w:firstLine="640"/>
        <w:jc w:val="both"/>
      </w:pPr>
      <w:r>
        <w:rPr>
          <w:rFonts w:ascii="仿宋_GB2312" w:hAnsi="仿宋_GB2312" w:eastAsia="仿宋_GB2312"/>
          <w:b w:val="0"/>
          <w:sz w:val="32"/>
        </w:rPr>
        <w:t>七、《政府性基金预算财政拨款收入支出决算表》</w:t>
      </w:r>
    </w:p>
    <w:p w14:paraId="14C5D297">
      <w:pPr>
        <w:spacing w:line="240" w:lineRule="auto"/>
        <w:ind w:firstLine="640"/>
        <w:jc w:val="both"/>
      </w:pPr>
      <w:r>
        <w:rPr>
          <w:rFonts w:ascii="仿宋_GB2312" w:hAnsi="仿宋_GB2312" w:eastAsia="仿宋_GB2312"/>
          <w:b w:val="0"/>
          <w:sz w:val="32"/>
        </w:rPr>
        <w:t>八、《国有资本经营预算财政拨款收入支出决算表》</w:t>
      </w:r>
    </w:p>
    <w:p w14:paraId="78BF3DD6">
      <w:pPr>
        <w:spacing w:line="240" w:lineRule="auto"/>
        <w:ind w:firstLine="640"/>
        <w:jc w:val="both"/>
      </w:pPr>
      <w:r>
        <w:rPr>
          <w:rFonts w:ascii="仿宋_GB2312" w:hAnsi="仿宋_GB2312" w:eastAsia="仿宋_GB2312"/>
          <w:b w:val="0"/>
          <w:sz w:val="32"/>
        </w:rPr>
        <w:t>九、《财政拨款“三公”经费支出决算表》</w:t>
      </w:r>
    </w:p>
    <w:p w14:paraId="4D664773">
      <w:pPr>
        <w:spacing w:line="240" w:lineRule="auto"/>
        <w:ind w:firstLine="640"/>
        <w:jc w:val="both"/>
      </w:pPr>
    </w:p>
    <w:p w14:paraId="1730FE46">
      <w:pPr>
        <w:spacing w:line="240" w:lineRule="auto"/>
        <w:ind w:firstLine="640"/>
        <w:jc w:val="both"/>
      </w:pPr>
    </w:p>
    <w:p w14:paraId="4B975B34">
      <w:pPr>
        <w:spacing w:line="240" w:lineRule="auto"/>
        <w:ind w:firstLine="640"/>
        <w:jc w:val="both"/>
      </w:pPr>
    </w:p>
    <w:p w14:paraId="6AAD87FB">
      <w:pPr>
        <w:spacing w:line="240" w:lineRule="auto"/>
        <w:ind w:firstLine="640"/>
        <w:jc w:val="both"/>
      </w:pPr>
    </w:p>
    <w:p w14:paraId="6E1F62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AC55EA"/>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B17D58"/>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0E89"/>
    <w:rsid w:val="6E801ABC"/>
    <w:rsid w:val="71473612"/>
    <w:rsid w:val="718F7F65"/>
    <w:rsid w:val="73423603"/>
    <w:rsid w:val="737A5923"/>
    <w:rsid w:val="73DE4104"/>
    <w:rsid w:val="73FB6630"/>
    <w:rsid w:val="74CE04EC"/>
    <w:rsid w:val="74E76DCD"/>
    <w:rsid w:val="76660D7C"/>
    <w:rsid w:val="77E7252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4644</Words>
  <Characters>5415</Characters>
  <Lines>0</Lines>
  <Paragraphs>0</Paragraphs>
  <TotalTime>15</TotalTime>
  <ScaleCrop>false</ScaleCrop>
  <LinksUpToDate>false</LinksUpToDate>
  <CharactersWithSpaces>5423</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2025-09-28T16:21:44Z</cp:lastPrinted>
  <dcterms:modified xsi:type="dcterms:W3CDTF">2025-09-28T16:22:25Z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