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66F912">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黑体" w:hAnsi="黑体" w:eastAsia="黑体"/>
          <w:sz w:val="32"/>
          <w:szCs w:val="32"/>
          <w:highlight w:val="none"/>
          <w:lang w:val="en-US" w:eastAsia="zh-CN"/>
        </w:rPr>
      </w:pPr>
    </w:p>
    <w:p w14:paraId="3A4049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p>
    <w:p w14:paraId="15CF0DA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和田地区生态环境局和田县分局2024年度</w:t>
      </w:r>
    </w:p>
    <w:p w14:paraId="183EB15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部门决算公开说明</w:t>
      </w:r>
    </w:p>
    <w:p w14:paraId="5E50A7A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lang w:val="en-US" w:eastAsia="zh-CN"/>
        </w:rPr>
        <w:br w:type="page"/>
      </w:r>
      <w:r>
        <w:rPr>
          <w:rFonts w:hint="eastAsia" w:ascii="仿宋_GB2312" w:hAnsi="仿宋_GB2312" w:eastAsia="仿宋_GB2312" w:cs="仿宋_GB2312"/>
          <w:b/>
          <w:bCs w:val="0"/>
          <w:kern w:val="0"/>
          <w:sz w:val="36"/>
          <w:szCs w:val="36"/>
          <w:highlight w:val="none"/>
        </w:rPr>
        <w:t>目  录</w:t>
      </w:r>
    </w:p>
    <w:p w14:paraId="529FAAD6">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ACE044F">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3087788A">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3FCE6D80">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6154ED40">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34B02C34">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3ACA92CA">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73894C36">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26B50F44">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033FFFB5">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35A9BA69">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54EC201B">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0F1C2934">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25C277BF">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4AB14E8E">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0220ACE2">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B758704">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375AD640">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3E7FBE04">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2FB898E9">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7B30EDE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6EE1AEE5">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605D998">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77FDC956">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3A193655">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2CD83D56">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4329E7DE">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71D89369">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3205D52E">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13A678A1">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1C19112D">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BFF49DE">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42F9A496">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2AF4F43B">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820E18C">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br w:type="page"/>
      </w:r>
    </w:p>
    <w:p w14:paraId="1514F3A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第一部分 单位概况</w:t>
      </w:r>
    </w:p>
    <w:p w14:paraId="196C6C9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ascii="黑体" w:hAnsi="黑体" w:eastAsia="黑体"/>
          <w:sz w:val="32"/>
        </w:rPr>
      </w:pPr>
    </w:p>
    <w:p w14:paraId="400B070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一、主要职能</w:t>
      </w:r>
    </w:p>
    <w:p w14:paraId="0CD6F89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1.</w:t>
      </w:r>
      <w:r>
        <w:rPr>
          <w:rFonts w:ascii="仿宋_GB2312" w:hAnsi="仿宋_GB2312" w:eastAsia="仿宋_GB2312"/>
          <w:sz w:val="32"/>
        </w:rPr>
        <w:t>贯彻落实国家环境保护基本制度。</w:t>
      </w:r>
    </w:p>
    <w:p w14:paraId="00CCDBB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2.</w:t>
      </w:r>
      <w:r>
        <w:rPr>
          <w:rFonts w:ascii="仿宋_GB2312" w:hAnsi="仿宋_GB2312" w:eastAsia="仿宋_GB2312"/>
          <w:sz w:val="32"/>
        </w:rPr>
        <w:t>负责重大生态环境问题的统筹协调和监督管理。</w:t>
      </w:r>
    </w:p>
    <w:p w14:paraId="6C12C9E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3.</w:t>
      </w:r>
      <w:r>
        <w:rPr>
          <w:rFonts w:ascii="仿宋_GB2312" w:hAnsi="仿宋_GB2312" w:eastAsia="仿宋_GB2312"/>
          <w:sz w:val="32"/>
        </w:rPr>
        <w:t>负责监督管理减排目标的落实。</w:t>
      </w:r>
    </w:p>
    <w:p w14:paraId="168B551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4.</w:t>
      </w:r>
      <w:r>
        <w:rPr>
          <w:rFonts w:ascii="仿宋_GB2312" w:hAnsi="仿宋_GB2312" w:eastAsia="仿宋_GB2312"/>
          <w:sz w:val="32"/>
        </w:rPr>
        <w:t>负责环境污染防治的监督管理。</w:t>
      </w:r>
    </w:p>
    <w:p w14:paraId="397AD8C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5.</w:t>
      </w:r>
      <w:r>
        <w:rPr>
          <w:rFonts w:ascii="仿宋_GB2312" w:hAnsi="仿宋_GB2312" w:eastAsia="仿宋_GB2312"/>
          <w:sz w:val="32"/>
        </w:rPr>
        <w:t>指导协调和监督生态保护修复工作。</w:t>
      </w:r>
    </w:p>
    <w:p w14:paraId="13D91DB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6.</w:t>
      </w:r>
      <w:r>
        <w:rPr>
          <w:rFonts w:ascii="仿宋_GB2312" w:hAnsi="仿宋_GB2312" w:eastAsia="仿宋_GB2312"/>
          <w:sz w:val="32"/>
        </w:rPr>
        <w:t>负责实用功能辐射安全的监督管理。</w:t>
      </w:r>
    </w:p>
    <w:p w14:paraId="37DC793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7.</w:t>
      </w:r>
      <w:r>
        <w:rPr>
          <w:rFonts w:ascii="仿宋_GB2312" w:hAnsi="仿宋_GB2312" w:eastAsia="仿宋_GB2312"/>
          <w:sz w:val="32"/>
        </w:rPr>
        <w:t>指导协调和监督生态保护修复工作。</w:t>
      </w:r>
    </w:p>
    <w:p w14:paraId="5556F8C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8.</w:t>
      </w:r>
      <w:r>
        <w:rPr>
          <w:rFonts w:ascii="仿宋_GB2312" w:hAnsi="仿宋_GB2312" w:eastAsia="仿宋_GB2312"/>
          <w:sz w:val="32"/>
        </w:rPr>
        <w:t>负责应对气候变化工作。</w:t>
      </w:r>
    </w:p>
    <w:p w14:paraId="0986664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9.</w:t>
      </w:r>
      <w:r>
        <w:rPr>
          <w:rFonts w:ascii="仿宋_GB2312" w:hAnsi="仿宋_GB2312" w:eastAsia="仿宋_GB2312"/>
          <w:sz w:val="32"/>
        </w:rPr>
        <w:t>组织指导和协调生态环境保护宣传教育工作。</w:t>
      </w:r>
    </w:p>
    <w:p w14:paraId="009B256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10.</w:t>
      </w:r>
      <w:r>
        <w:rPr>
          <w:rFonts w:ascii="仿宋_GB2312" w:hAnsi="仿宋_GB2312" w:eastAsia="仿宋_GB2312"/>
          <w:sz w:val="32"/>
        </w:rPr>
        <w:t>完成地区生态环境局</w:t>
      </w:r>
      <w:r>
        <w:rPr>
          <w:rFonts w:hint="eastAsia" w:ascii="仿宋_GB2312" w:hAnsi="仿宋_GB2312" w:eastAsia="仿宋_GB2312"/>
          <w:sz w:val="32"/>
          <w:lang w:eastAsia="zh-CN"/>
        </w:rPr>
        <w:t>、</w:t>
      </w:r>
      <w:r>
        <w:rPr>
          <w:rFonts w:ascii="仿宋_GB2312" w:hAnsi="仿宋_GB2312" w:eastAsia="仿宋_GB2312"/>
          <w:sz w:val="32"/>
        </w:rPr>
        <w:t>县委、县政府交办的其他任务。</w:t>
      </w:r>
    </w:p>
    <w:p w14:paraId="3027410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二、机构设置及人员情况</w:t>
      </w:r>
    </w:p>
    <w:p w14:paraId="1EA0422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和田地区生态环境局和田县分局2024年度，实有人数19人，其中：在职人员13人，增加13人；离休人员0人，增加0人；退休人员6人,增加6人。</w:t>
      </w:r>
    </w:p>
    <w:p w14:paraId="206ACE0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和田地区生态环境局和田县分局无下属预算单位，下设3个科室，分别是：财务室、办公室、业务室。</w:t>
      </w:r>
    </w:p>
    <w:p w14:paraId="717F13B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br w:type="page"/>
      </w:r>
    </w:p>
    <w:p w14:paraId="45061A3B">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第二部分 部门决算情况说明</w:t>
      </w:r>
    </w:p>
    <w:p w14:paraId="5F69DEE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ascii="黑体" w:hAnsi="黑体" w:eastAsia="黑体"/>
          <w:sz w:val="32"/>
        </w:rPr>
      </w:pPr>
    </w:p>
    <w:p w14:paraId="7A5E7DE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一、收入支出决算总体情况说明</w:t>
      </w:r>
    </w:p>
    <w:p w14:paraId="5D37B92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2024年度收入总计342.56万元，</w:t>
      </w:r>
      <w:r>
        <w:rPr>
          <w:rFonts w:ascii="仿宋_GB2312" w:hAnsi="仿宋_GB2312" w:eastAsia="仿宋_GB2312"/>
          <w:b w:val="0"/>
          <w:sz w:val="32"/>
        </w:rPr>
        <w:t>其中：本年收入合计342.56万元，使用非财政拨款结余（含专用结余）0.00万元，年初结转和结余0.00万元。</w:t>
      </w:r>
    </w:p>
    <w:p w14:paraId="2ABE23A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2024年度支出总计342.56万元，</w:t>
      </w:r>
      <w:r>
        <w:rPr>
          <w:rFonts w:ascii="仿宋_GB2312" w:hAnsi="仿宋_GB2312" w:eastAsia="仿宋_GB2312"/>
          <w:b w:val="0"/>
          <w:sz w:val="32"/>
        </w:rPr>
        <w:t>其中：本年支出合计342.56万元，结余分配0.00万元，年末结转和结余0.00万元。</w:t>
      </w:r>
    </w:p>
    <w:p w14:paraId="2C04A25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收入支出总体与上年相比，增加342.56万元，增长100.00%，主要原因是：本单位为2024年1月新增单位，无上年对比数据。</w:t>
      </w:r>
    </w:p>
    <w:p w14:paraId="2130852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二、收入决算情况说明</w:t>
      </w:r>
    </w:p>
    <w:p w14:paraId="00C0CF1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本年收入342.56万元，</w:t>
      </w:r>
      <w:r>
        <w:rPr>
          <w:rFonts w:ascii="仿宋_GB2312" w:hAnsi="仿宋_GB2312" w:eastAsia="仿宋_GB2312"/>
          <w:b w:val="0"/>
          <w:sz w:val="32"/>
        </w:rPr>
        <w:t>其中：财政拨款收入342.56万元，占100.00%；上级补助收入0.00万元，占0.00%；事业收入0.00万元，占0.00%；经营收入0.00万元，占0.00%；附属单位上缴收入0.00万元，占0.00%；其他收入0.00万元，占0.00%。</w:t>
      </w:r>
    </w:p>
    <w:p w14:paraId="07D29D8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三、支出决算情况说明</w:t>
      </w:r>
    </w:p>
    <w:p w14:paraId="4F5AEFA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本年支出342.56万元，</w:t>
      </w:r>
      <w:r>
        <w:rPr>
          <w:rFonts w:ascii="仿宋_GB2312" w:hAnsi="仿宋_GB2312" w:eastAsia="仿宋_GB2312"/>
          <w:b w:val="0"/>
          <w:sz w:val="32"/>
        </w:rPr>
        <w:t>其中：基本支出310.56万元，占90.66%；项目支出32.00万元，占9.34%；上缴上级支出0.00万元，占0.00%；经营支出0.00万元，占0.00%；对附属单位补助支出0.00万元，占0.00%。</w:t>
      </w:r>
    </w:p>
    <w:p w14:paraId="1EDBE23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四、财政拨款收入支出决算总体情况说明</w:t>
      </w:r>
    </w:p>
    <w:p w14:paraId="31D924D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2024年度财政拨款收入总计342.56万元，</w:t>
      </w:r>
      <w:r>
        <w:rPr>
          <w:rFonts w:ascii="仿宋_GB2312" w:hAnsi="仿宋_GB2312" w:eastAsia="仿宋_GB2312"/>
          <w:b w:val="0"/>
          <w:sz w:val="32"/>
        </w:rPr>
        <w:t>其中：年初财政拨款结转和结余0.00万元，本年财政拨款收入342.56万元。</w:t>
      </w:r>
      <w:r>
        <w:rPr>
          <w:rFonts w:ascii="仿宋_GB2312" w:hAnsi="仿宋_GB2312" w:eastAsia="仿宋_GB2312"/>
          <w:b/>
          <w:sz w:val="32"/>
        </w:rPr>
        <w:t>财政拨款支出总计342.56万元，</w:t>
      </w:r>
      <w:r>
        <w:rPr>
          <w:rFonts w:ascii="仿宋_GB2312" w:hAnsi="仿宋_GB2312" w:eastAsia="仿宋_GB2312"/>
          <w:b w:val="0"/>
          <w:sz w:val="32"/>
        </w:rPr>
        <w:t>其中：年末财政拨款结转和结余0.00万元，本年财政拨款支出342.56万元。</w:t>
      </w:r>
    </w:p>
    <w:p w14:paraId="37630C6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财政拨款收入支出总体与上年相比，</w:t>
      </w:r>
      <w:r>
        <w:rPr>
          <w:rFonts w:ascii="仿宋_GB2312" w:hAnsi="仿宋_GB2312" w:eastAsia="仿宋_GB2312"/>
          <w:b w:val="0"/>
          <w:sz w:val="32"/>
        </w:rPr>
        <w:t>增加342.56万元，增长100.00%，主要原因是：本单位为2024年1月新增单位，无上年对比数据。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年初预算数354.86万元，决算数342.56万元，预决算差异率-3.47%，主要原因是：年中追加人员经费及人员工资、社保、公积金基数调增部分资金，导致预决算存在差异。</w:t>
      </w:r>
    </w:p>
    <w:p w14:paraId="7C52495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五、一般公共预算财政拨款支出决算情况说明</w:t>
      </w:r>
    </w:p>
    <w:p w14:paraId="493704D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（一）一般公共预算财政拨款支出决算总体情况</w:t>
      </w:r>
    </w:p>
    <w:p w14:paraId="72685B2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2024年度一般公共预算财政拨款支出342.56万元，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增加342.56万元，增长100.00%，主要原因是：本单位为2024年1月新增单位，无上年对比数据。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年初预算数354.86万元，决算数342.56万元，预决算差异率-3.47%，主要原因是：年中追加人员经费及人员工资、社保、公积金基数调增部分资金，导致预决算存在差异。</w:t>
      </w:r>
    </w:p>
    <w:p w14:paraId="568190E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（二）一般公共预算财政拨款支出决算结构情况</w:t>
      </w:r>
    </w:p>
    <w:p w14:paraId="58D3F6B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1.社会保障和就业支出(类)39.43万元,占11.51%。</w:t>
      </w:r>
    </w:p>
    <w:p w14:paraId="2F6E720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2.卫生健康支出(类)16.67万元,占4.87%。</w:t>
      </w:r>
    </w:p>
    <w:p w14:paraId="776A52D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3.节能环保支出(类)241.11万元,占70.38%。</w:t>
      </w:r>
    </w:p>
    <w:p w14:paraId="387153E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4.住房保障支出(类)21.35万元,占6.23%。</w:t>
      </w:r>
    </w:p>
    <w:p w14:paraId="56AE3FE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5.其他支出(类)24.00万元,占7.01%。</w:t>
      </w:r>
    </w:p>
    <w:p w14:paraId="172B92A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（三）一般公共预算财政拨款支出决算具体情况</w:t>
      </w:r>
    </w:p>
    <w:p w14:paraId="4FBDFEF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1.社会保障和就业支出(类)行政事业单位养老支出(款)行政单位离退休(项):支出决算数为8.78万元，比上年决算增加8.78万元，增长100.00%,主要原因是：本单位为2024年1月新增单位，无上年对比数据。</w:t>
      </w:r>
    </w:p>
    <w:p w14:paraId="0B3A2BF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社会保障和就业支出(类)行政事业单位养老支出(款)机关事业单位基本养老保险缴费支出(项):支出决算数为27.79万元，比上年决算增加27.79万元，增长100.00%,主要原因是：本单位为2024年1月新增单位，无上年对比数据。</w:t>
      </w:r>
    </w:p>
    <w:p w14:paraId="08E2E84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3.社会保障和就业支出(类)行政事业单位养老支出(款)机关事业单位职业年金缴费支出(项):支出决算数为2.86万元，比上年决算增加2.86万元，增长100.00%,主要原因是：本单位为2024年1月新增单位，无上年对比数据。</w:t>
      </w:r>
    </w:p>
    <w:p w14:paraId="7DD81FD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4.卫生健康支出(类)行政事业单位医疗(款)行政单位医疗(项):支出决算数为11.29万元，比上年决算增加11.29万元，增长100.00%,主要原因是：本单位为2024年1月新增单位，无上年对比数据。</w:t>
      </w:r>
    </w:p>
    <w:p w14:paraId="0EB1616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5.卫生健康支出(类)行政事业单位医疗(款)公务员医疗补助(项):支出决算数为5.38万元，比上年决算增加5.38万元，增长100.00%,主要原因是：本单位为2024年1月新增单位，无上年对比数据。</w:t>
      </w:r>
    </w:p>
    <w:p w14:paraId="3866AEB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6.节能环保支出(类)环境保护管理事务(款)行政运行(项):支出决算数为233.11万元，比上年决算增加233.11万元，增长100.00%,主要原因是：本单位为2024年1月新增单位，无上年对比数据。</w:t>
      </w:r>
    </w:p>
    <w:p w14:paraId="02A410F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7.节能环保支出(类)环境保护管理事务(款)其他环境保护管理事务支出(项):支出决算数为8.00万元，比上年决算增加8.00万元，增长100.00%,主要原因是：本单位为2024年1月新增单位，无上年对比数据。</w:t>
      </w:r>
    </w:p>
    <w:p w14:paraId="40D9E84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8.住房保障支出(类)住房改革支出(款)住房公积金(项):支出决算数为21.35万元，比上年决算增加21.35万元，增长100.00%,主要原因是：本单位为2024年1月新增单位，无上年对比数据。</w:t>
      </w:r>
    </w:p>
    <w:p w14:paraId="596AFA2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9.其他支出(类)其他支出(款)其他支出(项):支出决算数为24.00万元，比上年决算增加24.00万元，增长100.00%,主要原因是：本单位为2024年1月新增单位，无上年对比数据。</w:t>
      </w:r>
    </w:p>
    <w:p w14:paraId="3C3CD29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六、一般公共预算财政拨款基本支出决算情况说明</w:t>
      </w:r>
    </w:p>
    <w:p w14:paraId="72B9045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2024年度一般公共预算财政拨款基本支出310.56万元，其中：</w:t>
      </w:r>
      <w:r>
        <w:rPr>
          <w:rFonts w:ascii="仿宋_GB2312" w:hAnsi="仿宋_GB2312" w:eastAsia="仿宋_GB2312"/>
          <w:b/>
          <w:sz w:val="32"/>
        </w:rPr>
        <w:t>人员经费290.89万元，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14:paraId="476B776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公用经费19.67万元，</w:t>
      </w:r>
      <w:r>
        <w:rPr>
          <w:rFonts w:ascii="仿宋_GB2312" w:hAnsi="仿宋_GB2312" w:eastAsia="仿宋_GB2312"/>
          <w:b w:val="0"/>
          <w:sz w:val="32"/>
        </w:rPr>
        <w:t>包括：办公费、差旅费、工会经费、福利费、公务用车运行维护费、其他商品和服务支出。</w:t>
      </w:r>
    </w:p>
    <w:p w14:paraId="18DEE60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七、政府性基金预算财政拨款收入支出决算情况说明</w:t>
      </w:r>
    </w:p>
    <w:p w14:paraId="763F2F1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C11EDF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八、国有资本经营预算财政拨款收入支出决算情况说明</w:t>
      </w:r>
    </w:p>
    <w:p w14:paraId="6F12E02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99D970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九、财政拨款“三公”经费支出决算情况说明</w:t>
      </w:r>
    </w:p>
    <w:p w14:paraId="0BF4FC2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2024年度财政拨款“三公”经费支出2.00万元，</w:t>
      </w:r>
      <w:r>
        <w:rPr>
          <w:rFonts w:ascii="仿宋_GB2312" w:hAnsi="仿宋_GB2312" w:eastAsia="仿宋_GB2312"/>
          <w:b w:val="0"/>
          <w:sz w:val="32"/>
        </w:rPr>
        <w:t>比上年增加2.00万元，增长100.00%，主要原因是：本单位为2024年1月新增单位，无上年对比数据。其中：因公出国（境）费支出0.00万元，占0.00%，比上年增加0.00万元，增长0.00%，主要原因是：2023年与2024年均未安排因公出国（境）费支出。公务用车购置及运行维护费支出2.00万元，占100.00%，比上年增加2.00万元，增长100.00%，主要原因是：本单位为2024年1月新增单位，无上年对比数据。公务接待费支出0.00万元，占0.00%，比上年增加0.00万元，增长0.00%，主要原因是：2023年与2024年均未安排公务接待费支出。</w:t>
      </w:r>
    </w:p>
    <w:p w14:paraId="5C36B43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具体情况如下：</w:t>
      </w:r>
    </w:p>
    <w:p w14:paraId="1FC5949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86806A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2B68948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公务接待费0.00万元，开支内容包括本单位无公务接待费。单位全年安排的国内公务接待0批次，0人次。</w:t>
      </w:r>
    </w:p>
    <w:p w14:paraId="3A62B3F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2D5B8D6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十、其他重要事项的情况说明</w:t>
      </w:r>
    </w:p>
    <w:p w14:paraId="61C52BE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（一）机关运行经费及公用经费支出情况</w:t>
      </w:r>
    </w:p>
    <w:p w14:paraId="21C1476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2024年度和田地区生态环境局和田县分局（行政单位和参照公务员法管理事业单位）机关运行经费支出19.67万元，比上年增加19.67万元，增长100.00%，主要原因是：本单位为2024年1月新增单位，无上年对比数据。</w:t>
      </w:r>
    </w:p>
    <w:p w14:paraId="26434BA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（二）政府采购情况</w:t>
      </w:r>
    </w:p>
    <w:p w14:paraId="440A2FF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2024年度政府采购支出总额5.54万元，其中：政府采购货物支出0.80万元、政府采购工程支出0.00万元、政府采购服务支出4.74万元。</w:t>
      </w:r>
    </w:p>
    <w:p w14:paraId="78578A2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授予中小企业合同金额5.26万元，占政府采购支出总额的94.95%，其中：授予小微企业合同金额5.26万元，占政府采购支出总额的94.95%。</w:t>
      </w:r>
    </w:p>
    <w:p w14:paraId="30630E8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（三）国有资产占用情况说明</w:t>
      </w:r>
    </w:p>
    <w:p w14:paraId="34ACF86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截至2024年12月31日，房屋0.00平方米，价值0.00万元。车辆1辆，价值15.84万元，其中：副部（省）级及以上领导用车0辆、主要负责人用车0辆、机要通信用车0辆、应急保障用车0辆、执法执勤用车</w:t>
      </w:r>
      <w:r>
        <w:rPr>
          <w:rFonts w:hint="eastAsia" w:ascii="仿宋_GB2312" w:hAnsi="仿宋_GB2312" w:eastAsia="仿宋_GB2312"/>
          <w:b w:val="0"/>
          <w:sz w:val="32"/>
          <w:lang w:val="en-US" w:eastAsia="zh-CN"/>
        </w:rPr>
        <w:t>0</w:t>
      </w:r>
      <w:r>
        <w:rPr>
          <w:rFonts w:ascii="仿宋_GB2312" w:hAnsi="仿宋_GB2312" w:eastAsia="仿宋_GB2312"/>
          <w:b w:val="0"/>
          <w:sz w:val="32"/>
        </w:rPr>
        <w:t>辆、特种专业技术用车0辆、离退休干部服务用车0辆、其他用车</w:t>
      </w:r>
      <w:r>
        <w:rPr>
          <w:rFonts w:hint="eastAsia" w:ascii="仿宋_GB2312" w:hAnsi="仿宋_GB2312" w:eastAsia="仿宋_GB2312"/>
          <w:b w:val="0"/>
          <w:sz w:val="32"/>
          <w:lang w:val="en-US" w:eastAsia="zh-CN"/>
        </w:rPr>
        <w:t>1</w:t>
      </w:r>
      <w:bookmarkStart w:id="0" w:name="_GoBack"/>
      <w:bookmarkEnd w:id="0"/>
      <w:r>
        <w:rPr>
          <w:rFonts w:ascii="仿宋_GB2312" w:hAnsi="仿宋_GB2312" w:eastAsia="仿宋_GB2312"/>
          <w:b w:val="0"/>
          <w:sz w:val="32"/>
        </w:rPr>
        <w:t>辆，其他用车主要是：本单位无其他用车。单价100万元（含）以上设备（不含车辆）0台（套）。</w:t>
      </w:r>
    </w:p>
    <w:p w14:paraId="6AD4EE1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十一、预算绩效的情况说明</w:t>
      </w:r>
    </w:p>
    <w:p w14:paraId="1136FC0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根据预算绩效管理要求，本单位2024年度预算绩效管理形成整体支出绩效自评表1个，全年预算总额342.56万元，实际执行总额342.56万元；预算绩效评价项目2个，全年预算数32.00万元，全年执行数32.00万元。预算绩效管理取得的成效：一是对发现的问题采取措施，及时纠正，认真处理，强化管理，有效杜绝了专项资金在分配使用过程中的违纪现象的发生，保证了专项资金的使用安全；二是抓制度建设，夯实绩效管理基础。发现的问题及原因：一是绩效评价指标体系不够完善；二是加强对资金拨付、使用环节的监管。按照“权、责、利”相统一的原则，确保财政资金的安全有效运行。下一步改进措施：一是今后将切实提高财政资源配置效率和资金使用效益。定期对专项资金的使用情况进行自查，资金落实情况，对发现的问题采取措施，及时纠正，认真处理，强化管理；二是对发现的问题采取措施，及时纠正，认真处理，强化管理，有效杜绝了专项资金在分配使用过程中的违纪现象的发生，保证了专项资金的使用安全。具体附整体支出绩效自评表，项目支出绩效自评表和评价报告。</w:t>
      </w:r>
    </w:p>
    <w:p w14:paraId="09B0F9A6">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br w:type="page"/>
      </w:r>
    </w:p>
    <w:tbl>
      <w:tblPr>
        <w:tblStyle w:val="9"/>
        <w:tblW w:w="8847" w:type="dxa"/>
        <w:jc w:val="center"/>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413827">
        <w:tblPrEx>
          <w:tblCellMar>
            <w:top w:w="0" w:type="dxa"/>
            <w:left w:w="108" w:type="dxa"/>
            <w:bottom w:w="0" w:type="dxa"/>
            <w:right w:w="108" w:type="dxa"/>
          </w:tblCellMar>
        </w:tblPrEx>
        <w:trPr>
          <w:jc w:val="center"/>
        </w:trPr>
        <w:tc>
          <w:tcPr>
            <w:tcW w:w="8847" w:type="dxa"/>
            <w:gridSpan w:val="9"/>
            <w:vAlign w:val="center"/>
          </w:tcPr>
          <w:p w14:paraId="0E48E54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单位整体支出绩效自评表</w:t>
            </w:r>
          </w:p>
        </w:tc>
      </w:tr>
      <w:tr w14:paraId="11B6F2DB">
        <w:tblPrEx>
          <w:tblCellMar>
            <w:top w:w="0" w:type="dxa"/>
            <w:left w:w="108" w:type="dxa"/>
            <w:bottom w:w="0" w:type="dxa"/>
            <w:right w:w="108" w:type="dxa"/>
          </w:tblCellMar>
        </w:tblPrEx>
        <w:trPr>
          <w:jc w:val="center"/>
        </w:trPr>
        <w:tc>
          <w:tcPr>
            <w:tcW w:w="8847" w:type="dxa"/>
            <w:gridSpan w:val="9"/>
            <w:vAlign w:val="center"/>
          </w:tcPr>
          <w:p w14:paraId="7F9962C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（2024年度）</w:t>
            </w:r>
          </w:p>
        </w:tc>
      </w:tr>
      <w:tr w14:paraId="06D075F0">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FB0B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E8DB10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和田地区生态环境局和田县分局</w:t>
            </w:r>
          </w:p>
        </w:tc>
      </w:tr>
      <w:tr w14:paraId="2EA3C7C5">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4F7D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8E43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6FB1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A4C1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C815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8DEF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42EE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6CB3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r>
      <w:tr w14:paraId="72145864">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2E142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C8EB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69F2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354.86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30D0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342.56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B840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342.56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41FE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B0AF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1014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r>
      <w:tr w14:paraId="734408C3">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DB94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F0CF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B3AF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901E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3B71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A6E5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809B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A2D2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780422FF">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49EE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01FF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E526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354.86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439C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342.56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15C4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342.56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6736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105B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58E7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49B44E59">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8AE23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978D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381E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32ED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6687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B6FF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2240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7310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2284C428">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1EF1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09197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244A2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实际完成目标</w:t>
            </w:r>
          </w:p>
        </w:tc>
      </w:tr>
      <w:tr w14:paraId="60D65330">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10C5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DDD503">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sz w:val="16"/>
                <w:lang w:eastAsia="zh-CN"/>
              </w:rPr>
            </w:pPr>
            <w:r>
              <w:rPr>
                <w:rFonts w:hint="eastAsia" w:ascii="宋体" w:hAnsi="宋体"/>
                <w:sz w:val="16"/>
                <w:lang w:val="en-US" w:eastAsia="zh-CN"/>
              </w:rPr>
              <w:t>1.</w:t>
            </w:r>
            <w:r>
              <w:rPr>
                <w:rFonts w:ascii="宋体" w:hAnsi="宋体" w:eastAsia="宋体"/>
                <w:sz w:val="16"/>
              </w:rPr>
              <w:t>和田地区生态环境局和田县分局2024年保障1</w:t>
            </w:r>
            <w:r>
              <w:rPr>
                <w:rFonts w:hint="eastAsia" w:ascii="宋体" w:hAnsi="宋体"/>
                <w:sz w:val="16"/>
                <w:lang w:val="en-US" w:eastAsia="zh-CN"/>
              </w:rPr>
              <w:t>3</w:t>
            </w:r>
            <w:r>
              <w:rPr>
                <w:rFonts w:ascii="宋体" w:hAnsi="宋体" w:eastAsia="宋体"/>
                <w:sz w:val="16"/>
              </w:rPr>
              <w:t>名工作人员基本支出，保障单位1辆公务用车燃油、保险、维修，污染企业执法检查、污染企业污染物监测、县域生态环境质量监测等内容。部门整体支出354.859145万元。其中人员经费326.871087万元，公用经费19.988058万元，2024年环境业务执法经费（和田县分局）8万元。通过保障部门正常运转，提升干部自身素质建设，提升社会服务能力，持续做好和田县生态环境向好发展。争取使受益群众及受益在职人员满意度达到90%以上。</w:t>
            </w:r>
            <w:r>
              <w:rPr>
                <w:rFonts w:ascii="宋体" w:hAnsi="宋体" w:eastAsia="宋体"/>
                <w:sz w:val="16"/>
              </w:rPr>
              <w:br w:type="textWrapping"/>
            </w:r>
            <w:r>
              <w:rPr>
                <w:rFonts w:ascii="宋体" w:hAnsi="宋体" w:eastAsia="宋体"/>
                <w:sz w:val="16"/>
              </w:rPr>
              <w:t>2.持续深入打好污染防治攻坚战，强化生态保护修复监管，防范和化解生态环境领域风险，促进经济社会发展绿色转型，加快构建现代化环境治理体系，持续开展生态环境保护铁军建设，以生态环境高水平保护推动经济高质量发展完成以下</w:t>
            </w:r>
            <w:r>
              <w:rPr>
                <w:rFonts w:hint="eastAsia" w:ascii="宋体" w:hAnsi="宋体"/>
                <w:sz w:val="16"/>
                <w:lang w:eastAsia="zh-CN"/>
              </w:rPr>
              <w:t>：</w:t>
            </w:r>
          </w:p>
          <w:p w14:paraId="51055F21">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目标1：全县地表水好于Ⅲ类水体监测点位完成率100%</w:t>
            </w:r>
            <w:r>
              <w:rPr>
                <w:rFonts w:ascii="宋体" w:hAnsi="宋体" w:eastAsia="宋体"/>
                <w:sz w:val="16"/>
              </w:rPr>
              <w:br w:type="textWrapping"/>
            </w:r>
            <w:r>
              <w:rPr>
                <w:rFonts w:ascii="宋体" w:hAnsi="宋体" w:eastAsia="宋体"/>
                <w:sz w:val="16"/>
              </w:rPr>
              <w:t>目标2：全县优良天数比例（%）≥24.70%</w:t>
            </w:r>
            <w:r>
              <w:rPr>
                <w:rFonts w:ascii="宋体" w:hAnsi="宋体" w:eastAsia="宋体"/>
                <w:sz w:val="16"/>
              </w:rPr>
              <w:br w:type="textWrapping"/>
            </w:r>
            <w:r>
              <w:rPr>
                <w:rFonts w:ascii="宋体" w:hAnsi="宋体" w:eastAsia="宋体"/>
                <w:sz w:val="16"/>
              </w:rPr>
              <w:t>目标3：全县PM2.5(空气中细颗粒物)全年平均浓度≤50微克/立方米</w:t>
            </w:r>
            <w:r>
              <w:rPr>
                <w:rFonts w:ascii="宋体" w:hAnsi="宋体" w:eastAsia="宋体"/>
                <w:sz w:val="16"/>
              </w:rPr>
              <w:br w:type="textWrapping"/>
            </w:r>
            <w:r>
              <w:rPr>
                <w:rFonts w:ascii="宋体" w:hAnsi="宋体" w:eastAsia="宋体"/>
                <w:sz w:val="16"/>
              </w:rPr>
              <w:t>目标4：全县全年重污染平均天数≤0天</w:t>
            </w:r>
            <w:r>
              <w:rPr>
                <w:rFonts w:ascii="宋体" w:hAnsi="宋体" w:eastAsia="宋体"/>
                <w:sz w:val="16"/>
              </w:rPr>
              <w:br w:type="textWrapping"/>
            </w:r>
            <w:r>
              <w:rPr>
                <w:rFonts w:ascii="宋体" w:hAnsi="宋体" w:eastAsia="宋体"/>
                <w:sz w:val="16"/>
              </w:rPr>
              <w:t>目标5：全县地表水Ⅴ类水质监测点位数≤0个</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F94F94">
            <w:pPr>
              <w:keepNext w:val="0"/>
              <w:keepLines w:val="0"/>
              <w:pageBreakBefore w:val="0"/>
              <w:widowControl w:val="0"/>
              <w:kinsoku/>
              <w:wordWrap/>
              <w:overflowPunct/>
              <w:topLinePunct w:val="0"/>
              <w:autoSpaceDE/>
              <w:autoSpaceDN/>
              <w:bidi w:val="0"/>
              <w:adjustRightInd/>
              <w:snapToGrid/>
              <w:spacing w:line="560" w:lineRule="exact"/>
              <w:jc w:val="left"/>
              <w:textAlignment w:val="auto"/>
            </w:pPr>
            <w:r>
              <w:rPr>
                <w:rFonts w:hint="eastAsia" w:ascii="宋体" w:hAnsi="宋体"/>
                <w:sz w:val="16"/>
                <w:lang w:eastAsia="zh-CN"/>
              </w:rPr>
              <w:t>截至2024</w:t>
            </w:r>
            <w:r>
              <w:rPr>
                <w:rFonts w:ascii="宋体" w:hAnsi="宋体" w:eastAsia="宋体"/>
                <w:sz w:val="16"/>
              </w:rPr>
              <w:t>年12月31日，本单位实际完成全区PM2.5全年平均浓度控制在50微克/立方米，全区地表水V类水质监测点位0个，全区全年重污染平均天数0天，全区地表水好于Ⅲ类水体监测点位率达到100%，实际形成支出342.56万元，通过完成以上工作，实现了持续深入打好污染防治攻坚战，促进经济社会发展绿色转型，持续开展生态环境保护铁军建设，推动经济高质量发展的效益。</w:t>
            </w:r>
          </w:p>
        </w:tc>
      </w:tr>
      <w:tr w14:paraId="56270633">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50F1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ABEC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E656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4C39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D704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7C3B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DA8E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639F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3D49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r>
      <w:tr w14:paraId="7EE3FDD6">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C60B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BB37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D7A5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FFD8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41FD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6CA6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9996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EE02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41BA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r>
      <w:tr w14:paraId="3D92145B">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5EBC7">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98D56C">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6112A">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预决算信息公开率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FF95D">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6802E">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0065B">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82073">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8A982">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1DC36">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w:t>
            </w:r>
          </w:p>
        </w:tc>
      </w:tr>
      <w:tr w14:paraId="019D1D46">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C4B3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DCDFEA">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B9E43">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全县优良天数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F99F7">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≥24.7天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4214A">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3AC28">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4B05E">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53天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38CEA">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E4ADD">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12</w:t>
            </w:r>
          </w:p>
        </w:tc>
      </w:tr>
      <w:tr w14:paraId="2C4CC1DB">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4523A4">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5A993">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5E11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全县PM2.5(空气中细颗粒物)全年平均浓度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3577F">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≤50微克/立方米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FA01E">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9BCDE">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35D9E">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50微克/立方米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B3399">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8888F">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12</w:t>
            </w:r>
          </w:p>
        </w:tc>
      </w:tr>
      <w:tr w14:paraId="72A94F99">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B07EFA">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B679EC">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8EEC4">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全县地表水好于Ⅲ类水体监测点位率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D7042">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2159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BC1C6">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2738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73CE0">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DA10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12</w:t>
            </w:r>
          </w:p>
        </w:tc>
      </w:tr>
      <w:tr w14:paraId="323FD2F2">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27F95E">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F0E26">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4853A">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全县地表水Ⅴ类水质监测点位数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C0BF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9997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7AD5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83564">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5EAA9">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9F233">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12</w:t>
            </w:r>
          </w:p>
        </w:tc>
      </w:tr>
      <w:tr w14:paraId="16C7893E">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C51F0E">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E3ED3">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0C6F1">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全县全年重污染平均天数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A332D">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3F17D">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F0424">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42043">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4F10E">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77292">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w:t>
            </w:r>
          </w:p>
        </w:tc>
      </w:tr>
      <w:tr w14:paraId="0D39416C">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C7B03">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83465">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4F5DB">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C80C1">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09DF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群众满意度评价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00693">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3B7D5">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2089F">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FDA53">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12</w:t>
            </w:r>
          </w:p>
        </w:tc>
      </w:tr>
    </w:tbl>
    <w:p w14:paraId="2F261B5F">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00C5DF">
        <w:tblPrEx>
          <w:tblCellMar>
            <w:top w:w="0" w:type="dxa"/>
            <w:left w:w="108" w:type="dxa"/>
            <w:bottom w:w="0" w:type="dxa"/>
            <w:right w:w="108" w:type="dxa"/>
          </w:tblCellMar>
        </w:tblPrEx>
        <w:tc>
          <w:tcPr>
            <w:tcW w:w="8847" w:type="dxa"/>
            <w:gridSpan w:val="9"/>
            <w:vAlign w:val="center"/>
          </w:tcPr>
          <w:p w14:paraId="61621A9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项目支出绩效自评表</w:t>
            </w:r>
          </w:p>
        </w:tc>
      </w:tr>
      <w:tr w14:paraId="30BD1D6C">
        <w:tblPrEx>
          <w:tblCellMar>
            <w:top w:w="0" w:type="dxa"/>
            <w:left w:w="108" w:type="dxa"/>
            <w:bottom w:w="0" w:type="dxa"/>
            <w:right w:w="108" w:type="dxa"/>
          </w:tblCellMar>
        </w:tblPrEx>
        <w:tc>
          <w:tcPr>
            <w:tcW w:w="8847" w:type="dxa"/>
            <w:gridSpan w:val="9"/>
            <w:vAlign w:val="center"/>
          </w:tcPr>
          <w:p w14:paraId="49BF6A5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(2024年度)</w:t>
            </w:r>
          </w:p>
        </w:tc>
      </w:tr>
      <w:tr w14:paraId="4F46E4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B463F">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561347F">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2024年上半年自治区驻村工作专项项目</w:t>
            </w:r>
          </w:p>
        </w:tc>
      </w:tr>
      <w:tr w14:paraId="0D71B0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F0EE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A67C1A">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和田地区生态环境局和田县分局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50ADB">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EDEA9C">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和田地区生态环境局和田县分局</w:t>
            </w:r>
          </w:p>
        </w:tc>
      </w:tr>
      <w:tr w14:paraId="10EBBA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9B6F2">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02003">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0F967">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ECA53">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AB24A">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8D4D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6898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F880F">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得分</w:t>
            </w:r>
          </w:p>
        </w:tc>
      </w:tr>
      <w:tr w14:paraId="7DD2AC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F0630A">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C376E">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6E656">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F5E9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569DE">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6EC66">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40907">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84714">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10.00分</w:t>
            </w:r>
          </w:p>
        </w:tc>
      </w:tr>
      <w:tr w14:paraId="6F042F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79BD1">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B1A1F">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9A128">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73368">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8132B">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444AF">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2AD7E">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B1FC8">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w:t>
            </w:r>
          </w:p>
        </w:tc>
      </w:tr>
      <w:tr w14:paraId="619FE8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114E0">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6DB9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3091D">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C03C5">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41FD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5312E">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966FB">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A49B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w:t>
            </w:r>
          </w:p>
        </w:tc>
      </w:tr>
      <w:tr w14:paraId="312603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A90CAF">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1623B">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CED16">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08D17">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6C95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28BE5">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9BABC">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DF595">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w:t>
            </w:r>
          </w:p>
        </w:tc>
      </w:tr>
      <w:tr w14:paraId="5F9E95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C46CF">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99FF1B">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5D1462">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实际完成情况</w:t>
            </w:r>
          </w:p>
        </w:tc>
      </w:tr>
      <w:tr w14:paraId="2298F3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6AA40">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35C2E2">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本项目主要实施内容为：</w:t>
            </w:r>
            <w:r>
              <w:rPr>
                <w:rFonts w:hint="eastAsia" w:ascii="宋体" w:hAnsi="宋体"/>
                <w:sz w:val="16"/>
                <w:lang w:eastAsia="zh-CN"/>
              </w:rPr>
              <w:t>为民办实事</w:t>
            </w:r>
            <w:r>
              <w:rPr>
                <w:rFonts w:ascii="宋体" w:hAnsi="宋体" w:eastAsia="宋体"/>
                <w:sz w:val="16"/>
              </w:rPr>
              <w:t>工作队为民办实事6件，采购办公用品2次,项目总投资为24万元，项目计划于2024年12月完成。通过本项目的实施，可有效改善群众生活质量，待项目实施完成，争取使受益人群满意度不低于95%。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73A541">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hint="eastAsia" w:ascii="宋体" w:hAnsi="宋体"/>
                <w:sz w:val="16"/>
                <w:lang w:eastAsia="zh-CN"/>
              </w:rPr>
              <w:t>截至2024</w:t>
            </w:r>
            <w:r>
              <w:rPr>
                <w:rFonts w:ascii="宋体" w:hAnsi="宋体" w:eastAsia="宋体"/>
                <w:sz w:val="16"/>
              </w:rPr>
              <w:t>年12月31日，本项目实际形成支出24万元，已完成</w:t>
            </w:r>
            <w:r>
              <w:rPr>
                <w:rFonts w:hint="eastAsia" w:ascii="宋体" w:hAnsi="宋体"/>
                <w:sz w:val="16"/>
                <w:lang w:eastAsia="zh-CN"/>
              </w:rPr>
              <w:t>为民办实事</w:t>
            </w:r>
            <w:r>
              <w:rPr>
                <w:rFonts w:ascii="宋体" w:hAnsi="宋体" w:eastAsia="宋体"/>
                <w:sz w:val="16"/>
              </w:rPr>
              <w:t>工作队为民办实事6件，采购办公用品2次的任务,达到了有效改善群众生活质量的效益，受益群众满意度达到100%。</w:t>
            </w:r>
          </w:p>
        </w:tc>
      </w:tr>
      <w:tr w14:paraId="39EC16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708AE94">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9ECD2">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B1EE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F707C">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4C63B">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120C3">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ED161">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075FF">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6323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偏差原因分析及改进措施</w:t>
            </w:r>
          </w:p>
        </w:tc>
      </w:tr>
      <w:tr w14:paraId="3049BA4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23F8A">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AC50D">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6F6A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8CE6A">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hint="eastAsia" w:ascii="宋体" w:hAnsi="宋体"/>
                <w:sz w:val="16"/>
                <w:lang w:eastAsia="zh-CN"/>
              </w:rPr>
              <w:t>为民办实事</w:t>
            </w:r>
            <w:r>
              <w:rPr>
                <w:rFonts w:ascii="宋体" w:hAnsi="宋体" w:eastAsia="宋体"/>
                <w:sz w:val="16"/>
              </w:rPr>
              <w:t>工作队为民办实事数量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92347">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≥6件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15345">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=6件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2BC32">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8E1ED">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861FE">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r>
      <w:tr w14:paraId="68529A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0C6A37">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B319F">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60B27">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13FF2">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采购办公用品批次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9473B">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689CD">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9BE17">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22584">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B1410">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r>
      <w:tr w14:paraId="6F87B1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63572A">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AD5C95">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B61D1">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C5CD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B0A04">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C55EF">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ABEA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CEE58">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A4882">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r>
      <w:tr w14:paraId="031DC6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86E3B">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ED076">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4DB2F7">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E396D">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48E0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588F6">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01C6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2AA8A">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C9EAA">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r>
      <w:tr w14:paraId="20737E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42E88">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5CF78">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C9D57">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15318">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BB4E5">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0B225">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45DC6">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2EE17">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26808">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r>
      <w:tr w14:paraId="7A824E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D299E3">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078BE3">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10B1BD">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E0A97">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FE0C5">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2024年12月底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0308F">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91F68">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61DB4">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985AB">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r>
      <w:tr w14:paraId="7E4924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6275A8">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2A0FD">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D8DFA">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EA898">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hint="eastAsia" w:ascii="宋体" w:hAnsi="宋体"/>
                <w:sz w:val="16"/>
                <w:lang w:eastAsia="zh-CN"/>
              </w:rPr>
              <w:t>为民办实事</w:t>
            </w:r>
            <w:r>
              <w:rPr>
                <w:rFonts w:ascii="宋体" w:hAnsi="宋体" w:eastAsia="宋体"/>
                <w:sz w:val="16"/>
              </w:rPr>
              <w:t>工作为民办实事经费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EDE06">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115C8">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CAFE5">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44D75">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462FA">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r>
      <w:tr w14:paraId="62549C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2D3FD2">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B2C6A">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6DBF7">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0136B">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改善群众生活质量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C905F">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8A34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B4417">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1D40B">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8B00E">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r>
      <w:tr w14:paraId="6675D4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DC2C97">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6D131">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3DE1E">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F5E32">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359EE">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7399E">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5EBF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5B1F3">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18075">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r>
      <w:tr w14:paraId="46022CA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2EDA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361283">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FBE52">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53FA5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100分</w:t>
            </w:r>
          </w:p>
        </w:tc>
      </w:tr>
    </w:tbl>
    <w:p w14:paraId="3B41C5D8">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187C6F9">
        <w:tblPrEx>
          <w:tblCellMar>
            <w:top w:w="0" w:type="dxa"/>
            <w:left w:w="108" w:type="dxa"/>
            <w:bottom w:w="0" w:type="dxa"/>
            <w:right w:w="108" w:type="dxa"/>
          </w:tblCellMar>
        </w:tblPrEx>
        <w:tc>
          <w:tcPr>
            <w:tcW w:w="8847" w:type="dxa"/>
            <w:gridSpan w:val="9"/>
            <w:vAlign w:val="center"/>
          </w:tcPr>
          <w:p w14:paraId="410EA90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项目支出绩效自评表</w:t>
            </w:r>
          </w:p>
        </w:tc>
      </w:tr>
      <w:tr w14:paraId="67A636CF">
        <w:tblPrEx>
          <w:tblCellMar>
            <w:top w:w="0" w:type="dxa"/>
            <w:left w:w="108" w:type="dxa"/>
            <w:bottom w:w="0" w:type="dxa"/>
            <w:right w:w="108" w:type="dxa"/>
          </w:tblCellMar>
        </w:tblPrEx>
        <w:tc>
          <w:tcPr>
            <w:tcW w:w="8847" w:type="dxa"/>
            <w:gridSpan w:val="9"/>
            <w:vAlign w:val="center"/>
          </w:tcPr>
          <w:p w14:paraId="0B9A880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(2024年度)</w:t>
            </w:r>
          </w:p>
        </w:tc>
      </w:tr>
      <w:tr w14:paraId="0A052FA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D9C3A">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E89C28B">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2024年环境业务执法经费（和田县分局）</w:t>
            </w:r>
          </w:p>
        </w:tc>
      </w:tr>
      <w:tr w14:paraId="321BE8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80ADC">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E092A3">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和田地区生态环境局和田县分局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5CA03">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CA6EE8">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和田地区生态环境局和田县分局</w:t>
            </w:r>
          </w:p>
        </w:tc>
      </w:tr>
      <w:tr w14:paraId="60AFE5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6FDE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BCCC4">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BE3B1">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D6C3D">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42931">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C503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8DC7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E1E07">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得分</w:t>
            </w:r>
          </w:p>
        </w:tc>
      </w:tr>
      <w:tr w14:paraId="31E278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058C04">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7FF51">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1645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4109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DF8D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82F1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4E8D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72DA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10.00分</w:t>
            </w:r>
          </w:p>
        </w:tc>
      </w:tr>
      <w:tr w14:paraId="164D48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339E6A">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476E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EE65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6BCD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A0BD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6B0E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15F9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BFEC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215BC4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2A28E">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DAD8C">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C610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D11E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D723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2DCF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80C9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2947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23B32E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44594">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54D08">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D2B6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1BEE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E286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3764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7487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BDF1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44B100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9D753">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379C7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CFE60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实际完成情况</w:t>
            </w:r>
          </w:p>
        </w:tc>
      </w:tr>
      <w:tr w14:paraId="360C4B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5A09DC">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78B53B">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2024年环境业务执法经费（和田县分局）。为提升生态保护，提高生态系统保护和修复重大工程。2024年执法设备购置数量2套，执法车辆加油、维修费6次， 完成环保督察整改、业务培训、大练兵等4次，执法业务宣传、资料印刷2次，业务培训、大练兵4次。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A4592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hint="eastAsia" w:ascii="宋体" w:hAnsi="宋体"/>
                <w:sz w:val="16"/>
                <w:lang w:eastAsia="zh-CN"/>
              </w:rPr>
              <w:t>截至2024</w:t>
            </w:r>
            <w:r>
              <w:rPr>
                <w:rFonts w:ascii="宋体" w:hAnsi="宋体" w:eastAsia="宋体"/>
                <w:sz w:val="16"/>
              </w:rPr>
              <w:t>年12月31日，项目实际形成支出8万元，已完成执法设备购置数量2套，执法车辆加油、维修费6次， 完成环保督察整改、业务培训、大练兵等4次，执法业务宣传、资料印刷2次，业务培训、大练兵4次的任务，达到了对重点污染源管控能力，保障生态环境稳定的效益，受益对象满意度达到90%。</w:t>
            </w:r>
          </w:p>
        </w:tc>
      </w:tr>
      <w:tr w14:paraId="73DB81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63E4ADD">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FFC8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8038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4C57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1FE3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FE9D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9196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22FE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C652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偏差原因分析及改进措施</w:t>
            </w:r>
          </w:p>
        </w:tc>
      </w:tr>
      <w:tr w14:paraId="2F9511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8503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2157E">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F893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B8DB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2024年执法设备购置数量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AF8F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1233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5724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66E5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D831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60AEBC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A6949">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DCA9FC">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DDCE5">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40E4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执法车辆加油、维修费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BF87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E357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1AF8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1616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D8F7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0C936C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810819">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470F0">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931ED">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8031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完成环保督察整改、业务培训、大练兵等</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B06E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D979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D76F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EDE8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277C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642D1D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74477F">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D44B25">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CE82C4">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CCCC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执法业务宣传、资料印刷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C2DC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72C9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F297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6A03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B6E6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0FCA52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A1F3E">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BC852F">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FF614">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4A5F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业务培训、大练兵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30CD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2AB4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E106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0B50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4A85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4EB30F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2095C">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63C66">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D65DA">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6881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2024年度案件审核通过率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08B8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6EB0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8465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7193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92F9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34D32A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B3DFB4">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14F5BE">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7E7BB">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CC0C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2024年度案件办理及时率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46BA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5940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5FE4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C02F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4CB2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46F32F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8017F2">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48078">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BB4C7">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91B6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2024年执法设备购置成本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7BF2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84EA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BC99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3446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692A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2BD344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77960">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4166E">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0ED850">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E9B3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执法车辆加油、维修费成本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18DB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68DA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4179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AC91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75DA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45033E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D6EEB">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16AF5">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6014FA">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49A3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完成环保督察整改、业务培训、大练兵等成本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F790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771E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EE40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D429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253C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776BB2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F032AC">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A6631">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507AD">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800B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执法业务宣传、资料印刷成本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0D2C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A1B6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45ED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2761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D35E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751320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971FBC">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EA4299">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1617AB">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F91A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业务培训、大练兵成本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076C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EFD1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888C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E231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BFB4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6BAF3F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AADA11">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9DF0C">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85748">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8D17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对重点污染源管控能力提高程度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CD10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4DDC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1D4A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21F0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94E6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0ABE81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CE2C2E">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2A312">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21DCB">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AE2A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对生态环境稳定的有效保障程度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739D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1246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DF23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1BEB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DED5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7857C2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15D0D2">
            <w:pPr>
              <w:keepNext w:val="0"/>
              <w:keepLines w:val="0"/>
              <w:pageBreakBefore w:val="0"/>
              <w:widowControl w:val="0"/>
              <w:kinsoku/>
              <w:wordWrap/>
              <w:overflowPunct/>
              <w:topLinePunct w:val="0"/>
              <w:autoSpaceDE/>
              <w:autoSpaceDN/>
              <w:bidi w:val="0"/>
              <w:adjustRightInd/>
              <w:snapToGrid/>
              <w:spacing w:line="560" w:lineRule="exact"/>
              <w:jc w:val="both"/>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03BE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25605">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CDBF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F364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6F92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61EA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94F5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04E8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1CE80D3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CB61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88545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ABED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EE38D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100分</w:t>
            </w:r>
          </w:p>
        </w:tc>
      </w:tr>
    </w:tbl>
    <w:p w14:paraId="7FA18D12">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br w:type="page"/>
      </w:r>
    </w:p>
    <w:p w14:paraId="7479A11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十二、其他需说明的事项</w:t>
      </w:r>
    </w:p>
    <w:p w14:paraId="58513BA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本单位无其他需说明的事项。</w:t>
      </w:r>
    </w:p>
    <w:p w14:paraId="3EDD4568">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br w:type="page"/>
      </w:r>
    </w:p>
    <w:p w14:paraId="6A0DBCEF">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第三部分 专业名词解释</w:t>
      </w:r>
    </w:p>
    <w:p w14:paraId="751B91E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sz w:val="32"/>
        </w:rPr>
      </w:pPr>
    </w:p>
    <w:p w14:paraId="06A9D13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162A2D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8DBA83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A6E568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439FCC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9AF88D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E1DF62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C6A1F4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9FF376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70D3D5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71907C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BDBBB6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AA93BD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333BC5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06771E3">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br w:type="page"/>
      </w:r>
    </w:p>
    <w:p w14:paraId="353BAF2F">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第四部分 部门决算报表（见附表）</w:t>
      </w:r>
    </w:p>
    <w:p w14:paraId="12B8FB8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p>
    <w:p w14:paraId="3BC09BE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一、《收入支出决算总表》</w:t>
      </w:r>
    </w:p>
    <w:p w14:paraId="06962FA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二、《收入决算表》</w:t>
      </w:r>
    </w:p>
    <w:p w14:paraId="194E062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三、《支出决算表》</w:t>
      </w:r>
    </w:p>
    <w:p w14:paraId="31BC120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四、《财政拨款收入支出决算总表》</w:t>
      </w:r>
    </w:p>
    <w:p w14:paraId="3016B5E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五、《一般公共预算财政拨款支出决算表》</w:t>
      </w:r>
    </w:p>
    <w:p w14:paraId="54A5EA1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六、《一般公共预算财政拨款基本支出决算表》</w:t>
      </w:r>
    </w:p>
    <w:p w14:paraId="4E5BD75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七、《政府性基金预算财政拨款收入支出决算表》</w:t>
      </w:r>
    </w:p>
    <w:p w14:paraId="13F6582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八、《国有资本经营预算财政拨款收入支出决算表》</w:t>
      </w:r>
    </w:p>
    <w:p w14:paraId="7C3AC75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九、《财政拨款“三公”经费支出决算表》</w:t>
      </w:r>
    </w:p>
    <w:p w14:paraId="1EC7FC5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
    <w:p w14:paraId="7B31877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
    <w:p w14:paraId="42839E2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
    <w:p w14:paraId="39B2B56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
    <w:p w14:paraId="0CA68D9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
    <w:sectPr>
      <w:footerReference r:id="rId3" w:type="default"/>
      <w:pgSz w:w="11906" w:h="16838"/>
      <w:pgMar w:top="2098" w:right="1531" w:bottom="1984" w:left="1531" w:header="851" w:footer="992" w:gutter="0"/>
      <w:pgNumType w:start="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2BD7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AC801D">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59AC801D">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BE07F3"/>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4E5BA3"/>
    <w:rsid w:val="11E15093"/>
    <w:rsid w:val="120E0809"/>
    <w:rsid w:val="166F134C"/>
    <w:rsid w:val="18B77F51"/>
    <w:rsid w:val="18C73F38"/>
    <w:rsid w:val="19071D6C"/>
    <w:rsid w:val="19B5554D"/>
    <w:rsid w:val="1B1B78A9"/>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C651C6"/>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3C2627A"/>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1A3C5A"/>
    <w:rsid w:val="4B4C0111"/>
    <w:rsid w:val="4BB23021"/>
    <w:rsid w:val="4F3F074E"/>
    <w:rsid w:val="50DB5F45"/>
    <w:rsid w:val="52F92565"/>
    <w:rsid w:val="543D17CB"/>
    <w:rsid w:val="55DA564E"/>
    <w:rsid w:val="56E07045"/>
    <w:rsid w:val="58134E59"/>
    <w:rsid w:val="583059FA"/>
    <w:rsid w:val="587E6212"/>
    <w:rsid w:val="5AFC6609"/>
    <w:rsid w:val="5CAB21CC"/>
    <w:rsid w:val="5EF723A4"/>
    <w:rsid w:val="5FA17648"/>
    <w:rsid w:val="5FD320BD"/>
    <w:rsid w:val="60DE4D57"/>
    <w:rsid w:val="613409CB"/>
    <w:rsid w:val="61A46A97"/>
    <w:rsid w:val="61DA2701"/>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7FB22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4535</Words>
  <Characters>5273</Characters>
  <Lines>0</Lines>
  <Paragraphs>0</Paragraphs>
  <TotalTime>14</TotalTime>
  <ScaleCrop>false</ScaleCrop>
  <LinksUpToDate>false</LinksUpToDate>
  <CharactersWithSpaces>5281</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2025-09-28T16:32:40Z</cp:lastPrinted>
  <dcterms:modified xsi:type="dcterms:W3CDTF">2025-09-28T16:32:57Z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