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0DF0D"/>
    <w:p w14:paraId="7FAE2C0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5B39E65">
      <w:pPr>
        <w:spacing w:line="540" w:lineRule="exact"/>
        <w:jc w:val="center"/>
        <w:rPr>
          <w:rFonts w:ascii="华文中宋" w:hAnsi="华文中宋" w:eastAsia="华文中宋" w:cs="宋体"/>
          <w:b/>
          <w:kern w:val="0"/>
          <w:sz w:val="52"/>
          <w:szCs w:val="52"/>
        </w:rPr>
      </w:pPr>
    </w:p>
    <w:p w14:paraId="4C19A4E2">
      <w:pPr>
        <w:spacing w:line="540" w:lineRule="exact"/>
        <w:jc w:val="center"/>
        <w:rPr>
          <w:rFonts w:ascii="华文中宋" w:hAnsi="华文中宋" w:eastAsia="华文中宋" w:cs="宋体"/>
          <w:b/>
          <w:kern w:val="0"/>
          <w:sz w:val="52"/>
          <w:szCs w:val="52"/>
        </w:rPr>
      </w:pPr>
    </w:p>
    <w:p w14:paraId="28C0071D">
      <w:pPr>
        <w:spacing w:line="540" w:lineRule="exact"/>
        <w:jc w:val="center"/>
        <w:rPr>
          <w:rFonts w:ascii="华文中宋" w:hAnsi="华文中宋" w:eastAsia="华文中宋" w:cs="宋体"/>
          <w:b/>
          <w:kern w:val="0"/>
          <w:sz w:val="52"/>
          <w:szCs w:val="52"/>
        </w:rPr>
      </w:pPr>
    </w:p>
    <w:p w14:paraId="000306FC">
      <w:pPr>
        <w:spacing w:line="540" w:lineRule="exact"/>
        <w:jc w:val="center"/>
        <w:rPr>
          <w:rFonts w:ascii="华文中宋" w:hAnsi="华文中宋" w:eastAsia="华文中宋" w:cs="宋体"/>
          <w:b/>
          <w:kern w:val="0"/>
          <w:sz w:val="52"/>
          <w:szCs w:val="52"/>
        </w:rPr>
      </w:pPr>
    </w:p>
    <w:p w14:paraId="22D6E20F">
      <w:pPr>
        <w:spacing w:line="540" w:lineRule="exact"/>
        <w:jc w:val="center"/>
        <w:rPr>
          <w:rFonts w:ascii="华文中宋" w:hAnsi="华文中宋" w:eastAsia="华文中宋" w:cs="宋体"/>
          <w:b/>
          <w:kern w:val="0"/>
          <w:sz w:val="52"/>
          <w:szCs w:val="52"/>
        </w:rPr>
      </w:pPr>
    </w:p>
    <w:p w14:paraId="5C9F7185">
      <w:pPr>
        <w:spacing w:line="540" w:lineRule="exact"/>
        <w:jc w:val="center"/>
        <w:rPr>
          <w:rFonts w:ascii="华文中宋" w:hAnsi="华文中宋" w:eastAsia="华文中宋" w:cs="宋体"/>
          <w:b/>
          <w:kern w:val="0"/>
          <w:sz w:val="52"/>
          <w:szCs w:val="52"/>
        </w:rPr>
      </w:pPr>
    </w:p>
    <w:p w14:paraId="4E52087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7C82A26">
      <w:pPr>
        <w:spacing w:line="540" w:lineRule="exact"/>
        <w:jc w:val="center"/>
        <w:rPr>
          <w:rFonts w:ascii="华文中宋" w:hAnsi="华文中宋" w:eastAsia="华文中宋" w:cs="宋体"/>
          <w:b/>
          <w:kern w:val="0"/>
          <w:sz w:val="52"/>
          <w:szCs w:val="52"/>
        </w:rPr>
      </w:pPr>
    </w:p>
    <w:p w14:paraId="064C2E70">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仿宋_GB2312" w:hAnsi="仿宋_GB2312" w:eastAsia="仿宋_GB2312" w:cs="仿宋_GB2312"/>
          <w:b w:val="0"/>
          <w:bCs w:val="0"/>
          <w:spacing w:val="-4"/>
          <w:sz w:val="32"/>
          <w:szCs w:val="32"/>
        </w:rPr>
        <w:t>2024</w:t>
      </w:r>
      <w:r>
        <w:rPr>
          <w:rFonts w:hint="eastAsia" w:ascii="仿宋_GB2312" w:hAnsi="仿宋_GB2312" w:eastAsia="仿宋_GB2312" w:cs="仿宋_GB2312"/>
          <w:b w:val="0"/>
          <w:bCs w:val="0"/>
          <w:kern w:val="0"/>
          <w:sz w:val="32"/>
          <w:szCs w:val="32"/>
        </w:rPr>
        <w:t>年度</w:t>
      </w:r>
      <w:r>
        <w:rPr>
          <w:rFonts w:hint="eastAsia" w:hAnsi="宋体" w:eastAsia="仿宋_GB2312" w:cs="宋体"/>
          <w:kern w:val="0"/>
          <w:sz w:val="36"/>
          <w:szCs w:val="36"/>
        </w:rPr>
        <w:t>）</w:t>
      </w:r>
    </w:p>
    <w:p w14:paraId="35F6CE56">
      <w:pPr>
        <w:spacing w:line="540" w:lineRule="exact"/>
        <w:jc w:val="center"/>
        <w:rPr>
          <w:rFonts w:hAnsi="宋体" w:eastAsia="仿宋_GB2312" w:cs="宋体"/>
          <w:kern w:val="0"/>
          <w:sz w:val="30"/>
          <w:szCs w:val="30"/>
        </w:rPr>
      </w:pPr>
    </w:p>
    <w:p w14:paraId="214F2731">
      <w:pPr>
        <w:spacing w:line="540" w:lineRule="exact"/>
        <w:jc w:val="center"/>
        <w:rPr>
          <w:rFonts w:hAnsi="宋体" w:eastAsia="仿宋_GB2312" w:cs="宋体"/>
          <w:kern w:val="0"/>
          <w:sz w:val="30"/>
          <w:szCs w:val="30"/>
        </w:rPr>
      </w:pPr>
    </w:p>
    <w:p w14:paraId="4B1D711B">
      <w:pPr>
        <w:spacing w:line="540" w:lineRule="exact"/>
        <w:jc w:val="center"/>
        <w:rPr>
          <w:rFonts w:hAnsi="宋体" w:eastAsia="仿宋_GB2312" w:cs="宋体"/>
          <w:kern w:val="0"/>
          <w:sz w:val="30"/>
          <w:szCs w:val="30"/>
        </w:rPr>
      </w:pPr>
    </w:p>
    <w:p w14:paraId="6C087291">
      <w:pPr>
        <w:spacing w:line="540" w:lineRule="exact"/>
        <w:jc w:val="center"/>
        <w:rPr>
          <w:rFonts w:hAnsi="宋体" w:eastAsia="仿宋_GB2312" w:cs="宋体"/>
          <w:kern w:val="0"/>
          <w:sz w:val="30"/>
          <w:szCs w:val="30"/>
        </w:rPr>
      </w:pPr>
    </w:p>
    <w:p w14:paraId="51D843EC">
      <w:pPr>
        <w:spacing w:line="540" w:lineRule="exact"/>
        <w:jc w:val="center"/>
        <w:rPr>
          <w:rFonts w:hAnsi="宋体" w:eastAsia="仿宋_GB2312" w:cs="宋体"/>
          <w:kern w:val="0"/>
          <w:sz w:val="30"/>
          <w:szCs w:val="30"/>
        </w:rPr>
      </w:pPr>
    </w:p>
    <w:p w14:paraId="41C0A374">
      <w:pPr>
        <w:spacing w:line="540" w:lineRule="exact"/>
        <w:jc w:val="center"/>
        <w:rPr>
          <w:rFonts w:hAnsi="宋体" w:eastAsia="仿宋_GB2312" w:cs="宋体"/>
          <w:kern w:val="0"/>
          <w:sz w:val="30"/>
          <w:szCs w:val="30"/>
        </w:rPr>
      </w:pPr>
    </w:p>
    <w:p w14:paraId="7A35C792">
      <w:pPr>
        <w:spacing w:line="540" w:lineRule="exact"/>
        <w:rPr>
          <w:rFonts w:hAnsi="宋体" w:eastAsia="仿宋_GB2312" w:cs="宋体"/>
          <w:kern w:val="0"/>
          <w:sz w:val="30"/>
          <w:szCs w:val="30"/>
        </w:rPr>
      </w:pPr>
    </w:p>
    <w:p w14:paraId="73B3D34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BA10233">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项目名称：</w:t>
      </w:r>
      <w:r>
        <w:rPr>
          <w:rStyle w:val="19"/>
          <w:rFonts w:hint="eastAsia" w:ascii="仿宋_GB2312" w:hAnsi="仿宋_GB2312" w:eastAsia="仿宋_GB2312" w:cs="仿宋_GB2312"/>
          <w:b w:val="0"/>
          <w:bCs w:val="0"/>
          <w:spacing w:val="-4"/>
          <w:sz w:val="32"/>
          <w:szCs w:val="32"/>
        </w:rPr>
        <w:t>2024年上半年自治区驻村工作专项项目</w:t>
      </w:r>
    </w:p>
    <w:p w14:paraId="130E6D6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kern w:val="0"/>
          <w:sz w:val="32"/>
          <w:szCs w:val="32"/>
        </w:rPr>
        <w:t>实施单位（公章）</w:t>
      </w:r>
      <w:r>
        <w:rPr>
          <w:rFonts w:hint="eastAsia" w:ascii="仿宋_GB2312" w:hAnsi="仿宋_GB2312" w:eastAsia="仿宋_GB2312" w:cs="仿宋_GB2312"/>
          <w:b w:val="0"/>
          <w:bCs w:val="0"/>
          <w:kern w:val="0"/>
          <w:sz w:val="32"/>
          <w:szCs w:val="32"/>
        </w:rPr>
        <w:t>：</w:t>
      </w:r>
      <w:r>
        <w:rPr>
          <w:rStyle w:val="19"/>
          <w:rFonts w:hint="eastAsia" w:ascii="仿宋_GB2312" w:hAnsi="仿宋_GB2312" w:eastAsia="仿宋_GB2312" w:cs="仿宋_GB2312"/>
          <w:b w:val="0"/>
          <w:bCs w:val="0"/>
          <w:spacing w:val="-4"/>
          <w:sz w:val="32"/>
          <w:szCs w:val="32"/>
        </w:rPr>
        <w:t>和田地区生态环境局和田县分局</w:t>
      </w:r>
    </w:p>
    <w:p w14:paraId="39140380">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Style w:val="19"/>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kern w:val="0"/>
          <w:sz w:val="32"/>
          <w:szCs w:val="32"/>
        </w:rPr>
        <w:t>主管部门（公章）：</w:t>
      </w:r>
      <w:r>
        <w:rPr>
          <w:rStyle w:val="19"/>
          <w:rFonts w:hint="eastAsia" w:ascii="仿宋_GB2312" w:hAnsi="仿宋_GB2312" w:eastAsia="仿宋_GB2312" w:cs="仿宋_GB2312"/>
          <w:b w:val="0"/>
          <w:bCs w:val="0"/>
          <w:spacing w:val="-4"/>
          <w:sz w:val="32"/>
          <w:szCs w:val="32"/>
        </w:rPr>
        <w:t>和田地区生态环境局和田县分局</w:t>
      </w:r>
    </w:p>
    <w:p w14:paraId="56C571F5">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Style w:val="19"/>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kern w:val="0"/>
          <w:sz w:val="32"/>
          <w:szCs w:val="32"/>
        </w:rPr>
        <w:t>项目负责人（签章）</w:t>
      </w:r>
      <w:r>
        <w:rPr>
          <w:rFonts w:hint="eastAsia" w:ascii="仿宋_GB2312" w:hAnsi="仿宋_GB2312" w:eastAsia="仿宋_GB2312" w:cs="仿宋_GB2312"/>
          <w:kern w:val="0"/>
          <w:sz w:val="32"/>
          <w:szCs w:val="32"/>
          <w:lang w:eastAsia="zh-CN"/>
        </w:rPr>
        <w:t>：</w:t>
      </w:r>
      <w:r>
        <w:rPr>
          <w:rStyle w:val="19"/>
          <w:rFonts w:hint="eastAsia" w:ascii="仿宋_GB2312" w:hAnsi="仿宋_GB2312" w:eastAsia="仿宋_GB2312" w:cs="仿宋_GB2312"/>
          <w:b w:val="0"/>
          <w:bCs w:val="0"/>
          <w:spacing w:val="-4"/>
          <w:sz w:val="32"/>
          <w:szCs w:val="32"/>
        </w:rPr>
        <w:t>陈燕军</w:t>
      </w:r>
    </w:p>
    <w:p w14:paraId="15D8239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Style w:val="19"/>
          <w:rFonts w:hint="eastAsia" w:ascii="黑体" w:hAnsi="黑体" w:eastAsia="黑体"/>
          <w:b w:val="0"/>
          <w:spacing w:val="0"/>
          <w:sz w:val="32"/>
          <w:szCs w:val="32"/>
        </w:rPr>
        <w:sectPr>
          <w:footerReference r:id="rId3" w:type="default"/>
          <w:pgSz w:w="11906" w:h="16838"/>
          <w:pgMar w:top="1440" w:right="1558" w:bottom="1440" w:left="1757" w:header="851" w:footer="992" w:gutter="0"/>
          <w:cols w:space="425" w:num="1"/>
          <w:docGrid w:type="lines" w:linePitch="312" w:charSpace="0"/>
        </w:sectPr>
      </w:pPr>
      <w:r>
        <w:rPr>
          <w:rFonts w:hint="eastAsia" w:ascii="仿宋_GB2312" w:hAnsi="仿宋_GB2312" w:eastAsia="仿宋_GB2312" w:cs="仿宋_GB2312"/>
          <w:kern w:val="0"/>
          <w:sz w:val="32"/>
          <w:szCs w:val="32"/>
        </w:rPr>
        <w:t>填报时间：</w:t>
      </w:r>
      <w:r>
        <w:rPr>
          <w:rStyle w:val="19"/>
          <w:rFonts w:hint="eastAsia" w:ascii="仿宋_GB2312" w:hAnsi="仿宋_GB2312" w:eastAsia="仿宋_GB2312" w:cs="仿宋_GB2312"/>
          <w:b w:val="0"/>
          <w:bCs w:val="0"/>
          <w:spacing w:val="-4"/>
          <w:sz w:val="32"/>
          <w:szCs w:val="32"/>
        </w:rPr>
        <w:t>2025年03月18</w:t>
      </w:r>
    </w:p>
    <w:p w14:paraId="28871FD8">
      <w:pPr>
        <w:keepNext w:val="0"/>
        <w:keepLines w:val="0"/>
        <w:pageBreakBefore w:val="0"/>
        <w:widowControl w:val="0"/>
        <w:kinsoku/>
        <w:wordWrap/>
        <w:overflowPunct/>
        <w:topLinePunct w:val="0"/>
        <w:autoSpaceDE/>
        <w:autoSpaceDN/>
        <w:bidi w:val="0"/>
        <w:adjustRightInd/>
        <w:snapToGrid/>
        <w:spacing w:line="560" w:lineRule="exact"/>
        <w:textAlignment w:val="auto"/>
        <w:rPr>
          <w:rStyle w:val="19"/>
          <w:rFonts w:hint="eastAsia" w:ascii="黑体" w:hAnsi="黑体" w:eastAsia="黑体"/>
          <w:b w:val="0"/>
          <w:spacing w:val="0"/>
          <w:sz w:val="32"/>
          <w:szCs w:val="32"/>
        </w:rPr>
      </w:pPr>
    </w:p>
    <w:p w14:paraId="5A307869">
      <w:pPr>
        <w:bidi w:val="0"/>
        <w:rPr>
          <w:rStyle w:val="19"/>
          <w:rFonts w:hint="eastAsia" w:ascii="黑体" w:hAnsi="黑体" w:eastAsia="黑体"/>
          <w:b w:val="0"/>
          <w:spacing w:val="0"/>
          <w:sz w:val="32"/>
          <w:szCs w:val="32"/>
        </w:rPr>
      </w:pPr>
    </w:p>
    <w:p w14:paraId="7F4DF50B">
      <w:pPr>
        <w:bidi w:val="0"/>
        <w:rPr>
          <w:rStyle w:val="19"/>
          <w:rFonts w:hint="eastAsia" w:ascii="黑体" w:hAnsi="黑体" w:eastAsia="黑体"/>
          <w:b w:val="0"/>
          <w:spacing w:val="0"/>
          <w:sz w:val="32"/>
          <w:szCs w:val="32"/>
        </w:rPr>
      </w:pPr>
    </w:p>
    <w:p w14:paraId="4C7AB426">
      <w:pPr>
        <w:bidi w:val="0"/>
        <w:rPr>
          <w:rStyle w:val="19"/>
          <w:rFonts w:hint="eastAsia" w:ascii="黑体" w:hAnsi="黑体" w:eastAsia="黑体"/>
          <w:b w:val="0"/>
          <w:spacing w:val="0"/>
          <w:sz w:val="32"/>
          <w:szCs w:val="32"/>
        </w:rPr>
      </w:pPr>
    </w:p>
    <w:p w14:paraId="0BA3286F">
      <w:pPr>
        <w:bidi w:val="0"/>
        <w:rPr>
          <w:rStyle w:val="19"/>
          <w:rFonts w:hint="eastAsia" w:ascii="黑体" w:hAnsi="黑体" w:eastAsia="黑体"/>
          <w:b w:val="0"/>
          <w:spacing w:val="0"/>
          <w:sz w:val="32"/>
          <w:szCs w:val="32"/>
        </w:rPr>
      </w:pPr>
    </w:p>
    <w:p w14:paraId="54B61D68">
      <w:pPr>
        <w:bidi w:val="0"/>
        <w:rPr>
          <w:rStyle w:val="19"/>
          <w:rFonts w:hint="eastAsia" w:ascii="黑体" w:hAnsi="黑体" w:eastAsia="黑体"/>
          <w:b w:val="0"/>
          <w:spacing w:val="0"/>
          <w:sz w:val="32"/>
          <w:szCs w:val="32"/>
        </w:rPr>
      </w:pPr>
    </w:p>
    <w:p w14:paraId="39C853D1">
      <w:pPr>
        <w:bidi w:val="0"/>
        <w:rPr>
          <w:rStyle w:val="19"/>
          <w:rFonts w:hint="eastAsia" w:ascii="黑体" w:hAnsi="黑体" w:eastAsia="黑体"/>
          <w:b w:val="0"/>
          <w:spacing w:val="0"/>
          <w:sz w:val="32"/>
          <w:szCs w:val="32"/>
        </w:rPr>
      </w:pPr>
    </w:p>
    <w:p w14:paraId="4F80FA98">
      <w:pPr>
        <w:bidi w:val="0"/>
        <w:rPr>
          <w:rStyle w:val="19"/>
          <w:rFonts w:hint="eastAsia" w:ascii="黑体" w:hAnsi="黑体" w:eastAsia="黑体"/>
          <w:b w:val="0"/>
          <w:spacing w:val="0"/>
          <w:sz w:val="32"/>
          <w:szCs w:val="32"/>
        </w:rPr>
      </w:pPr>
    </w:p>
    <w:p w14:paraId="35F98C14">
      <w:pPr>
        <w:bidi w:val="0"/>
        <w:rPr>
          <w:rStyle w:val="19"/>
          <w:rFonts w:hint="eastAsia" w:ascii="黑体" w:hAnsi="黑体" w:eastAsia="黑体"/>
          <w:b w:val="0"/>
          <w:spacing w:val="0"/>
          <w:sz w:val="32"/>
          <w:szCs w:val="32"/>
        </w:rPr>
      </w:pPr>
    </w:p>
    <w:p w14:paraId="478246DC">
      <w:pPr>
        <w:bidi w:val="0"/>
        <w:rPr>
          <w:rStyle w:val="19"/>
          <w:rFonts w:hint="eastAsia" w:ascii="黑体" w:hAnsi="黑体" w:eastAsia="黑体"/>
          <w:b w:val="0"/>
          <w:spacing w:val="0"/>
          <w:sz w:val="32"/>
          <w:szCs w:val="32"/>
        </w:rPr>
      </w:pPr>
    </w:p>
    <w:p w14:paraId="1363F2DF">
      <w:pPr>
        <w:bidi w:val="0"/>
        <w:rPr>
          <w:rStyle w:val="19"/>
          <w:rFonts w:hint="eastAsia" w:ascii="黑体" w:hAnsi="黑体" w:eastAsia="黑体"/>
          <w:b w:val="0"/>
          <w:spacing w:val="0"/>
          <w:sz w:val="32"/>
          <w:szCs w:val="32"/>
        </w:rPr>
      </w:pPr>
    </w:p>
    <w:p w14:paraId="364A4AA0">
      <w:pPr>
        <w:bidi w:val="0"/>
        <w:rPr>
          <w:rStyle w:val="19"/>
          <w:rFonts w:hint="eastAsia" w:ascii="黑体" w:hAnsi="黑体" w:eastAsia="黑体"/>
          <w:b w:val="0"/>
          <w:spacing w:val="0"/>
          <w:sz w:val="32"/>
          <w:szCs w:val="32"/>
        </w:rPr>
      </w:pPr>
    </w:p>
    <w:p w14:paraId="484AEFB9">
      <w:pPr>
        <w:bidi w:val="0"/>
        <w:rPr>
          <w:rStyle w:val="19"/>
          <w:rFonts w:hint="eastAsia" w:ascii="黑体" w:hAnsi="黑体" w:eastAsia="黑体"/>
          <w:b w:val="0"/>
          <w:spacing w:val="0"/>
          <w:sz w:val="32"/>
          <w:szCs w:val="32"/>
        </w:rPr>
      </w:pPr>
    </w:p>
    <w:p w14:paraId="1C059498">
      <w:pPr>
        <w:bidi w:val="0"/>
        <w:rPr>
          <w:rStyle w:val="19"/>
          <w:rFonts w:hint="eastAsia" w:ascii="黑体" w:hAnsi="黑体" w:eastAsia="黑体"/>
          <w:b w:val="0"/>
          <w:spacing w:val="0"/>
          <w:sz w:val="32"/>
          <w:szCs w:val="32"/>
        </w:rPr>
      </w:pPr>
    </w:p>
    <w:p w14:paraId="4EB9B1CB">
      <w:pPr>
        <w:bidi w:val="0"/>
        <w:rPr>
          <w:rStyle w:val="19"/>
          <w:rFonts w:hint="eastAsia" w:ascii="黑体" w:hAnsi="黑体" w:eastAsia="黑体"/>
          <w:b w:val="0"/>
          <w:spacing w:val="0"/>
          <w:sz w:val="32"/>
          <w:szCs w:val="32"/>
        </w:rPr>
      </w:pPr>
    </w:p>
    <w:p w14:paraId="1AAD767A">
      <w:pPr>
        <w:bidi w:val="0"/>
        <w:rPr>
          <w:rStyle w:val="19"/>
          <w:rFonts w:hint="eastAsia" w:ascii="黑体" w:hAnsi="黑体" w:eastAsia="黑体"/>
          <w:b w:val="0"/>
          <w:spacing w:val="0"/>
          <w:sz w:val="32"/>
          <w:szCs w:val="32"/>
        </w:rPr>
      </w:pPr>
    </w:p>
    <w:p w14:paraId="4F7014EC">
      <w:pPr>
        <w:bidi w:val="0"/>
        <w:rPr>
          <w:rStyle w:val="19"/>
          <w:rFonts w:hint="eastAsia" w:ascii="黑体" w:hAnsi="黑体" w:eastAsia="黑体"/>
          <w:b w:val="0"/>
          <w:spacing w:val="0"/>
          <w:sz w:val="32"/>
          <w:szCs w:val="32"/>
        </w:rPr>
      </w:pPr>
    </w:p>
    <w:p w14:paraId="6F27E669">
      <w:pPr>
        <w:bidi w:val="0"/>
        <w:rPr>
          <w:rStyle w:val="19"/>
          <w:rFonts w:hint="eastAsia" w:ascii="黑体" w:hAnsi="黑体" w:eastAsia="黑体"/>
          <w:b w:val="0"/>
          <w:spacing w:val="0"/>
          <w:sz w:val="32"/>
          <w:szCs w:val="32"/>
        </w:rPr>
      </w:pPr>
    </w:p>
    <w:p w14:paraId="23F83A5A">
      <w:pPr>
        <w:bidi w:val="0"/>
        <w:rPr>
          <w:rStyle w:val="19"/>
          <w:rFonts w:hint="eastAsia" w:ascii="黑体" w:hAnsi="黑体" w:eastAsia="黑体"/>
          <w:b w:val="0"/>
          <w:spacing w:val="0"/>
          <w:sz w:val="32"/>
          <w:szCs w:val="32"/>
        </w:rPr>
      </w:pPr>
    </w:p>
    <w:p w14:paraId="039208B4">
      <w:pPr>
        <w:bidi w:val="0"/>
        <w:rPr>
          <w:rStyle w:val="19"/>
          <w:rFonts w:hint="eastAsia" w:ascii="黑体" w:hAnsi="黑体" w:eastAsia="黑体"/>
          <w:b w:val="0"/>
          <w:spacing w:val="0"/>
          <w:sz w:val="32"/>
          <w:szCs w:val="32"/>
        </w:rPr>
      </w:pPr>
    </w:p>
    <w:p w14:paraId="7F1693E0">
      <w:pPr>
        <w:bidi w:val="0"/>
        <w:rPr>
          <w:rStyle w:val="19"/>
          <w:rFonts w:hint="eastAsia" w:ascii="黑体" w:hAnsi="黑体" w:eastAsia="黑体"/>
          <w:b w:val="0"/>
          <w:spacing w:val="0"/>
          <w:sz w:val="32"/>
          <w:szCs w:val="32"/>
        </w:rPr>
      </w:pPr>
    </w:p>
    <w:p w14:paraId="602046A1">
      <w:pPr>
        <w:tabs>
          <w:tab w:val="left" w:pos="592"/>
        </w:tabs>
        <w:bidi w:val="0"/>
        <w:jc w:val="left"/>
        <w:rPr>
          <w:rStyle w:val="19"/>
          <w:rFonts w:hint="eastAsia" w:ascii="黑体" w:hAnsi="黑体" w:eastAsia="黑体"/>
          <w:b w:val="0"/>
          <w:spacing w:val="0"/>
          <w:sz w:val="32"/>
          <w:szCs w:val="32"/>
          <w:lang w:eastAsia="zh-CN"/>
        </w:rPr>
        <w:sectPr>
          <w:pgSz w:w="11906" w:h="16838"/>
          <w:pgMar w:top="1440" w:right="1558" w:bottom="1440" w:left="1757" w:header="851" w:footer="992" w:gutter="0"/>
          <w:cols w:space="425" w:num="1"/>
          <w:docGrid w:type="lines" w:linePitch="312" w:charSpace="0"/>
        </w:sectPr>
      </w:pPr>
      <w:bookmarkStart w:id="0" w:name="_GoBack"/>
      <w:bookmarkEnd w:id="0"/>
      <w:r>
        <w:rPr>
          <w:rStyle w:val="19"/>
          <w:rFonts w:hint="eastAsia" w:ascii="黑体" w:hAnsi="黑体" w:eastAsia="黑体"/>
          <w:b w:val="0"/>
          <w:spacing w:val="0"/>
          <w:sz w:val="32"/>
          <w:szCs w:val="32"/>
          <w:lang w:eastAsia="zh-CN"/>
        </w:rPr>
        <w:tab/>
      </w:r>
    </w:p>
    <w:p w14:paraId="0A9570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ascii="黑体" w:hAnsi="黑体" w:eastAsia="黑体"/>
          <w:b w:val="0"/>
          <w:spacing w:val="0"/>
          <w:sz w:val="32"/>
          <w:szCs w:val="32"/>
        </w:rPr>
      </w:pPr>
      <w:r>
        <w:rPr>
          <w:rStyle w:val="19"/>
          <w:rFonts w:hint="eastAsia" w:ascii="黑体" w:hAnsi="黑体" w:eastAsia="黑体"/>
          <w:b w:val="0"/>
          <w:spacing w:val="0"/>
          <w:sz w:val="32"/>
          <w:szCs w:val="32"/>
        </w:rPr>
        <w:t>一、基本情况</w:t>
      </w:r>
    </w:p>
    <w:p w14:paraId="7A2F02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_GB2312" w:hAnsi="楷体_GB2312" w:eastAsia="楷体_GB2312" w:cs="楷体_GB2312"/>
          <w:b w:val="0"/>
          <w:bCs w:val="0"/>
          <w:spacing w:val="0"/>
          <w:sz w:val="32"/>
          <w:szCs w:val="32"/>
        </w:rPr>
      </w:pPr>
      <w:r>
        <w:rPr>
          <w:rStyle w:val="19"/>
          <w:rFonts w:hint="eastAsia" w:ascii="楷体_GB2312" w:hAnsi="楷体_GB2312" w:eastAsia="楷体_GB2312" w:cs="楷体_GB2312"/>
          <w:b w:val="0"/>
          <w:bCs w:val="0"/>
          <w:spacing w:val="0"/>
          <w:sz w:val="32"/>
          <w:szCs w:val="32"/>
        </w:rPr>
        <w:t>（一）项目概况</w:t>
      </w:r>
    </w:p>
    <w:p w14:paraId="7187A5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1.项目背景</w:t>
      </w:r>
    </w:p>
    <w:p w14:paraId="4633BD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0"/>
          <w:sz w:val="32"/>
          <w:szCs w:val="32"/>
        </w:rPr>
      </w:pPr>
      <w:r>
        <w:rPr>
          <w:rStyle w:val="19"/>
          <w:rFonts w:hint="eastAsia" w:ascii="仿宋_GB2312" w:hAnsi="仿宋_GB2312" w:eastAsia="仿宋_GB2312" w:cs="仿宋_GB2312"/>
          <w:b w:val="0"/>
          <w:bCs w:val="0"/>
          <w:spacing w:val="0"/>
          <w:sz w:val="32"/>
          <w:szCs w:val="32"/>
        </w:rPr>
        <w:t>根据自治区、地区为民办实事工作经费的相关要求，进一步扎实持久开展好驻村工作，充分发挥为民办实事工作经费在驻村工作中的重要作用。结合实际情况，特设立本项目。</w:t>
      </w:r>
    </w:p>
    <w:p w14:paraId="3B3D88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_GB2312" w:hAnsi="楷体_GB2312" w:eastAsia="楷体_GB2312" w:cs="楷体_GB2312"/>
          <w:b w:val="0"/>
          <w:bCs w:val="0"/>
          <w:spacing w:val="0"/>
          <w:sz w:val="32"/>
          <w:szCs w:val="32"/>
        </w:rPr>
      </w:pPr>
      <w:r>
        <w:rPr>
          <w:rStyle w:val="19"/>
          <w:rFonts w:hint="eastAsia" w:ascii="楷体_GB2312" w:hAnsi="楷体_GB2312" w:eastAsia="楷体_GB2312" w:cs="楷体_GB2312"/>
          <w:b w:val="0"/>
          <w:bCs w:val="0"/>
          <w:spacing w:val="0"/>
          <w:sz w:val="32"/>
          <w:szCs w:val="32"/>
        </w:rPr>
        <w:t>（二）项目绩效目标</w:t>
      </w:r>
    </w:p>
    <w:p w14:paraId="21124CD8">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1.总体目标</w:t>
      </w:r>
    </w:p>
    <w:p w14:paraId="679D51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本项目主要实施内容为：</w:t>
      </w:r>
      <w:r>
        <w:rPr>
          <w:rStyle w:val="19"/>
          <w:rFonts w:hint="eastAsia" w:ascii="仿宋_GB2312" w:hAnsi="仿宋_GB2312" w:eastAsia="仿宋_GB2312" w:cs="仿宋_GB2312"/>
          <w:b w:val="0"/>
          <w:bCs w:val="0"/>
          <w:spacing w:val="0"/>
          <w:sz w:val="32"/>
          <w:szCs w:val="32"/>
          <w:lang w:eastAsia="zh-CN"/>
        </w:rPr>
        <w:t>驻村</w:t>
      </w:r>
      <w:r>
        <w:rPr>
          <w:rStyle w:val="19"/>
          <w:rFonts w:hint="eastAsia" w:ascii="仿宋_GB2312" w:hAnsi="仿宋_GB2312" w:eastAsia="仿宋_GB2312" w:cs="仿宋_GB2312"/>
          <w:b w:val="0"/>
          <w:bCs w:val="0"/>
          <w:spacing w:val="0"/>
          <w:sz w:val="32"/>
          <w:szCs w:val="32"/>
        </w:rPr>
        <w:t>工作队为民办实事6件，采购办公用品2次,项目总投资为24万元，项目计划于2024年12月完成。通过本项目的实施，可有效改善群众生活质量，待项目实施完成，争取使受益人群满意度不低于95%。</w:t>
      </w:r>
    </w:p>
    <w:p w14:paraId="793C8169">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2.阶段性目标</w:t>
      </w:r>
    </w:p>
    <w:p w14:paraId="6575379F">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项目前期准备工作：根据村实际情况，谋划项目实施计划。</w:t>
      </w:r>
    </w:p>
    <w:p w14:paraId="3CF5F5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项目实施：截止2024年9月30日，完成计划的80%,截止2024年底，完成100%。</w:t>
      </w:r>
    </w:p>
    <w:p w14:paraId="7FC944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项目完成：截止2024年底，完成为民办实事6件，采购办公用品2次，项目总投资为24万元，项目计划于2024年12月完成。通过本项目的实施，可有效改善群众生活质量，待项目实施完成，争取使受益人群满意度不低于95%。完成100%。</w:t>
      </w:r>
    </w:p>
    <w:p w14:paraId="1CCFF0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ascii="黑体" w:hAnsi="黑体" w:eastAsia="黑体"/>
          <w:b w:val="0"/>
          <w:spacing w:val="0"/>
          <w:sz w:val="32"/>
          <w:szCs w:val="32"/>
        </w:rPr>
      </w:pPr>
      <w:r>
        <w:rPr>
          <w:rStyle w:val="19"/>
          <w:rFonts w:hint="eastAsia" w:ascii="黑体" w:hAnsi="黑体" w:eastAsia="黑体"/>
          <w:b w:val="0"/>
          <w:spacing w:val="0"/>
          <w:sz w:val="32"/>
          <w:szCs w:val="32"/>
        </w:rPr>
        <w:t>二、绩效评价工作开展情况</w:t>
      </w:r>
    </w:p>
    <w:p w14:paraId="00E0C5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_GB2312" w:hAnsi="楷体_GB2312" w:eastAsia="楷体_GB2312" w:cs="楷体_GB2312"/>
          <w:b w:val="0"/>
          <w:bCs w:val="0"/>
          <w:spacing w:val="0"/>
          <w:sz w:val="32"/>
          <w:szCs w:val="32"/>
        </w:rPr>
      </w:pPr>
      <w:r>
        <w:rPr>
          <w:rStyle w:val="19"/>
          <w:rFonts w:hint="eastAsia" w:ascii="楷体_GB2312" w:hAnsi="楷体_GB2312" w:eastAsia="楷体_GB2312" w:cs="楷体_GB2312"/>
          <w:b w:val="0"/>
          <w:bCs w:val="0"/>
          <w:spacing w:val="0"/>
          <w:sz w:val="32"/>
          <w:szCs w:val="32"/>
        </w:rPr>
        <w:t>（一）绩效评价目的、对象和范围</w:t>
      </w:r>
    </w:p>
    <w:p w14:paraId="32C3F2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1.绩效评价的目的</w:t>
      </w:r>
    </w:p>
    <w:p w14:paraId="4135C9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上半年自治区驻村工作专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15939D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78D198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5C4FA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A680C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FFDF4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2.绩效评价对象</w:t>
      </w:r>
    </w:p>
    <w:p w14:paraId="4BB729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此次我单位根据《财政支出绩效评价管理暂行办法》（财预〔2020〕10号）文件要求实施评价工作，本次评价对象为2024年上半年自治区驻村工作专项项目，评价核心为项目的资金投入、产出及效益。</w:t>
      </w:r>
    </w:p>
    <w:p w14:paraId="5E32FD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3.绩效评价范围</w:t>
      </w:r>
    </w:p>
    <w:p w14:paraId="667A38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D19BA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_GB2312" w:hAnsi="楷体_GB2312" w:eastAsia="楷体_GB2312" w:cs="楷体_GB2312"/>
          <w:b w:val="0"/>
          <w:bCs w:val="0"/>
          <w:spacing w:val="0"/>
          <w:sz w:val="32"/>
          <w:szCs w:val="32"/>
        </w:rPr>
      </w:pPr>
      <w:r>
        <w:rPr>
          <w:rStyle w:val="19"/>
          <w:rFonts w:hint="eastAsia" w:ascii="楷体_GB2312" w:hAnsi="楷体_GB2312" w:eastAsia="楷体_GB2312" w:cs="楷体_GB2312"/>
          <w:b w:val="0"/>
          <w:bCs w:val="0"/>
          <w:spacing w:val="0"/>
          <w:sz w:val="32"/>
          <w:szCs w:val="32"/>
        </w:rPr>
        <w:t>（二）绩效评价原则、评价指标体系、评价方法、评价标准</w:t>
      </w:r>
    </w:p>
    <w:p w14:paraId="0981E0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1.绩效评价原则</w:t>
      </w:r>
    </w:p>
    <w:p w14:paraId="7FE075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依据《中华人民共和国预算法》《中共中央</w:t>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仿宋_GB2312" w:hAnsi="仿宋_GB2312" w:eastAsia="仿宋_GB2312" w:cs="仿宋_GB2312"/>
          <w:b w:val="0"/>
          <w:bCs w:val="0"/>
          <w:spacing w:val="0"/>
          <w:sz w:val="32"/>
          <w:szCs w:val="32"/>
        </w:rPr>
        <w:t>国务院关于全面实施预算绩效管理的意见》（中发〔2018〕34号）《项目支出绩效评价管理办法》（财预〔2020〕10号》《自治区党委</w:t>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仿宋_GB2312" w:hAnsi="仿宋_GB2312" w:eastAsia="仿宋_GB2312" w:cs="仿宋_GB2312"/>
          <w:b w:val="0"/>
          <w:bCs w:val="0"/>
          <w:spacing w:val="0"/>
          <w:sz w:val="32"/>
          <w:szCs w:val="32"/>
        </w:rPr>
        <w:t>自治区人民政府关于全面实施预算绩效管理的实施意见》（新党发〔2018〕30号）《自治区财政支出绩效评价管理暂行办法》（新财预〔2018〕189号）等要求，绩效评价应遵循如下原则：</w:t>
      </w:r>
    </w:p>
    <w:p w14:paraId="489835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（1）科学公正。绩效评价应当运用科学合理的方法，按照规范的程序，对项目绩效进行客观、公正的反映。</w:t>
      </w:r>
    </w:p>
    <w:p w14:paraId="59BDCB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9F91F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（3）激励约束。绩效评价结果应与预算安排、政策调整、改进管理实质性挂钩，体现奖优罚劣和激励相容导向，有效要安排、低效要压减、无效要问责。</w:t>
      </w:r>
    </w:p>
    <w:p w14:paraId="5089F7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（4）公开透明。绩效评价结果应依法依规公开，并自觉接受社会监督。</w:t>
      </w:r>
    </w:p>
    <w:p w14:paraId="4354EC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根据以上原则，绩效评价应遵循如下要求:</w:t>
      </w:r>
    </w:p>
    <w:p w14:paraId="2DABAE8F">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在数据采集时，采取客观数据，主管部门审查、社会中介组织复查，与问卷调查相结合的形式，以保证各项指标的真实性。</w:t>
      </w:r>
    </w:p>
    <w:p w14:paraId="47A7EA49">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保证评价结果的真实性、公正性，提高评价报告的公信力。</w:t>
      </w:r>
    </w:p>
    <w:p w14:paraId="436CB8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（3）</w:t>
      </w:r>
      <w:r>
        <w:rPr>
          <w:rStyle w:val="19"/>
          <w:rFonts w:hint="eastAsia" w:ascii="仿宋_GB2312" w:hAnsi="仿宋_GB2312" w:eastAsia="仿宋_GB2312" w:cs="仿宋_GB2312"/>
          <w:b w:val="0"/>
          <w:bCs w:val="0"/>
          <w:spacing w:val="0"/>
          <w:sz w:val="32"/>
          <w:szCs w:val="32"/>
          <w:lang w:eastAsia="zh-CN"/>
        </w:rPr>
        <w:t>绩效</w:t>
      </w:r>
      <w:r>
        <w:rPr>
          <w:rStyle w:val="19"/>
          <w:rFonts w:hint="eastAsia" w:ascii="仿宋_GB2312" w:hAnsi="仿宋_GB2312" w:eastAsia="仿宋_GB2312" w:cs="仿宋_GB2312"/>
          <w:b w:val="0"/>
          <w:bCs w:val="0"/>
          <w:spacing w:val="0"/>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39D962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2.绩效评价指标体系</w:t>
      </w:r>
    </w:p>
    <w:p w14:paraId="1FB75F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5337CC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3.评价方法</w:t>
      </w:r>
    </w:p>
    <w:p w14:paraId="58D071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CE452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三级指标分析环节：总体采用比较法，同时辅以文献法、成本效益法、因素分析法以及公众评判法，根据不同三级指标类型进行逐项分析。</w:t>
      </w:r>
    </w:p>
    <w:p w14:paraId="5E9FF7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1C522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46381A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立项依据充分性：比较法、文献法，查找法律法规政策以及规划，对比实际执行内容和政策支持内容是否匹配。</w:t>
      </w:r>
    </w:p>
    <w:p w14:paraId="23EA70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立项程序规范性：比较法、文献法，查找相关项目设立的政策和文件要求，对比分析实际执行程序是否按照政策及文件要求执行，分析立项程序的规范性。</w:t>
      </w:r>
    </w:p>
    <w:p w14:paraId="40AC51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绩效目标合理性：比较法，对比分析年初编制项目支出绩效目标表与项目内容的相关性、资金的匹配性等。</w:t>
      </w:r>
    </w:p>
    <w:p w14:paraId="7298BF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绩效指标明确性：比较法，比较分析年初编制项目支出绩效目标表是否符合双七原则，是否可衡量。</w:t>
      </w:r>
    </w:p>
    <w:p w14:paraId="56D8B5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预算编制科学性</w:t>
      </w:r>
      <w:r>
        <w:rPr>
          <w:rStyle w:val="19"/>
          <w:rFonts w:hint="eastAsia" w:ascii="仿宋_GB2312" w:hAnsi="仿宋_GB2312" w:eastAsia="仿宋_GB2312" w:cs="仿宋_GB2312"/>
          <w:b w:val="0"/>
          <w:bCs w:val="0"/>
          <w:spacing w:val="0"/>
          <w:sz w:val="32"/>
          <w:szCs w:val="32"/>
          <w:lang w:val="en-US" w:eastAsia="zh-CN"/>
        </w:rPr>
        <w:t>:</w:t>
      </w:r>
      <w:r>
        <w:rPr>
          <w:rStyle w:val="19"/>
          <w:rFonts w:hint="eastAsia" w:ascii="仿宋_GB2312" w:hAnsi="仿宋_GB2312" w:eastAsia="仿宋_GB2312" w:cs="仿宋_GB2312"/>
          <w:b w:val="0"/>
          <w:bCs w:val="0"/>
          <w:spacing w:val="0"/>
          <w:sz w:val="32"/>
          <w:szCs w:val="32"/>
        </w:rPr>
        <w:t>成本效益分析法</w:t>
      </w:r>
      <w:r>
        <w:rPr>
          <w:rStyle w:val="19"/>
          <w:rFonts w:hint="eastAsia" w:ascii="仿宋_GB2312" w:hAnsi="仿宋_GB2312" w:eastAsia="仿宋_GB2312" w:cs="仿宋_GB2312"/>
          <w:b w:val="0"/>
          <w:bCs w:val="0"/>
          <w:spacing w:val="0"/>
          <w:sz w:val="32"/>
          <w:szCs w:val="32"/>
        </w:rPr>
        <w:tab/>
      </w:r>
      <w:r>
        <w:rPr>
          <w:rStyle w:val="19"/>
          <w:rFonts w:hint="eastAsia" w:ascii="仿宋_GB2312" w:hAnsi="仿宋_GB2312" w:eastAsia="仿宋_GB2312" w:cs="仿宋_GB2312"/>
          <w:b w:val="0"/>
          <w:bCs w:val="0"/>
          <w:spacing w:val="0"/>
          <w:sz w:val="32"/>
          <w:szCs w:val="32"/>
        </w:rPr>
        <w:t>分析在产出一定的情况下，成本取值是否有依据，是否经过询价，是否按照市场最低成本编制。</w:t>
      </w:r>
    </w:p>
    <w:p w14:paraId="205A1F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资金分配合理性：因素分析法，综合分析资金的分配依据是否充分，分配金额是否与项目实施单位需求金额一致，</w:t>
      </w:r>
    </w:p>
    <w:p w14:paraId="153F05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资金到位率：比较法，资金到位率预期指标值应为100%，通过实际计算，分析实际完成值和预期指标值之间的差距和原因。</w:t>
      </w:r>
    </w:p>
    <w:p w14:paraId="35AD9D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预算执行率：比较法，预算执行率预期指标值应为100%，通过实际计算，分析实际完成值和预期指标值之间的差距和原因。</w:t>
      </w:r>
    </w:p>
    <w:p w14:paraId="20D34F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资金使用合规性：文献法、实地勘察法，一是查找资金管理办法，包括专项资金管理办法和单位自有资金管理办法；二是通过查账了解具体开支情况，是否专用专用，是否按照标准支出。</w:t>
      </w:r>
    </w:p>
    <w:p w14:paraId="7A0266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管理制度健全性：文献法、比较法，查阅项目实施人员提供的财务和业务管理制度，将已建立的制度与现行的法律法规和政策要求进行对比，分析项目制度的合法性、合规性、完整性。</w:t>
      </w:r>
    </w:p>
    <w:p w14:paraId="443BA3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制度执行有效性：比较法，结合项目实际实施过程性文件，根据已建设的财务管理制度和项目管理制度综合分析制度执行的有效性。</w:t>
      </w:r>
    </w:p>
    <w:p w14:paraId="1DDBA7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A27D9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定性指标：公众评判法，通过问卷及抽样调查等方式评价本项目实施后社会公众对于其实施效果的满意程度。</w:t>
      </w:r>
    </w:p>
    <w:p w14:paraId="4CA4B2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4.评价标准</w:t>
      </w:r>
    </w:p>
    <w:p w14:paraId="258F61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069BB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_GB2312" w:hAnsi="楷体_GB2312" w:eastAsia="楷体_GB2312" w:cs="楷体_GB2312"/>
          <w:b w:val="0"/>
          <w:bCs w:val="0"/>
          <w:spacing w:val="0"/>
          <w:sz w:val="32"/>
          <w:szCs w:val="32"/>
        </w:rPr>
      </w:pPr>
      <w:r>
        <w:rPr>
          <w:rStyle w:val="19"/>
          <w:rFonts w:hint="eastAsia" w:ascii="楷体_GB2312" w:hAnsi="楷体_GB2312" w:eastAsia="楷体_GB2312" w:cs="楷体_GB2312"/>
          <w:b w:val="0"/>
          <w:bCs w:val="0"/>
          <w:spacing w:val="0"/>
          <w:sz w:val="32"/>
          <w:szCs w:val="32"/>
        </w:rPr>
        <w:t>（三）绩效评价工作过程</w:t>
      </w:r>
    </w:p>
    <w:p w14:paraId="5335733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1.前期准备</w:t>
      </w:r>
    </w:p>
    <w:p w14:paraId="0FFF3A4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A84B26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陈燕军（评价小组组长）：主要负责审核并解决项目实施过程所有相关问题，复核绩效评价报告质量;</w:t>
      </w:r>
    </w:p>
    <w:p w14:paraId="59A92BC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杜瑞红（评价小组组员）：主要负责收集项目绩效相关所有资料，负责报告中数据的核实;</w:t>
      </w:r>
    </w:p>
    <w:p w14:paraId="1843C3B7">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单玉霞（评价小组组员）：主要负责编制绩效评价报告，编制绩效评价附件表格。</w:t>
      </w:r>
    </w:p>
    <w:p w14:paraId="5C2C07E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2.组织实施</w:t>
      </w:r>
    </w:p>
    <w:p w14:paraId="7B8796D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210654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3.分析评价</w:t>
      </w:r>
    </w:p>
    <w:p w14:paraId="6B29148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2025年3月25日-3月28日，评价小组按照绩效评价的原则和规范，对取得的资料进行审查核实，对采集的数据进行分析，按照绩效评价指标评分表逐项进行打分、分析、汇总各方评价结果。</w:t>
      </w:r>
    </w:p>
    <w:p w14:paraId="1B9AF927">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4.撰写与提交评价报告</w:t>
      </w:r>
    </w:p>
    <w:p w14:paraId="1928E58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2025年4月1日-4月4日评价小组撰写绩效评价报告，按照新疆维吾尔自治区财政绩效管理信息系统绩效评价模块中统一格式和文本框架撰写绩效评价报告并提交审核。</w:t>
      </w:r>
    </w:p>
    <w:p w14:paraId="092A675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5.问题整改</w:t>
      </w:r>
    </w:p>
    <w:p w14:paraId="79E447C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CC1FDC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6.档案整理</w:t>
      </w:r>
    </w:p>
    <w:p w14:paraId="5E325A8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9"/>
          <w:rFonts w:ascii="楷体" w:hAnsi="楷体" w:eastAsia="楷体"/>
          <w:b w:val="0"/>
          <w:bCs w:val="0"/>
          <w:spacing w:val="0"/>
          <w:sz w:val="32"/>
          <w:szCs w:val="32"/>
        </w:rPr>
      </w:pPr>
      <w:r>
        <w:rPr>
          <w:rStyle w:val="19"/>
          <w:rFonts w:hint="eastAsia" w:ascii="仿宋_GB2312" w:hAnsi="仿宋_GB2312" w:eastAsia="仿宋_GB2312" w:cs="仿宋_GB2312"/>
          <w:b w:val="0"/>
          <w:bCs w:val="0"/>
          <w:spacing w:val="0"/>
          <w:sz w:val="32"/>
          <w:szCs w:val="32"/>
        </w:rPr>
        <w:t>建立和落实档案管理制度，将项目相关资料存档，包括但不限于评价项目基本情况和相关文件、评价实施方案、项目支付资料等相关档案。</w:t>
      </w:r>
    </w:p>
    <w:p w14:paraId="1429A5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ascii="黑体" w:hAnsi="黑体" w:eastAsia="黑体"/>
          <w:b w:val="0"/>
          <w:spacing w:val="0"/>
          <w:sz w:val="32"/>
          <w:szCs w:val="32"/>
        </w:rPr>
      </w:pPr>
      <w:r>
        <w:rPr>
          <w:rStyle w:val="19"/>
          <w:rFonts w:hint="eastAsia" w:ascii="黑体" w:hAnsi="黑体" w:eastAsia="黑体"/>
          <w:b w:val="0"/>
          <w:spacing w:val="0"/>
          <w:sz w:val="32"/>
          <w:szCs w:val="32"/>
        </w:rPr>
        <w:t>三、综合评价情况及评价结论</w:t>
      </w:r>
    </w:p>
    <w:p w14:paraId="596775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_GB2312" w:hAnsi="楷体_GB2312" w:eastAsia="楷体_GB2312" w:cs="楷体_GB2312"/>
          <w:b w:val="0"/>
          <w:bCs w:val="0"/>
          <w:spacing w:val="0"/>
          <w:sz w:val="32"/>
          <w:szCs w:val="32"/>
        </w:rPr>
      </w:pPr>
      <w:r>
        <w:rPr>
          <w:rStyle w:val="19"/>
          <w:rFonts w:hint="eastAsia" w:ascii="楷体_GB2312" w:hAnsi="楷体_GB2312" w:eastAsia="楷体_GB2312" w:cs="楷体_GB2312"/>
          <w:b w:val="0"/>
          <w:bCs w:val="0"/>
          <w:spacing w:val="0"/>
          <w:sz w:val="32"/>
          <w:szCs w:val="32"/>
        </w:rPr>
        <w:t>（一）综合评价情况</w:t>
      </w:r>
    </w:p>
    <w:p w14:paraId="53B78B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经评价，本项目达成年初设立的绩效目标，在实施过程中取得了良好的成效，具体表现在以下三方面：</w:t>
      </w:r>
    </w:p>
    <w:p w14:paraId="5880B0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一是落实政策，做好困难群众帮扶工作，解决了特殊群体的困难，有效提升了困难群众生活水平。</w:t>
      </w:r>
    </w:p>
    <w:p w14:paraId="72211B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二是精准识别，切实保障困难群众基本生活。开展捐资助学，组织农民党员参观学习活动，进行古尔邦节期间开展慰问活动。</w:t>
      </w:r>
    </w:p>
    <w:p w14:paraId="4A0D21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三是补充村级工作经费，有利保障村级工作正常开展。</w:t>
      </w:r>
    </w:p>
    <w:p w14:paraId="5782E1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_GB2312" w:hAnsi="楷体_GB2312" w:eastAsia="楷体_GB2312" w:cs="楷体_GB2312"/>
          <w:b w:val="0"/>
          <w:bCs w:val="0"/>
          <w:spacing w:val="0"/>
          <w:sz w:val="32"/>
          <w:szCs w:val="32"/>
          <w:lang w:eastAsia="zh-CN"/>
        </w:rPr>
      </w:pPr>
      <w:r>
        <w:rPr>
          <w:rStyle w:val="19"/>
          <w:rFonts w:hint="eastAsia" w:ascii="楷体_GB2312" w:hAnsi="楷体_GB2312" w:eastAsia="楷体_GB2312" w:cs="楷体_GB2312"/>
          <w:b w:val="0"/>
          <w:bCs w:val="0"/>
          <w:spacing w:val="0"/>
          <w:sz w:val="32"/>
          <w:szCs w:val="32"/>
        </w:rPr>
        <w:t>（二）评价结论</w:t>
      </w:r>
    </w:p>
    <w:p w14:paraId="3A0AF7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w:t>
      </w:r>
    </w:p>
    <w:p w14:paraId="7B420E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项目决策类指标共设置6个，满分指标6个，权重分21分，得分21分，得分率100%；</w:t>
      </w:r>
    </w:p>
    <w:p w14:paraId="37C290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过程管理类指标共设置5个，满分指标5个，权重分19分，得分19分，得分率100%</w:t>
      </w:r>
      <w:r>
        <w:rPr>
          <w:rStyle w:val="19"/>
          <w:rFonts w:hint="eastAsia" w:ascii="仿宋_GB2312" w:hAnsi="仿宋_GB2312" w:eastAsia="仿宋_GB2312" w:cs="仿宋_GB2312"/>
          <w:b w:val="0"/>
          <w:bCs w:val="0"/>
          <w:spacing w:val="0"/>
          <w:sz w:val="32"/>
          <w:szCs w:val="32"/>
          <w:lang w:eastAsia="zh-CN"/>
        </w:rPr>
        <w:t>；</w:t>
      </w:r>
    </w:p>
    <w:p w14:paraId="2B2C72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项目产出类指标共设置7个，满分指标7个，权重分20分，得分20分，得分率100%；</w:t>
      </w:r>
    </w:p>
    <w:p w14:paraId="2625FE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项目效益类指标共设置2个，满分指标2个，权重分40分，得分40分，得分率100%。</w:t>
      </w:r>
    </w:p>
    <w:p w14:paraId="150D1D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详细情况见“附件2：项目综合得分表”。</w:t>
      </w:r>
    </w:p>
    <w:p w14:paraId="4C4EC1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黑体" w:hAnsi="黑体" w:eastAsia="黑体"/>
          <w:spacing w:val="0"/>
          <w:lang w:eastAsia="zh-CN"/>
        </w:rPr>
      </w:pPr>
      <w:r>
        <w:rPr>
          <w:rStyle w:val="19"/>
          <w:rFonts w:hint="eastAsia" w:ascii="黑体" w:hAnsi="黑体" w:eastAsia="黑体"/>
          <w:b w:val="0"/>
          <w:spacing w:val="0"/>
          <w:sz w:val="32"/>
          <w:szCs w:val="32"/>
        </w:rPr>
        <w:t>四、绩效评价指标分析</w:t>
      </w:r>
    </w:p>
    <w:p w14:paraId="1D4694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spacing w:val="0"/>
          <w:sz w:val="32"/>
          <w:szCs w:val="32"/>
        </w:rPr>
      </w:pPr>
      <w:r>
        <w:rPr>
          <w:rFonts w:hint="eastAsia" w:ascii="楷体_GB2312" w:hAnsi="楷体_GB2312" w:eastAsia="楷体_GB2312" w:cs="楷体_GB2312"/>
          <w:b w:val="0"/>
          <w:bCs/>
          <w:spacing w:val="0"/>
          <w:sz w:val="32"/>
          <w:szCs w:val="32"/>
        </w:rPr>
        <w:t>（一）</w:t>
      </w:r>
      <w:r>
        <w:rPr>
          <w:rStyle w:val="19"/>
          <w:rFonts w:hint="eastAsia" w:ascii="楷体_GB2312" w:hAnsi="楷体_GB2312" w:eastAsia="楷体_GB2312" w:cs="楷体_GB2312"/>
          <w:b w:val="0"/>
          <w:bCs/>
          <w:spacing w:val="0"/>
          <w:sz w:val="32"/>
          <w:szCs w:val="32"/>
        </w:rPr>
        <w:t>项目决策情况</w:t>
      </w:r>
    </w:p>
    <w:p w14:paraId="3E7C392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项目决策类指标由3个二级指标和6个三级指标构成，权重分21分，实际得分21分。</w:t>
      </w:r>
    </w:p>
    <w:p w14:paraId="5C677A03">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1.项目立项情况分析</w:t>
      </w:r>
    </w:p>
    <w:p w14:paraId="44E503D4">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（1）立项依据充分性</w:t>
      </w:r>
    </w:p>
    <w:p w14:paraId="4534C2C1">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本项目立项符合自治区党委、自治区人民政府关于开展</w:t>
      </w:r>
      <w:r>
        <w:rPr>
          <w:rStyle w:val="19"/>
          <w:rFonts w:hint="eastAsia" w:ascii="仿宋_GB2312" w:hAnsi="仿宋_GB2312" w:eastAsia="仿宋_GB2312" w:cs="仿宋_GB2312"/>
          <w:b w:val="0"/>
          <w:bCs w:val="0"/>
          <w:spacing w:val="0"/>
          <w:sz w:val="32"/>
          <w:szCs w:val="32"/>
          <w:lang w:eastAsia="zh-CN"/>
        </w:rPr>
        <w:t>驻村</w:t>
      </w:r>
      <w:r>
        <w:rPr>
          <w:rStyle w:val="19"/>
          <w:rFonts w:hint="eastAsia" w:ascii="仿宋_GB2312" w:hAnsi="仿宋_GB2312" w:eastAsia="仿宋_GB2312" w:cs="仿宋_GB2312"/>
          <w:b w:val="0"/>
          <w:bCs w:val="0"/>
          <w:spacing w:val="0"/>
          <w:sz w:val="32"/>
          <w:szCs w:val="32"/>
        </w:rPr>
        <w:t>活动政策要求；符合《新疆维吾尔自治区和田地区单位配置内设机构和人员编制规定》中职责范围中“指导地区所属机关各级党组织做好党的群众工作”的相关规定，属于我单位履职所需；本项目资金性质为“公共财政预算”功能分类为“22999其他支出”，经济分类为“30299商品和服务支出”属于公共财政支持范围，符合中央、地方事权支出责任划分原则；经检查我单位财政应用平台指标，本项目不存在重复。</w:t>
      </w:r>
    </w:p>
    <w:p w14:paraId="1CF8F7D0">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综上所述，本指标满分为5分，根据评分标准得5分，本项目立项依据充分。</w:t>
      </w:r>
    </w:p>
    <w:p w14:paraId="690C9DB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（2）立项程序规范性</w:t>
      </w:r>
    </w:p>
    <w:p w14:paraId="594EC818">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本项目为非基础建设类项目，不涉及发改立项批复流程，由我单位自行编制项目实施方案和项目预算申请计划，经过党</w:t>
      </w:r>
      <w:r>
        <w:rPr>
          <w:rStyle w:val="19"/>
          <w:rFonts w:hint="eastAsia" w:ascii="仿宋_GB2312" w:hAnsi="仿宋_GB2312" w:eastAsia="仿宋_GB2312" w:cs="仿宋_GB2312"/>
          <w:b w:val="0"/>
          <w:bCs w:val="0"/>
          <w:spacing w:val="0"/>
          <w:sz w:val="32"/>
          <w:szCs w:val="32"/>
          <w:lang w:val="en-US" w:eastAsia="zh-CN"/>
        </w:rPr>
        <w:t>组会议</w:t>
      </w:r>
      <w:r>
        <w:rPr>
          <w:rStyle w:val="19"/>
          <w:rFonts w:hint="eastAsia" w:ascii="仿宋_GB2312" w:hAnsi="仿宋_GB2312" w:eastAsia="仿宋_GB2312" w:cs="仿宋_GB2312"/>
          <w:b w:val="0"/>
          <w:bCs w:val="0"/>
          <w:spacing w:val="0"/>
          <w:sz w:val="32"/>
          <w:szCs w:val="32"/>
        </w:rPr>
        <w:t>研究确定最终预算方案。经查看，该项目申请设立过程产生的相关文件，符合相关要求。本项目为非基础建设类项目，属于专项资金安排项目，不涉及事前绩效评估、可行性研究以及风险评估，由我单位严格按照文件要求实施项目。</w:t>
      </w:r>
    </w:p>
    <w:p w14:paraId="1A1DA488">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综上所述，本指标满分为3分，根据评分标准得3分，本项目立项程序规范。</w:t>
      </w:r>
    </w:p>
    <w:p w14:paraId="6917CB44">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2.绩效目标情况分析</w:t>
      </w:r>
    </w:p>
    <w:p w14:paraId="3280EBF9">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（1）绩效目标合理性</w:t>
      </w:r>
    </w:p>
    <w:p w14:paraId="4DFB90C6">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本项目已设置年度绩效目标，具体内容为“本项目主要实施内容为：</w:t>
      </w:r>
      <w:r>
        <w:rPr>
          <w:rStyle w:val="19"/>
          <w:rFonts w:hint="eastAsia" w:ascii="仿宋_GB2312" w:hAnsi="仿宋_GB2312" w:eastAsia="仿宋_GB2312" w:cs="仿宋_GB2312"/>
          <w:b w:val="0"/>
          <w:bCs w:val="0"/>
          <w:spacing w:val="0"/>
          <w:sz w:val="32"/>
          <w:szCs w:val="32"/>
          <w:lang w:eastAsia="zh-CN"/>
        </w:rPr>
        <w:t>驻村</w:t>
      </w:r>
      <w:r>
        <w:rPr>
          <w:rStyle w:val="19"/>
          <w:rFonts w:hint="eastAsia" w:ascii="仿宋_GB2312" w:hAnsi="仿宋_GB2312" w:eastAsia="仿宋_GB2312" w:cs="仿宋_GB2312"/>
          <w:b w:val="0"/>
          <w:bCs w:val="0"/>
          <w:spacing w:val="0"/>
          <w:sz w:val="32"/>
          <w:szCs w:val="32"/>
        </w:rPr>
        <w:t>工作队为民办实事6件，采购办公用品2次,项目总投资为24万元，项目计划于2024年12月完成。通过本项目的实施，可有效改善群众生活质量，待项目实施完成，争取使受益人群满意度不低于95%。”；本项目实际工作内容为：截止2024年12月31日，本项目实际支出资金24万元，预算执行率为100.00%。实际已于2024年12月31日，已完成</w:t>
      </w:r>
      <w:r>
        <w:rPr>
          <w:rStyle w:val="19"/>
          <w:rFonts w:hint="eastAsia" w:ascii="仿宋_GB2312" w:hAnsi="仿宋_GB2312" w:eastAsia="仿宋_GB2312" w:cs="仿宋_GB2312"/>
          <w:b w:val="0"/>
          <w:bCs w:val="0"/>
          <w:spacing w:val="0"/>
          <w:sz w:val="32"/>
          <w:szCs w:val="32"/>
          <w:lang w:eastAsia="zh-CN"/>
        </w:rPr>
        <w:t>驻村</w:t>
      </w:r>
      <w:r>
        <w:rPr>
          <w:rStyle w:val="19"/>
          <w:rFonts w:hint="eastAsia" w:ascii="仿宋_GB2312" w:hAnsi="仿宋_GB2312" w:eastAsia="仿宋_GB2312" w:cs="仿宋_GB2312"/>
          <w:b w:val="0"/>
          <w:bCs w:val="0"/>
          <w:spacing w:val="0"/>
          <w:sz w:val="32"/>
          <w:szCs w:val="32"/>
        </w:rPr>
        <w:t>工作队为民办实事6件，采购办公用品2次的任务；绩效目标与实际工作内容一致，两者具有相关性;本项目按照绩效目标完成了数量指标、质量指标、时效指标、成本指标，有效改善群众生活质量，年度绩效目标完成，预期产出效益和效果符合正常的业绩水平。</w:t>
      </w:r>
    </w:p>
    <w:p w14:paraId="173EF36C">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综上所述，本指标满分为4分，根据评分标准得4分，本项目绩效目标设置合理。</w:t>
      </w:r>
    </w:p>
    <w:p w14:paraId="4A7C8966">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（2）绩效指标明确性</w:t>
      </w:r>
    </w:p>
    <w:p w14:paraId="217215B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p>
    <w:p w14:paraId="78DF3A0C">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综上所述，本指标满分为3分，根据评分标准得3分，本项目所设置绩效指标明确。</w:t>
      </w:r>
    </w:p>
    <w:p w14:paraId="72A9709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3.资金投入情况分析</w:t>
      </w:r>
    </w:p>
    <w:p w14:paraId="74882551">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（1）预算编制科学性</w:t>
      </w:r>
    </w:p>
    <w:p w14:paraId="47F35AE3">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本项目预算编制通过单位预算绩效评价小组，即预算编制较科学且经过论证；</w:t>
      </w:r>
    </w:p>
    <w:p w14:paraId="586586A0">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预算申请内容为2024年上半年自治区驻村工作专项项目经费，项目实际内容为2024年上半年自治区驻村工作专项项目经费，预算申请与《2024年上半年自治区驻村工作专项项目经费项目实施方案》中涉及的项目内容匹配；</w:t>
      </w:r>
    </w:p>
    <w:p w14:paraId="07849ED0">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本项目预算申请资金24.00万元，我单位在预算申请中严格按照单位标准和数量进行核算，其中：访贫问苦费用5.00万元、为民办实事费用10.00万元，村级组织经费5.00万元，第一书记经费4万元。本项目预算额度测算依据充分，严格按照标准编制，预算确定资金量与实际工作任务相匹配；</w:t>
      </w:r>
    </w:p>
    <w:p w14:paraId="0FF99B1F">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综上所述，本指标满分为4分，根据评分标准4分，本项目预算编制科学。</w:t>
      </w:r>
    </w:p>
    <w:p w14:paraId="0713E3DD">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（2）资金分配合理性</w:t>
      </w:r>
    </w:p>
    <w:p w14:paraId="2BBEB054">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本项目实际分配资金以《关于申请2024年上半年自治区驻村工作专项项目资金的请示》为依据进行资金分配，预算资金分配依据充分。本项目实际到位资金24万元，实际分配资金与我单位提交申请的资金额度一致，资金分配额度合理，与我单位实际需求相适应。</w:t>
      </w:r>
    </w:p>
    <w:p w14:paraId="0D99B653">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楷体" w:hAnsi="楷体" w:eastAsia="楷体"/>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综上所述，本指标满分为2分，根据评分标准得2分，本项目资金分配合理。</w:t>
      </w:r>
      <w:r>
        <w:rPr>
          <w:rStyle w:val="19"/>
          <w:rFonts w:hint="eastAsia" w:ascii="楷体" w:hAnsi="楷体" w:eastAsia="楷体"/>
          <w:b w:val="0"/>
          <w:bCs w:val="0"/>
          <w:spacing w:val="0"/>
          <w:sz w:val="32"/>
          <w:szCs w:val="32"/>
          <w:lang w:eastAsia="zh-CN"/>
        </w:rPr>
        <w:tab/>
      </w:r>
    </w:p>
    <w:p w14:paraId="34EAF30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19"/>
          <w:rFonts w:hint="eastAsia" w:ascii="楷体" w:hAnsi="楷体" w:eastAsia="楷体"/>
          <w:b/>
          <w:spacing w:val="0"/>
          <w:sz w:val="32"/>
          <w:szCs w:val="32"/>
        </w:rPr>
      </w:pPr>
      <w:r>
        <w:rPr>
          <w:rFonts w:hint="eastAsia" w:ascii="楷体" w:hAnsi="楷体" w:eastAsia="楷体"/>
          <w:b/>
          <w:spacing w:val="0"/>
          <w:sz w:val="32"/>
          <w:szCs w:val="32"/>
        </w:rPr>
        <w:t>（</w:t>
      </w:r>
      <w:r>
        <w:rPr>
          <w:rFonts w:hint="eastAsia" w:ascii="楷体" w:hAnsi="楷体" w:eastAsia="楷体"/>
          <w:b/>
          <w:spacing w:val="0"/>
          <w:sz w:val="32"/>
          <w:szCs w:val="32"/>
          <w:lang w:val="en-US" w:eastAsia="zh-CN"/>
        </w:rPr>
        <w:t>二</w:t>
      </w:r>
      <w:r>
        <w:rPr>
          <w:rFonts w:hint="eastAsia" w:ascii="楷体" w:hAnsi="楷体" w:eastAsia="楷体"/>
          <w:b/>
          <w:spacing w:val="0"/>
          <w:sz w:val="32"/>
          <w:szCs w:val="32"/>
        </w:rPr>
        <w:t>）</w:t>
      </w:r>
      <w:r>
        <w:rPr>
          <w:rStyle w:val="19"/>
          <w:rFonts w:hint="eastAsia" w:ascii="楷体" w:hAnsi="楷体" w:eastAsia="楷体"/>
          <w:spacing w:val="0"/>
          <w:sz w:val="32"/>
          <w:szCs w:val="32"/>
        </w:rPr>
        <w:t>项目过程情况</w:t>
      </w:r>
    </w:p>
    <w:p w14:paraId="698C2CCC">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项目过程管理类指标由2个二级指标和5个三级指标构成，权重分19分，实际得分19分。</w:t>
      </w:r>
    </w:p>
    <w:p w14:paraId="3C895F4D">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1.资金管理情况分析</w:t>
      </w:r>
    </w:p>
    <w:p w14:paraId="0977C5F0">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0"/>
        </w:rPr>
      </w:pPr>
      <w:r>
        <w:rPr>
          <w:rStyle w:val="19"/>
          <w:rFonts w:hint="eastAsia" w:ascii="仿宋_GB2312" w:hAnsi="仿宋_GB2312" w:eastAsia="仿宋_GB2312" w:cs="仿宋_GB2312"/>
          <w:b w:val="0"/>
          <w:bCs w:val="0"/>
          <w:spacing w:val="0"/>
          <w:sz w:val="32"/>
          <w:szCs w:val="32"/>
        </w:rPr>
        <w:t>（1）资金到位率</w:t>
      </w:r>
    </w:p>
    <w:p w14:paraId="20BAAD15">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本项目预算资金为24万元，其中：本级财政安排资金24万元，其他资金0万元，实际到位资金24万元，资金到位率=（实际到位资金/预算资金）×100%=（24/24）*100%=100%。得分=资金到位率*分值=100%*4=4分。</w:t>
      </w:r>
    </w:p>
    <w:p w14:paraId="350AD841">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综上所述，本指标满分为4分，根据评分标准得4分，本项目资金分配合理。</w:t>
      </w:r>
    </w:p>
    <w:p w14:paraId="7E2335D1">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（2）预算执行率</w:t>
      </w:r>
    </w:p>
    <w:p w14:paraId="27D7CBE1">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本项目实际支出资金24万元，预算执行率=（实际支出资金/实际到位资金）×100%=（24/24）*100%=100%。得分=预算执行率*分值=100%*5=5分。</w:t>
      </w:r>
    </w:p>
    <w:p w14:paraId="0D86FEC2">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综上所述，本指标满分为5分，根据评分标准得5分，本项目资金分配合理。</w:t>
      </w:r>
    </w:p>
    <w:p w14:paraId="79E3FB94">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（3）资金使用合规性</w:t>
      </w:r>
    </w:p>
    <w:p w14:paraId="48010CC8">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通过检查本项目签订的合同、资金申请文件、发票等财务付款凭证，得出本项目资金支出符合国家财经法规、《政府会计制度》以及《和田地区生态环境局和田县分局资金管理办法》，资金的拨付有完整的审批程序和手续，资金实际使用方向与预算批复用途一致，不存在截留、挤占、挪用、虚列支出的情况。</w:t>
      </w:r>
    </w:p>
    <w:p w14:paraId="394973B4">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综上所述，本指标满分为4分，根据评分标准得4分，资金支出符合我单位财务管理制度规定。</w:t>
      </w:r>
    </w:p>
    <w:p w14:paraId="7242F2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lang w:val="en-US" w:eastAsia="zh-CN"/>
        </w:rPr>
        <w:t>2.</w:t>
      </w:r>
      <w:r>
        <w:rPr>
          <w:rStyle w:val="19"/>
          <w:rFonts w:hint="eastAsia" w:ascii="仿宋_GB2312" w:hAnsi="仿宋_GB2312" w:eastAsia="仿宋_GB2312" w:cs="仿宋_GB2312"/>
          <w:b w:val="0"/>
          <w:bCs w:val="0"/>
          <w:spacing w:val="0"/>
          <w:sz w:val="32"/>
          <w:szCs w:val="32"/>
        </w:rPr>
        <w:t>组织实施情况分析</w:t>
      </w:r>
    </w:p>
    <w:p w14:paraId="40F5AA52">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管理制度健全性我单位已制定《</w:t>
      </w:r>
      <w:r>
        <w:rPr>
          <w:rStyle w:val="19"/>
          <w:rFonts w:hint="eastAsia" w:ascii="仿宋_GB2312" w:hAnsi="仿宋_GB2312" w:eastAsia="仿宋_GB2312" w:cs="仿宋_GB2312"/>
          <w:b w:val="0"/>
          <w:bCs w:val="0"/>
          <w:spacing w:val="0"/>
          <w:sz w:val="32"/>
          <w:szCs w:val="32"/>
          <w:lang w:eastAsia="zh-CN"/>
        </w:rPr>
        <w:t>驻村</w:t>
      </w:r>
      <w:r>
        <w:rPr>
          <w:rStyle w:val="19"/>
          <w:rFonts w:hint="eastAsia" w:ascii="仿宋_GB2312" w:hAnsi="仿宋_GB2312" w:eastAsia="仿宋_GB2312" w:cs="仿宋_GB2312"/>
          <w:b w:val="0"/>
          <w:bCs w:val="0"/>
          <w:spacing w:val="0"/>
          <w:sz w:val="32"/>
          <w:szCs w:val="32"/>
        </w:rPr>
        <w:t>专项资金管理办法》、《行政事业单位收支业务管理制度》、《行政事业单位政府采购业务管理制度》、《合同管理制度》，上述已建立的制度均符合行政事业单位内控管理要求，财务和业务管理制度合法、合规、完整，本项目执行符合上述制度规定。</w:t>
      </w:r>
    </w:p>
    <w:p w14:paraId="7B034E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综上所述，本指标满分为2分，根据评分标准得2分，项目制度建设健全。</w:t>
      </w:r>
    </w:p>
    <w:p w14:paraId="5A21D5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（2）制度执行有效性</w:t>
      </w:r>
    </w:p>
    <w:p w14:paraId="701B1F3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2024年上半年自治区驻村工作专项项目工作领导小组，由</w:t>
      </w:r>
      <w:r>
        <w:rPr>
          <w:rStyle w:val="19"/>
          <w:rFonts w:hint="eastAsia" w:ascii="仿宋_GB2312" w:hAnsi="仿宋_GB2312" w:eastAsia="仿宋_GB2312" w:cs="仿宋_GB2312"/>
          <w:b w:val="0"/>
          <w:bCs w:val="0"/>
          <w:spacing w:val="0"/>
          <w:sz w:val="32"/>
          <w:szCs w:val="32"/>
          <w:lang w:val="en-US" w:eastAsia="zh-CN"/>
        </w:rPr>
        <w:t>局长</w:t>
      </w:r>
      <w:r>
        <w:rPr>
          <w:rStyle w:val="19"/>
          <w:rFonts w:hint="eastAsia" w:ascii="仿宋_GB2312" w:hAnsi="仿宋_GB2312" w:eastAsia="仿宋_GB2312" w:cs="仿宋_GB2312"/>
          <w:b w:val="0"/>
          <w:bCs w:val="0"/>
          <w:spacing w:val="0"/>
          <w:sz w:val="32"/>
          <w:szCs w:val="32"/>
        </w:rPr>
        <w:t>李彬任组长，负责项目的组织工作；艾力·沙吾提任副组长，负责项目的实施工作；组员包括：韩晓静和蹇侠，主要负责项目监督管理、验收以及资金核拨等工作。</w:t>
      </w:r>
    </w:p>
    <w:p w14:paraId="0D136C4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综上所述，本指标满分为4分，根据评分标准得4分，本项目所建立制度执行有效。</w:t>
      </w:r>
    </w:p>
    <w:p w14:paraId="6708D83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 w:hAnsi="楷体" w:eastAsia="楷体"/>
          <w:b/>
          <w:spacing w:val="0"/>
          <w:sz w:val="32"/>
          <w:szCs w:val="32"/>
        </w:rPr>
      </w:pPr>
      <w:r>
        <w:rPr>
          <w:rFonts w:hint="eastAsia" w:ascii="楷体" w:hAnsi="楷体" w:eastAsia="楷体"/>
          <w:b/>
          <w:spacing w:val="0"/>
          <w:sz w:val="32"/>
          <w:szCs w:val="32"/>
        </w:rPr>
        <w:t>（</w:t>
      </w:r>
      <w:r>
        <w:rPr>
          <w:rFonts w:hint="eastAsia" w:ascii="楷体" w:hAnsi="楷体" w:eastAsia="楷体"/>
          <w:b/>
          <w:spacing w:val="0"/>
          <w:sz w:val="32"/>
          <w:szCs w:val="32"/>
          <w:lang w:val="en-US" w:eastAsia="zh-CN"/>
        </w:rPr>
        <w:t>三</w:t>
      </w:r>
      <w:r>
        <w:rPr>
          <w:rFonts w:hint="eastAsia" w:ascii="楷体" w:hAnsi="楷体" w:eastAsia="楷体"/>
          <w:b/>
          <w:spacing w:val="0"/>
          <w:sz w:val="32"/>
          <w:szCs w:val="32"/>
        </w:rPr>
        <w:t>）</w:t>
      </w:r>
      <w:r>
        <w:rPr>
          <w:rStyle w:val="19"/>
          <w:rFonts w:hint="eastAsia" w:ascii="楷体" w:hAnsi="楷体" w:eastAsia="楷体"/>
          <w:spacing w:val="0"/>
          <w:sz w:val="32"/>
          <w:szCs w:val="32"/>
        </w:rPr>
        <w:t>项目产出情况</w:t>
      </w:r>
    </w:p>
    <w:p w14:paraId="552275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项目产出类指标由4个二级指标和7个三级指标构成，权重分20分，实际得分20分。</w:t>
      </w:r>
    </w:p>
    <w:p w14:paraId="3667E9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1.数量指标完成情况分析</w:t>
      </w:r>
    </w:p>
    <w:p w14:paraId="6DE029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lang w:eastAsia="zh-CN"/>
        </w:rPr>
        <w:t>驻村</w:t>
      </w:r>
      <w:r>
        <w:rPr>
          <w:rStyle w:val="19"/>
          <w:rFonts w:hint="eastAsia" w:ascii="仿宋_GB2312" w:hAnsi="仿宋_GB2312" w:eastAsia="仿宋_GB2312" w:cs="仿宋_GB2312"/>
          <w:b w:val="0"/>
          <w:bCs w:val="0"/>
          <w:spacing w:val="0"/>
          <w:sz w:val="32"/>
          <w:szCs w:val="32"/>
        </w:rPr>
        <w:t>工作队为民办实事数量:预期指标值为≥6件，实际完成值为=6件,指标完成率为100%。</w:t>
      </w:r>
    </w:p>
    <w:p w14:paraId="14C68B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0"/>
          <w:sz w:val="32"/>
          <w:szCs w:val="32"/>
        </w:rPr>
      </w:pPr>
      <w:r>
        <w:rPr>
          <w:rStyle w:val="19"/>
          <w:rFonts w:hint="eastAsia" w:ascii="仿宋_GB2312" w:hAnsi="仿宋_GB2312" w:eastAsia="仿宋_GB2312" w:cs="仿宋_GB2312"/>
          <w:b w:val="0"/>
          <w:bCs w:val="0"/>
          <w:spacing w:val="0"/>
          <w:sz w:val="32"/>
          <w:szCs w:val="32"/>
        </w:rPr>
        <w:t>采购办公用品批次:预期指标值为≥2次，实际完成值为=2次,指标完成率为100%。</w:t>
      </w:r>
    </w:p>
    <w:p w14:paraId="46CD56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2.质量指标完成情况分析</w:t>
      </w:r>
    </w:p>
    <w:p w14:paraId="3DC9D5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工作任务完成率:预期指标值为=100%，实际完成值为=100%,指标完成率为100%。</w:t>
      </w:r>
    </w:p>
    <w:p w14:paraId="1678EA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质量验收合格率:预期指标值为=100%，实际完成值为=100%,指标完成率为100%。</w:t>
      </w:r>
    </w:p>
    <w:p w14:paraId="581DE3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3.时效指标完成情况分析</w:t>
      </w:r>
    </w:p>
    <w:p w14:paraId="46AFE9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资金支付及时率:预期指标值为=100%，实际完成值为=100%,指标完成率为100%。</w:t>
      </w:r>
    </w:p>
    <w:p w14:paraId="7125E8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项目完成时间:预期指标值为2024年12月底，实际完成值为2024年12月31日,指标完成率为100%。</w:t>
      </w:r>
    </w:p>
    <w:p w14:paraId="6C42B9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4.成本指标完成情况分析</w:t>
      </w:r>
    </w:p>
    <w:p w14:paraId="59156A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lang w:eastAsia="zh-CN"/>
        </w:rPr>
        <w:t>驻村</w:t>
      </w:r>
      <w:r>
        <w:rPr>
          <w:rStyle w:val="19"/>
          <w:rFonts w:hint="eastAsia" w:ascii="仿宋_GB2312" w:hAnsi="仿宋_GB2312" w:eastAsia="仿宋_GB2312" w:cs="仿宋_GB2312"/>
          <w:b w:val="0"/>
          <w:bCs w:val="0"/>
          <w:spacing w:val="0"/>
          <w:sz w:val="32"/>
          <w:szCs w:val="32"/>
        </w:rPr>
        <w:t>工作为民办实事经费:预期指标值为≤24万元，实际完成值为=24万元,指标完成率为100%。</w:t>
      </w:r>
    </w:p>
    <w:p w14:paraId="6167751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 w:hAnsi="楷体" w:eastAsia="楷体"/>
          <w:b/>
          <w:spacing w:val="0"/>
          <w:sz w:val="32"/>
          <w:szCs w:val="32"/>
        </w:rPr>
      </w:pPr>
      <w:r>
        <w:rPr>
          <w:rFonts w:hint="eastAsia" w:ascii="楷体" w:hAnsi="楷体" w:eastAsia="楷体"/>
          <w:b/>
          <w:spacing w:val="0"/>
          <w:sz w:val="32"/>
          <w:szCs w:val="32"/>
        </w:rPr>
        <w:t>（</w:t>
      </w:r>
      <w:r>
        <w:rPr>
          <w:rFonts w:hint="eastAsia" w:ascii="楷体" w:hAnsi="楷体" w:eastAsia="楷体"/>
          <w:b/>
          <w:spacing w:val="0"/>
          <w:sz w:val="32"/>
          <w:szCs w:val="32"/>
          <w:lang w:val="en-US" w:eastAsia="zh-CN"/>
        </w:rPr>
        <w:t>四</w:t>
      </w:r>
      <w:r>
        <w:rPr>
          <w:rFonts w:hint="eastAsia" w:ascii="楷体" w:hAnsi="楷体" w:eastAsia="楷体"/>
          <w:b/>
          <w:spacing w:val="0"/>
          <w:sz w:val="32"/>
          <w:szCs w:val="32"/>
        </w:rPr>
        <w:t>）</w:t>
      </w:r>
      <w:r>
        <w:rPr>
          <w:rStyle w:val="19"/>
          <w:rFonts w:hint="eastAsia" w:ascii="楷体" w:hAnsi="楷体" w:eastAsia="楷体"/>
          <w:spacing w:val="0"/>
          <w:sz w:val="32"/>
          <w:szCs w:val="32"/>
        </w:rPr>
        <w:t>项目效益情况</w:t>
      </w:r>
    </w:p>
    <w:p w14:paraId="044659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项目效益类指标由2个二级指标和2个三级指标构成，权重分40分，实际得分40分。</w:t>
      </w:r>
    </w:p>
    <w:p w14:paraId="34C57C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1.经济效益完成情况分析</w:t>
      </w:r>
    </w:p>
    <w:p w14:paraId="43E9B0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无。</w:t>
      </w:r>
    </w:p>
    <w:p w14:paraId="69AF8C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2.社会效益完成情况分析</w:t>
      </w:r>
    </w:p>
    <w:p w14:paraId="0C00EF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改善群众生活质量:预期指标值为有效改善，实际完成值为基本达成目标,指标完成率为100%。</w:t>
      </w:r>
    </w:p>
    <w:p w14:paraId="0224C7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lang w:val="en-US" w:eastAsia="zh-CN"/>
        </w:rPr>
        <w:t>3.</w:t>
      </w:r>
      <w:r>
        <w:rPr>
          <w:rStyle w:val="19"/>
          <w:rFonts w:hint="eastAsia" w:ascii="仿宋_GB2312" w:hAnsi="仿宋_GB2312" w:eastAsia="仿宋_GB2312" w:cs="仿宋_GB2312"/>
          <w:b w:val="0"/>
          <w:bCs w:val="0"/>
          <w:spacing w:val="0"/>
          <w:sz w:val="32"/>
          <w:szCs w:val="32"/>
        </w:rPr>
        <w:t>生态效益完成情况分析</w:t>
      </w:r>
    </w:p>
    <w:p w14:paraId="16BBD0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无。</w:t>
      </w:r>
    </w:p>
    <w:p w14:paraId="0C10172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lang w:val="en-US" w:eastAsia="zh-CN"/>
        </w:rPr>
        <w:t>4.</w:t>
      </w:r>
      <w:r>
        <w:rPr>
          <w:rStyle w:val="19"/>
          <w:rFonts w:hint="eastAsia" w:ascii="仿宋_GB2312" w:hAnsi="仿宋_GB2312" w:eastAsia="仿宋_GB2312" w:cs="仿宋_GB2312"/>
          <w:b w:val="0"/>
          <w:bCs w:val="0"/>
          <w:spacing w:val="0"/>
          <w:sz w:val="32"/>
          <w:szCs w:val="32"/>
        </w:rPr>
        <w:t>可持续影响完成情况分析</w:t>
      </w:r>
    </w:p>
    <w:p w14:paraId="2546947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无。</w:t>
      </w:r>
    </w:p>
    <w:p w14:paraId="368C6A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lang w:val="en-US" w:eastAsia="zh-CN"/>
        </w:rPr>
        <w:t>5.</w:t>
      </w:r>
      <w:r>
        <w:rPr>
          <w:rStyle w:val="19"/>
          <w:rFonts w:hint="eastAsia" w:ascii="仿宋_GB2312" w:hAnsi="仿宋_GB2312" w:eastAsia="仿宋_GB2312" w:cs="仿宋_GB2312"/>
          <w:b w:val="0"/>
          <w:bCs w:val="0"/>
          <w:spacing w:val="0"/>
          <w:sz w:val="32"/>
          <w:szCs w:val="32"/>
        </w:rPr>
        <w:t>满意度指标完成情况分析</w:t>
      </w:r>
    </w:p>
    <w:p w14:paraId="3196343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受益群众满意度:预期指标值为≥95%，实际完成值为=100%,指标完成率为100%。</w:t>
      </w:r>
    </w:p>
    <w:p w14:paraId="1F3EA0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ascii="黑体" w:hAnsi="黑体" w:eastAsia="黑体"/>
          <w:b w:val="0"/>
          <w:spacing w:val="0"/>
          <w:sz w:val="32"/>
          <w:szCs w:val="32"/>
        </w:rPr>
      </w:pPr>
      <w:r>
        <w:rPr>
          <w:rStyle w:val="19"/>
          <w:rFonts w:hint="eastAsia" w:ascii="黑体" w:hAnsi="黑体" w:eastAsia="黑体"/>
          <w:b w:val="0"/>
          <w:spacing w:val="0"/>
          <w:sz w:val="32"/>
          <w:szCs w:val="32"/>
        </w:rPr>
        <w:t>五、预算执行进度与绩效指标偏差</w:t>
      </w:r>
    </w:p>
    <w:p w14:paraId="06D65C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本项目年初预算资金总额为24万元，全年预算数为24万元，全年执行数为24万元，预算执行率为100%。</w:t>
      </w:r>
    </w:p>
    <w:p w14:paraId="6B836C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本项目共设置三级指标数量9个，满分指标数量9个，扣分指标数量0个，经分析计算所有三级指标完成率得出，本项目总体完成率为100%。</w:t>
      </w:r>
    </w:p>
    <w:p w14:paraId="3A635A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spacing w:val="0"/>
          <w:sz w:val="32"/>
          <w:szCs w:val="32"/>
        </w:rPr>
      </w:pPr>
      <w:r>
        <w:rPr>
          <w:rStyle w:val="19"/>
          <w:rFonts w:hint="eastAsia" w:ascii="仿宋_GB2312" w:hAnsi="仿宋_GB2312" w:eastAsia="仿宋_GB2312" w:cs="仿宋_GB2312"/>
          <w:b w:val="0"/>
          <w:bCs w:val="0"/>
          <w:spacing w:val="0"/>
          <w:sz w:val="32"/>
          <w:szCs w:val="32"/>
        </w:rPr>
        <w:t>综上所述本项目预算执行率与总体完成率之间的偏差为0%。</w:t>
      </w:r>
    </w:p>
    <w:p w14:paraId="36A1D1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ascii="黑体" w:hAnsi="黑体" w:eastAsia="黑体"/>
          <w:b w:val="0"/>
          <w:spacing w:val="0"/>
          <w:sz w:val="32"/>
          <w:szCs w:val="32"/>
        </w:rPr>
      </w:pPr>
      <w:r>
        <w:rPr>
          <w:rStyle w:val="19"/>
          <w:rFonts w:hint="eastAsia" w:ascii="黑体" w:hAnsi="黑体" w:eastAsia="黑体"/>
          <w:b w:val="0"/>
          <w:spacing w:val="0"/>
          <w:sz w:val="32"/>
          <w:szCs w:val="32"/>
        </w:rPr>
        <w:t>六、主要经验及做法、存在的问题及原因分析</w:t>
      </w:r>
    </w:p>
    <w:p w14:paraId="7DB8CB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（一）主要经验及做法</w:t>
      </w:r>
    </w:p>
    <w:p w14:paraId="5F139F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一是本项目能够严格按照《项目实施方案》执行，项目执行情况较好。</w:t>
      </w:r>
    </w:p>
    <w:p w14:paraId="4C21CF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二是加强组织领导，本项目绩效评价工作，有县政府主要领导亲自挂帅，分管县领导具体负责，从项目到资金，均能后很好的执行。</w:t>
      </w:r>
    </w:p>
    <w:p w14:paraId="64382B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三是加强沟通协调，我单位及时向县领导汇报项目建设进度，加强与实施单位的沟通，确保项目按期完工。</w:t>
      </w:r>
    </w:p>
    <w:p w14:paraId="202DB5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（二）存在的问题及原因分析</w:t>
      </w:r>
    </w:p>
    <w:p w14:paraId="15111C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1.对各项指标和指标值要进一步优化、完善，主要在细化、量化上改进。</w:t>
      </w:r>
    </w:p>
    <w:p w14:paraId="591A75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2.自评价工作还存在自我审定的局限性，会影响评价质量，容易造成问题的疏漏，在客观性和公正性上说服力不强。</w:t>
      </w:r>
    </w:p>
    <w:p w14:paraId="6E5671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3.缺少带着问题去评价的意识。</w:t>
      </w:r>
    </w:p>
    <w:p w14:paraId="5ED689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0"/>
          <w:sz w:val="32"/>
          <w:szCs w:val="32"/>
        </w:rPr>
      </w:pPr>
      <w:r>
        <w:rPr>
          <w:rStyle w:val="19"/>
          <w:rFonts w:hint="eastAsia" w:ascii="仿宋_GB2312" w:hAnsi="仿宋_GB2312" w:eastAsia="仿宋_GB2312" w:cs="仿宋_GB2312"/>
          <w:b w:val="0"/>
          <w:bCs w:val="0"/>
          <w:spacing w:val="0"/>
          <w:sz w:val="32"/>
          <w:szCs w:val="32"/>
        </w:rPr>
        <w:t>4.现场评价的工作量少，后续效益评价具体措施和方法较少。</w:t>
      </w:r>
    </w:p>
    <w:p w14:paraId="26778D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黑体" w:hAnsi="黑体" w:eastAsia="黑体"/>
          <w:b w:val="0"/>
          <w:spacing w:val="0"/>
          <w:sz w:val="32"/>
          <w:szCs w:val="32"/>
        </w:rPr>
      </w:pPr>
      <w:r>
        <w:rPr>
          <w:rStyle w:val="19"/>
          <w:rFonts w:hint="eastAsia" w:ascii="黑体" w:hAnsi="黑体" w:eastAsia="黑体"/>
          <w:b w:val="0"/>
          <w:spacing w:val="0"/>
          <w:sz w:val="32"/>
          <w:szCs w:val="32"/>
          <w:lang w:val="en-US" w:eastAsia="zh-CN"/>
        </w:rPr>
        <w:t>七</w:t>
      </w:r>
      <w:r>
        <w:rPr>
          <w:rStyle w:val="19"/>
          <w:rFonts w:hint="eastAsia" w:ascii="黑体" w:hAnsi="黑体" w:eastAsia="黑体"/>
          <w:b w:val="0"/>
          <w:spacing w:val="0"/>
          <w:sz w:val="32"/>
          <w:szCs w:val="32"/>
        </w:rPr>
        <w:t>、有关建议</w:t>
      </w:r>
    </w:p>
    <w:p w14:paraId="44787E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一）建议充分落实绩效目标管理政策要求，提升绩效目标与项目实施内容的匹配度：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p>
    <w:p w14:paraId="7E2DE5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二）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p>
    <w:p w14:paraId="37500E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（三）建议项目实施单位做好项目绩效跟踪监控工作，对实际开展工作与预期目标值产生较大偏差情况，应及时做好偏差原因分析和纠偏工作，不断提升绩效目标与项目实际工作的匹配度。</w:t>
      </w:r>
    </w:p>
    <w:p w14:paraId="1DD7AD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spacing w:val="0"/>
          <w:sz w:val="32"/>
          <w:szCs w:val="32"/>
        </w:rPr>
      </w:pPr>
      <w:r>
        <w:rPr>
          <w:rStyle w:val="19"/>
          <w:rFonts w:hint="eastAsia" w:ascii="仿宋_GB2312" w:hAnsi="仿宋_GB2312" w:eastAsia="仿宋_GB2312" w:cs="仿宋_GB2312"/>
          <w:b w:val="0"/>
          <w:bCs w:val="0"/>
          <w:spacing w:val="0"/>
          <w:sz w:val="32"/>
          <w:szCs w:val="32"/>
        </w:rPr>
        <w:t>（四）建议加强预算资金管理，严格落实项目申报、专家评审、确定项目后进行资金分配与资金拨付，规范资金拨付流程。</w:t>
      </w:r>
    </w:p>
    <w:p w14:paraId="0AA817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ascii="黑体" w:hAnsi="黑体" w:eastAsia="黑体"/>
          <w:b w:val="0"/>
          <w:spacing w:val="0"/>
          <w:sz w:val="32"/>
          <w:szCs w:val="32"/>
        </w:rPr>
      </w:pPr>
      <w:r>
        <w:rPr>
          <w:rStyle w:val="19"/>
          <w:rFonts w:hint="eastAsia" w:ascii="黑体" w:hAnsi="黑体" w:eastAsia="黑体"/>
          <w:b w:val="0"/>
          <w:spacing w:val="0"/>
          <w:sz w:val="32"/>
          <w:szCs w:val="32"/>
          <w:lang w:val="en-US" w:eastAsia="zh-CN"/>
        </w:rPr>
        <w:t>八</w:t>
      </w:r>
      <w:r>
        <w:rPr>
          <w:rStyle w:val="19"/>
          <w:rFonts w:hint="eastAsia" w:ascii="黑体" w:hAnsi="黑体" w:eastAsia="黑体"/>
          <w:b w:val="0"/>
          <w:spacing w:val="0"/>
          <w:sz w:val="32"/>
          <w:szCs w:val="32"/>
        </w:rPr>
        <w:t>、其他需要说明的问题</w:t>
      </w:r>
    </w:p>
    <w:p w14:paraId="19A858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（一）本项目部分间接产生的效果无法准确在短期内衡量，因此很难认定项目产生的全部效果。通过指标来反映绩效，指标的科学性和全面性需要不断地完善和研究。</w:t>
      </w:r>
    </w:p>
    <w:p w14:paraId="02B382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（二）评价结果作为安排政府预算、完善政策和改进管理的重要依据。原则上，对评价等级为优、良的，根据情况予以支持；对评价等级为中、差的，要完善政策、改进管理，根据情况核减预算。</w:t>
      </w:r>
    </w:p>
    <w:p w14:paraId="3C867A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（三）评价结果分别编入政府决算和部门预算，报送本级人民代表大会常务委员会，并依法予以公开。</w:t>
      </w:r>
    </w:p>
    <w:p w14:paraId="4A3A75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eastAsia="zh-CN"/>
        </w:rPr>
      </w:pPr>
      <w:r>
        <w:rPr>
          <w:rStyle w:val="19"/>
          <w:rFonts w:hint="eastAsia" w:ascii="仿宋_GB2312" w:hAnsi="仿宋_GB2312" w:eastAsia="仿宋_GB2312" w:cs="仿宋_GB2312"/>
          <w:b w:val="0"/>
          <w:bCs w:val="0"/>
          <w:spacing w:val="0"/>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6327B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4C02D5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spacing w:val="-4"/>
          <w:sz w:val="32"/>
          <w:szCs w:val="32"/>
        </w:rPr>
      </w:pPr>
    </w:p>
    <w:sectPr>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55D1948">
        <w:pPr>
          <w:pStyle w:val="12"/>
          <w:jc w:val="center"/>
        </w:pPr>
        <w:r>
          <w:fldChar w:fldCharType="begin"/>
        </w:r>
        <w:r>
          <w:instrText xml:space="preserve">PAGE   \* MERGEFORMAT</w:instrText>
        </w:r>
        <w:r>
          <w:fldChar w:fldCharType="separate"/>
        </w:r>
        <w:r>
          <w:rPr>
            <w:lang w:val="zh-CN"/>
          </w:rPr>
          <w:t>1</w:t>
        </w:r>
        <w:r>
          <w:fldChar w:fldCharType="end"/>
        </w:r>
      </w:p>
    </w:sdtContent>
  </w:sdt>
  <w:p w14:paraId="0DC579B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decimal"/>
      <w:suff w:val="nothing"/>
      <w:lvlText w:val="（%1）"/>
      <w:lvlJc w:val="left"/>
    </w:lvl>
  </w:abstractNum>
  <w:abstractNum w:abstractNumId="1">
    <w:nsid w:val="09997F14"/>
    <w:multiLevelType w:val="singleLevel"/>
    <w:tmpl w:val="09997F1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157774"/>
    <w:rsid w:val="0DF92825"/>
    <w:rsid w:val="0F6A4623"/>
    <w:rsid w:val="155158D7"/>
    <w:rsid w:val="243E4869"/>
    <w:rsid w:val="37465680"/>
    <w:rsid w:val="43F941CA"/>
    <w:rsid w:val="5144367B"/>
    <w:rsid w:val="55DA0E06"/>
    <w:rsid w:val="60357473"/>
    <w:rsid w:val="603D1619"/>
    <w:rsid w:val="6A087E3F"/>
    <w:rsid w:val="7AFE084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2052-10.8.2.6837</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0864aeb8-339a-4c39-8d2e-b306d07291ec}">
  <ds:schemaRefs/>
</ds:datastoreItem>
</file>

<file path=docProps/app.xml><?xml version="1.0" encoding="utf-8"?>
<Properties xmlns="http://schemas.openxmlformats.org/officeDocument/2006/extended-properties" xmlns:vt="http://schemas.openxmlformats.org/officeDocument/2006/docPropsVTypes">
  <Template>Normal.dotm</Template>
  <Pages>22</Pages>
  <Words>273</Words>
  <Characters>581</Characters>
  <Lines>5</Lines>
  <Paragraphs>1</Paragraphs>
  <TotalTime>8</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2025-09-28T16:37:03Z</cp:lastPrinted>
  <dcterms:modified xsi:type="dcterms:W3CDTF">2025-09-28T16:38:39Z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