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BDE4B2">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黑体" w:hAnsi="黑体" w:eastAsia="黑体"/>
          <w:sz w:val="32"/>
          <w:szCs w:val="32"/>
          <w:highlight w:val="none"/>
          <w:lang w:val="en-US" w:eastAsia="zh-CN"/>
        </w:rPr>
      </w:pPr>
    </w:p>
    <w:p w14:paraId="04FF2F9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宋体" w:eastAsia="方正小标宋_GBK"/>
          <w:sz w:val="44"/>
          <w:szCs w:val="44"/>
          <w:highlight w:val="none"/>
        </w:rPr>
      </w:pPr>
    </w:p>
    <w:p w14:paraId="743138F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宋体" w:eastAsia="方正小标宋_GBK"/>
          <w:sz w:val="44"/>
          <w:szCs w:val="44"/>
          <w:highlight w:val="none"/>
        </w:rPr>
      </w:pPr>
    </w:p>
    <w:p w14:paraId="5388249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宋体" w:eastAsia="方正小标宋_GBK"/>
          <w:sz w:val="44"/>
          <w:szCs w:val="44"/>
          <w:highlight w:val="none"/>
        </w:rPr>
      </w:pPr>
    </w:p>
    <w:p w14:paraId="174A36F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宋体" w:eastAsia="方正小标宋_GBK"/>
          <w:sz w:val="44"/>
          <w:szCs w:val="44"/>
          <w:highlight w:val="none"/>
          <w:lang w:val="en-US" w:eastAsia="zh-CN"/>
        </w:rPr>
      </w:pPr>
    </w:p>
    <w:p w14:paraId="22A5EC6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和田地区生态环境局和田市分局</w:t>
      </w:r>
    </w:p>
    <w:p w14:paraId="4AF67FD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2024年度部门决算公开说明</w:t>
      </w:r>
    </w:p>
    <w:p w14:paraId="359ECD9A">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4A71725">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3EE55A34">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一、主要职能</w:t>
      </w:r>
      <w:r>
        <w:rPr>
          <w:rFonts w:hint="eastAsia" w:ascii="仿宋_GB2312" w:hAnsi="仿宋_GB2312" w:eastAsia="仿宋_GB2312" w:cs="仿宋_GB2312"/>
          <w:sz w:val="32"/>
          <w:szCs w:val="32"/>
          <w:highlight w:val="none"/>
        </w:rPr>
        <w:fldChar w:fldCharType="end"/>
      </w:r>
    </w:p>
    <w:p w14:paraId="4CA0D61F">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二、机构设置</w:t>
      </w:r>
      <w:r>
        <w:rPr>
          <w:rFonts w:hint="eastAsia" w:ascii="仿宋_GB2312" w:hAnsi="仿宋_GB2312" w:eastAsia="仿宋_GB2312" w:cs="仿宋_GB2312"/>
          <w:sz w:val="32"/>
          <w:szCs w:val="32"/>
          <w:highlight w:val="none"/>
          <w:lang w:eastAsia="zh-CN"/>
        </w:rPr>
        <w:t>及人员</w:t>
      </w:r>
      <w:r>
        <w:rPr>
          <w:rFonts w:hint="eastAsia" w:ascii="仿宋_GB2312" w:hAnsi="仿宋_GB2312" w:eastAsia="仿宋_GB2312" w:cs="仿宋_GB2312"/>
          <w:sz w:val="32"/>
          <w:szCs w:val="32"/>
          <w:highlight w:val="none"/>
        </w:rPr>
        <w:t>情况</w:t>
      </w:r>
      <w:r>
        <w:rPr>
          <w:rFonts w:hint="eastAsia" w:ascii="仿宋_GB2312" w:hAnsi="仿宋_GB2312" w:eastAsia="仿宋_GB2312" w:cs="仿宋_GB2312"/>
          <w:sz w:val="32"/>
          <w:szCs w:val="32"/>
          <w:highlight w:val="none"/>
        </w:rPr>
        <w:fldChar w:fldCharType="end"/>
      </w:r>
    </w:p>
    <w:p w14:paraId="148CC239">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501A64CF">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26297B06">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w:t>
      </w:r>
      <w:r>
        <w:rPr>
          <w:rFonts w:hint="eastAsia" w:ascii="仿宋_GB2312" w:hAnsi="仿宋_GB2312" w:eastAsia="仿宋_GB2312" w:cs="仿宋_GB2312"/>
          <w:sz w:val="32"/>
          <w:szCs w:val="32"/>
          <w:highlight w:val="none"/>
        </w:rPr>
        <w:t>收入</w:t>
      </w:r>
      <w:r>
        <w:rPr>
          <w:rFonts w:hint="eastAsia" w:ascii="仿宋_GB2312" w:hAnsi="仿宋_GB2312" w:eastAsia="仿宋_GB2312" w:cs="仿宋_GB2312"/>
          <w:sz w:val="32"/>
          <w:szCs w:val="32"/>
          <w:highlight w:val="none"/>
          <w:lang w:eastAsia="zh-CN"/>
        </w:rPr>
        <w:t>决算</w:t>
      </w:r>
      <w:r>
        <w:rPr>
          <w:rFonts w:hint="eastAsia" w:ascii="仿宋_GB2312" w:hAnsi="仿宋_GB2312" w:eastAsia="仿宋_GB2312" w:cs="仿宋_GB2312"/>
          <w:sz w:val="32"/>
          <w:szCs w:val="32"/>
          <w:highlight w:val="none"/>
        </w:rPr>
        <w:t>情况说明</w:t>
      </w:r>
      <w:r>
        <w:rPr>
          <w:rFonts w:hint="eastAsia" w:ascii="仿宋_GB2312" w:hAnsi="仿宋_GB2312" w:eastAsia="仿宋_GB2312" w:cs="仿宋_GB2312"/>
          <w:sz w:val="32"/>
          <w:szCs w:val="32"/>
          <w:highlight w:val="none"/>
        </w:rPr>
        <w:fldChar w:fldCharType="end"/>
      </w:r>
    </w:p>
    <w:p w14:paraId="1BE63EF8">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50A710B6">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112F23CC">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3CD596ED">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4F578E21">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2E96DA19">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64FD3F64">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02C410C2">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val="en-US" w:eastAsia="zh-CN"/>
        </w:rPr>
        <w:t>七、</w:t>
      </w:r>
      <w:r>
        <w:rPr>
          <w:rFonts w:hint="eastAsia" w:ascii="仿宋_GB2312" w:hAnsi="仿宋_GB2312" w:eastAsia="仿宋_GB2312" w:cs="仿宋_GB2312"/>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5ED918D8">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val="en-US" w:eastAsia="zh-CN"/>
        </w:rPr>
        <w:t>八</w:t>
      </w:r>
      <w:r>
        <w:rPr>
          <w:rFonts w:hint="eastAsia" w:ascii="仿宋_GB2312" w:hAnsi="仿宋_GB2312" w:eastAsia="仿宋_GB2312" w:cs="仿宋_GB2312"/>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0CCA0F71">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val="en-US" w:eastAsia="zh-CN"/>
        </w:rPr>
        <w:t>九</w:t>
      </w:r>
      <w:r>
        <w:rPr>
          <w:rFonts w:hint="eastAsia" w:ascii="仿宋_GB2312" w:hAnsi="仿宋_GB2312" w:eastAsia="仿宋_GB2312" w:cs="仿宋_GB2312"/>
          <w:sz w:val="32"/>
          <w:szCs w:val="32"/>
          <w:highlight w:val="none"/>
          <w:lang w:eastAsia="zh-CN"/>
        </w:rPr>
        <w:t>、财政拨款</w:t>
      </w:r>
      <w:r>
        <w:rPr>
          <w:rFonts w:hint="eastAsia" w:ascii="仿宋_GB2312" w:hAnsi="仿宋_GB2312" w:eastAsia="仿宋_GB2312" w:cs="仿宋_GB2312"/>
          <w:sz w:val="32"/>
          <w:szCs w:val="32"/>
          <w:highlight w:val="none"/>
        </w:rPr>
        <w:t>“三公”经费支出</w:t>
      </w:r>
      <w:r>
        <w:rPr>
          <w:rFonts w:hint="eastAsia" w:ascii="仿宋_GB2312" w:hAnsi="仿宋_GB2312" w:eastAsia="仿宋_GB2312" w:cs="仿宋_GB2312"/>
          <w:sz w:val="32"/>
          <w:szCs w:val="32"/>
          <w:highlight w:val="none"/>
          <w:lang w:eastAsia="zh-CN"/>
        </w:rPr>
        <w:t>决算</w:t>
      </w:r>
      <w:r>
        <w:rPr>
          <w:rFonts w:hint="eastAsia" w:ascii="仿宋_GB2312" w:hAnsi="仿宋_GB2312" w:eastAsia="仿宋_GB2312" w:cs="仿宋_GB2312"/>
          <w:sz w:val="32"/>
          <w:szCs w:val="32"/>
          <w:highlight w:val="none"/>
        </w:rPr>
        <w:t>情况</w:t>
      </w:r>
      <w:r>
        <w:rPr>
          <w:rFonts w:hint="eastAsia" w:ascii="仿宋_GB2312" w:hAnsi="仿宋_GB2312" w:eastAsia="仿宋_GB2312" w:cs="仿宋_GB2312"/>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79137B95">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sz w:val="32"/>
          <w:szCs w:val="32"/>
          <w:highlight w:val="none"/>
        </w:rPr>
        <w:t>、其他重要事项的情况</w:t>
      </w:r>
      <w:r>
        <w:rPr>
          <w:rFonts w:hint="eastAsia" w:ascii="仿宋_GB2312" w:hAnsi="仿宋_GB2312" w:eastAsia="仿宋_GB2312" w:cs="仿宋_GB2312"/>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7D171D1A">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06E3C957">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EF27321">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48142237">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sz w:val="32"/>
          <w:szCs w:val="32"/>
          <w:highlight w:val="none"/>
          <w:lang w:val="en-US" w:eastAsia="zh-CN"/>
        </w:rPr>
        <w:t>一</w:t>
      </w:r>
      <w:r>
        <w:rPr>
          <w:rFonts w:hint="eastAsia" w:ascii="仿宋_GB2312" w:hAnsi="仿宋_GB2312" w:eastAsia="仿宋_GB2312" w:cs="仿宋_GB2312"/>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3B7952DC">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7BA3DCF4">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44A2EC6E">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13492F41">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650FF71">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二、《收入决算表》</w:t>
      </w:r>
      <w:r>
        <w:rPr>
          <w:rFonts w:hint="eastAsia" w:ascii="仿宋_GB2312" w:hAnsi="仿宋_GB2312" w:eastAsia="仿宋_GB2312" w:cs="仿宋_GB2312"/>
          <w:sz w:val="32"/>
          <w:szCs w:val="32"/>
          <w:highlight w:val="none"/>
        </w:rPr>
        <w:fldChar w:fldCharType="end"/>
      </w:r>
    </w:p>
    <w:p w14:paraId="7C2136F2">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三、《支出决算表》</w:t>
      </w:r>
      <w:r>
        <w:rPr>
          <w:rFonts w:hint="eastAsia" w:ascii="仿宋_GB2312" w:hAnsi="仿宋_GB2312" w:eastAsia="仿宋_GB2312" w:cs="仿宋_GB2312"/>
          <w:sz w:val="32"/>
          <w:szCs w:val="32"/>
          <w:highlight w:val="none"/>
        </w:rPr>
        <w:fldChar w:fldCharType="end"/>
      </w:r>
    </w:p>
    <w:p w14:paraId="2F87526E">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0BCB7A79">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2C8BA777">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37730061">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38BCE170">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八、《</w:t>
      </w:r>
      <w:r>
        <w:rPr>
          <w:rFonts w:hint="eastAsia" w:ascii="仿宋_GB2312" w:hAnsi="仿宋_GB2312" w:eastAsia="仿宋_GB2312" w:cs="仿宋_GB2312"/>
          <w:sz w:val="32"/>
          <w:szCs w:val="32"/>
          <w:highlight w:val="none"/>
          <w:lang w:eastAsia="zh-CN"/>
        </w:rPr>
        <w:t>国有资本经营</w:t>
      </w:r>
      <w:r>
        <w:rPr>
          <w:rFonts w:hint="eastAsia" w:ascii="仿宋_GB2312" w:hAnsi="仿宋_GB2312" w:eastAsia="仿宋_GB2312" w:cs="仿宋_GB2312"/>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89B7AF6">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val="en-US" w:eastAsia="zh-CN"/>
        </w:rPr>
        <w:t>九</w:t>
      </w:r>
      <w:r>
        <w:rPr>
          <w:rFonts w:hint="eastAsia" w:ascii="仿宋_GB2312" w:hAnsi="仿宋_GB2312" w:eastAsia="仿宋_GB2312" w:cs="仿宋_GB2312"/>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117474A1">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356F792">
      <w:pPr>
        <w:keepNext w:val="0"/>
        <w:keepLines w:val="0"/>
        <w:pageBreakBefore w:val="0"/>
        <w:widowControl w:val="0"/>
        <w:kinsoku/>
        <w:wordWrap/>
        <w:overflowPunct/>
        <w:topLinePunct w:val="0"/>
        <w:autoSpaceDE/>
        <w:autoSpaceDN/>
        <w:bidi w:val="0"/>
        <w:adjustRightInd/>
        <w:snapToGrid/>
        <w:spacing w:line="560" w:lineRule="exact"/>
        <w:textAlignment w:val="auto"/>
      </w:pPr>
      <w:r>
        <w:br w:type="page"/>
      </w:r>
    </w:p>
    <w:p w14:paraId="1F0660A6">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1"/>
      </w:pPr>
      <w:r>
        <w:rPr>
          <w:rFonts w:ascii="黑体" w:hAnsi="黑体" w:eastAsia="黑体"/>
          <w:sz w:val="32"/>
        </w:rPr>
        <w:t>第一部分 单位概况</w:t>
      </w:r>
    </w:p>
    <w:p w14:paraId="471B3A7A">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一、主要职能</w:t>
      </w:r>
    </w:p>
    <w:p w14:paraId="38725BBA">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hint="eastAsia" w:ascii="仿宋_GB2312" w:hAnsi="仿宋_GB2312" w:eastAsia="仿宋_GB2312"/>
          <w:sz w:val="32"/>
          <w:lang w:eastAsia="zh-CN"/>
        </w:rPr>
        <w:t>1.</w:t>
      </w:r>
      <w:r>
        <w:rPr>
          <w:rFonts w:ascii="仿宋_GB2312" w:hAnsi="仿宋_GB2312" w:eastAsia="仿宋_GB2312"/>
          <w:sz w:val="32"/>
        </w:rPr>
        <w:t>贯彻落实国家环境保护基本制度。</w:t>
      </w:r>
    </w:p>
    <w:p w14:paraId="5A14DA3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hint="eastAsia" w:ascii="仿宋_GB2312" w:hAnsi="仿宋_GB2312" w:eastAsia="仿宋_GB2312"/>
          <w:sz w:val="32"/>
          <w:lang w:eastAsia="zh-CN"/>
        </w:rPr>
        <w:t>2.</w:t>
      </w:r>
      <w:r>
        <w:rPr>
          <w:rFonts w:ascii="仿宋_GB2312" w:hAnsi="仿宋_GB2312" w:eastAsia="仿宋_GB2312"/>
          <w:sz w:val="32"/>
        </w:rPr>
        <w:t>负责重大生态环境问题的统筹协调和监督管理。</w:t>
      </w:r>
    </w:p>
    <w:p w14:paraId="72EC8AB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hint="eastAsia" w:ascii="仿宋_GB2312" w:hAnsi="仿宋_GB2312" w:eastAsia="仿宋_GB2312"/>
          <w:sz w:val="32"/>
          <w:lang w:eastAsia="zh-CN"/>
        </w:rPr>
        <w:t>3.</w:t>
      </w:r>
      <w:r>
        <w:rPr>
          <w:rFonts w:ascii="仿宋_GB2312" w:hAnsi="仿宋_GB2312" w:eastAsia="仿宋_GB2312"/>
          <w:sz w:val="32"/>
        </w:rPr>
        <w:t>负责监督管理减排目标的落实。</w:t>
      </w:r>
    </w:p>
    <w:p w14:paraId="04142A5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hint="eastAsia" w:ascii="仿宋_GB2312" w:hAnsi="仿宋_GB2312" w:eastAsia="仿宋_GB2312"/>
          <w:sz w:val="32"/>
          <w:lang w:eastAsia="zh-CN"/>
        </w:rPr>
        <w:t>4.</w:t>
      </w:r>
      <w:r>
        <w:rPr>
          <w:rFonts w:ascii="仿宋_GB2312" w:hAnsi="仿宋_GB2312" w:eastAsia="仿宋_GB2312"/>
          <w:sz w:val="32"/>
        </w:rPr>
        <w:t>负责环境污染防治的监督管理。</w:t>
      </w:r>
    </w:p>
    <w:p w14:paraId="19D7111E">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hint="eastAsia" w:ascii="仿宋_GB2312" w:hAnsi="仿宋_GB2312" w:eastAsia="仿宋_GB2312"/>
          <w:sz w:val="32"/>
          <w:lang w:eastAsia="zh-CN"/>
        </w:rPr>
        <w:t>5.</w:t>
      </w:r>
      <w:r>
        <w:rPr>
          <w:rFonts w:ascii="仿宋_GB2312" w:hAnsi="仿宋_GB2312" w:eastAsia="仿宋_GB2312"/>
          <w:sz w:val="32"/>
        </w:rPr>
        <w:t>指导协调和监督生态保护修复工作。</w:t>
      </w:r>
    </w:p>
    <w:p w14:paraId="74084C55">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hint="eastAsia" w:ascii="仿宋_GB2312" w:hAnsi="仿宋_GB2312" w:eastAsia="仿宋_GB2312"/>
          <w:sz w:val="32"/>
          <w:lang w:eastAsia="zh-CN"/>
        </w:rPr>
        <w:t>6.</w:t>
      </w:r>
      <w:r>
        <w:rPr>
          <w:rFonts w:ascii="仿宋_GB2312" w:hAnsi="仿宋_GB2312" w:eastAsia="仿宋_GB2312"/>
          <w:sz w:val="32"/>
        </w:rPr>
        <w:t>负责实用功能辐射安全的监督管理。</w:t>
      </w:r>
    </w:p>
    <w:p w14:paraId="2777B0EE">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hint="eastAsia" w:ascii="仿宋_GB2312" w:hAnsi="仿宋_GB2312" w:eastAsia="仿宋_GB2312"/>
          <w:sz w:val="32"/>
          <w:lang w:eastAsia="zh-CN"/>
        </w:rPr>
        <w:t>7.</w:t>
      </w:r>
      <w:r>
        <w:rPr>
          <w:rFonts w:ascii="仿宋_GB2312" w:hAnsi="仿宋_GB2312" w:eastAsia="仿宋_GB2312"/>
          <w:sz w:val="32"/>
        </w:rPr>
        <w:t>指导协调和监督生态保护修复工作。</w:t>
      </w:r>
    </w:p>
    <w:p w14:paraId="0A3EFD5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hint="eastAsia" w:ascii="仿宋_GB2312" w:hAnsi="仿宋_GB2312" w:eastAsia="仿宋_GB2312"/>
          <w:sz w:val="32"/>
          <w:lang w:eastAsia="zh-CN"/>
        </w:rPr>
        <w:t>8.</w:t>
      </w:r>
      <w:r>
        <w:rPr>
          <w:rFonts w:ascii="仿宋_GB2312" w:hAnsi="仿宋_GB2312" w:eastAsia="仿宋_GB2312"/>
          <w:sz w:val="32"/>
        </w:rPr>
        <w:t>负责应对气候变化工作。</w:t>
      </w:r>
    </w:p>
    <w:p w14:paraId="5747021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hint="eastAsia" w:ascii="仿宋_GB2312" w:hAnsi="仿宋_GB2312" w:eastAsia="仿宋_GB2312"/>
          <w:sz w:val="32"/>
          <w:lang w:eastAsia="zh-CN"/>
        </w:rPr>
        <w:t>9.</w:t>
      </w:r>
      <w:r>
        <w:rPr>
          <w:rFonts w:ascii="仿宋_GB2312" w:hAnsi="仿宋_GB2312" w:eastAsia="仿宋_GB2312"/>
          <w:sz w:val="32"/>
        </w:rPr>
        <w:t>组织指导和协调生态环境保护宣传教育工作。</w:t>
      </w:r>
    </w:p>
    <w:p w14:paraId="2556E22A">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hint="eastAsia" w:ascii="仿宋_GB2312" w:hAnsi="仿宋_GB2312" w:eastAsia="仿宋_GB2312"/>
          <w:sz w:val="32"/>
          <w:lang w:eastAsia="zh-CN"/>
        </w:rPr>
        <w:t>10.</w:t>
      </w:r>
      <w:r>
        <w:rPr>
          <w:rFonts w:ascii="仿宋_GB2312" w:hAnsi="仿宋_GB2312" w:eastAsia="仿宋_GB2312"/>
          <w:sz w:val="32"/>
        </w:rPr>
        <w:t>完成地区生态环境局</w:t>
      </w:r>
      <w:r>
        <w:rPr>
          <w:rFonts w:hint="eastAsia" w:ascii="仿宋_GB2312" w:hAnsi="仿宋_GB2312" w:eastAsia="仿宋_GB2312"/>
          <w:sz w:val="32"/>
          <w:lang w:eastAsia="zh-CN"/>
        </w:rPr>
        <w:t>、</w:t>
      </w:r>
      <w:r>
        <w:rPr>
          <w:rFonts w:hint="eastAsia" w:ascii="仿宋_GB2312" w:hAnsi="仿宋_GB2312" w:eastAsia="仿宋_GB2312"/>
          <w:sz w:val="32"/>
          <w:lang w:val="en-US" w:eastAsia="zh-CN"/>
        </w:rPr>
        <w:t>市</w:t>
      </w:r>
      <w:r>
        <w:rPr>
          <w:rFonts w:ascii="仿宋_GB2312" w:hAnsi="仿宋_GB2312" w:eastAsia="仿宋_GB2312"/>
          <w:sz w:val="32"/>
        </w:rPr>
        <w:t>委、</w:t>
      </w:r>
      <w:r>
        <w:rPr>
          <w:rFonts w:hint="eastAsia" w:ascii="仿宋_GB2312" w:hAnsi="仿宋_GB2312" w:eastAsia="仿宋_GB2312"/>
          <w:sz w:val="32"/>
          <w:lang w:val="en-US" w:eastAsia="zh-CN"/>
        </w:rPr>
        <w:t>市</w:t>
      </w:r>
      <w:r>
        <w:rPr>
          <w:rFonts w:ascii="仿宋_GB2312" w:hAnsi="仿宋_GB2312" w:eastAsia="仿宋_GB2312"/>
          <w:sz w:val="32"/>
        </w:rPr>
        <w:t>政府交办的其他任务。</w:t>
      </w:r>
    </w:p>
    <w:p w14:paraId="1C2F850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二、机构设置及人员情况</w:t>
      </w:r>
    </w:p>
    <w:p w14:paraId="452007AE">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hAnsi="仿宋_GB2312" w:eastAsia="仿宋_GB2312"/>
          <w:sz w:val="32"/>
        </w:rPr>
      </w:pPr>
      <w:r>
        <w:rPr>
          <w:rFonts w:ascii="仿宋_GB2312" w:hAnsi="仿宋_GB2312" w:eastAsia="仿宋_GB2312"/>
          <w:sz w:val="32"/>
        </w:rPr>
        <w:t>和田地区生态环境局和田市分局2024年度，实有人数37人，其中：在职人员27人，增加27人；离休人员0人，增加0人；退休人员10人,增加10人。</w:t>
      </w:r>
    </w:p>
    <w:p w14:paraId="1273C8D1">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hAnsi="仿宋_GB2312" w:eastAsia="仿宋_GB2312"/>
          <w:sz w:val="32"/>
        </w:rPr>
      </w:pPr>
      <w:r>
        <w:rPr>
          <w:rFonts w:ascii="仿宋_GB2312" w:hAnsi="仿宋_GB2312" w:eastAsia="仿宋_GB2312"/>
          <w:sz w:val="32"/>
        </w:rPr>
        <w:t>和田地区生态环境局和田市分局无下属预算单位，下设4个科室，分别是：办公室、财务室、环境执法大队、环境监测站。</w:t>
      </w:r>
    </w:p>
    <w:p w14:paraId="5C9DDBC0">
      <w:pPr>
        <w:keepNext w:val="0"/>
        <w:keepLines w:val="0"/>
        <w:pageBreakBefore w:val="0"/>
        <w:widowControl w:val="0"/>
        <w:kinsoku/>
        <w:wordWrap/>
        <w:overflowPunct/>
        <w:topLinePunct w:val="0"/>
        <w:autoSpaceDE/>
        <w:autoSpaceDN/>
        <w:bidi w:val="0"/>
        <w:adjustRightInd/>
        <w:snapToGrid/>
        <w:spacing w:line="560" w:lineRule="exact"/>
        <w:textAlignment w:val="auto"/>
      </w:pPr>
      <w:r>
        <w:br w:type="page"/>
      </w:r>
    </w:p>
    <w:p w14:paraId="50D64C4E">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1"/>
        <w:rPr>
          <w:rFonts w:ascii="黑体" w:hAnsi="黑体" w:eastAsia="黑体"/>
          <w:sz w:val="32"/>
        </w:rPr>
      </w:pPr>
      <w:r>
        <w:rPr>
          <w:rFonts w:ascii="黑体" w:hAnsi="黑体" w:eastAsia="黑体"/>
          <w:sz w:val="32"/>
        </w:rPr>
        <w:t>第二部分 部门决算情况说明</w:t>
      </w:r>
    </w:p>
    <w:p w14:paraId="549B3515">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1"/>
        <w:rPr>
          <w:rFonts w:ascii="黑体" w:hAnsi="黑体" w:eastAsia="黑体"/>
          <w:sz w:val="32"/>
        </w:rPr>
      </w:pPr>
    </w:p>
    <w:p w14:paraId="202AB021">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rPr>
          <w:rFonts w:ascii="黑体" w:hAnsi="黑体" w:eastAsia="黑体"/>
          <w:sz w:val="32"/>
        </w:rPr>
      </w:pPr>
      <w:r>
        <w:rPr>
          <w:rFonts w:ascii="黑体" w:hAnsi="黑体" w:eastAsia="黑体"/>
          <w:sz w:val="32"/>
        </w:rPr>
        <w:t>一、收入支出决算总体情况说明</w:t>
      </w:r>
    </w:p>
    <w:p w14:paraId="0BDFFEC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hAnsi="仿宋_GB2312" w:eastAsia="仿宋_GB2312"/>
          <w:b w:val="0"/>
          <w:sz w:val="32"/>
        </w:rPr>
      </w:pPr>
      <w:r>
        <w:rPr>
          <w:rFonts w:ascii="仿宋_GB2312" w:hAnsi="仿宋_GB2312" w:eastAsia="仿宋_GB2312"/>
          <w:b/>
          <w:sz w:val="32"/>
        </w:rPr>
        <w:t>2024年度收入总计926.94万元，</w:t>
      </w:r>
      <w:r>
        <w:rPr>
          <w:rFonts w:ascii="仿宋_GB2312" w:hAnsi="仿宋_GB2312" w:eastAsia="仿宋_GB2312"/>
          <w:b w:val="0"/>
          <w:sz w:val="32"/>
        </w:rPr>
        <w:t>其中：本年收入合计926.94万元，使用非财政拨款结余（含专用结余）0.00万元，年初结转和结余0.00万元。</w:t>
      </w:r>
    </w:p>
    <w:p w14:paraId="0E90A23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hAnsi="仿宋_GB2312" w:eastAsia="仿宋_GB2312"/>
          <w:b w:val="0"/>
          <w:sz w:val="32"/>
        </w:rPr>
      </w:pPr>
      <w:r>
        <w:rPr>
          <w:rFonts w:ascii="仿宋_GB2312" w:hAnsi="仿宋_GB2312" w:eastAsia="仿宋_GB2312"/>
          <w:b/>
          <w:sz w:val="32"/>
        </w:rPr>
        <w:t>2024年度支出总计926.94万元，</w:t>
      </w:r>
      <w:r>
        <w:rPr>
          <w:rFonts w:ascii="仿宋_GB2312" w:hAnsi="仿宋_GB2312" w:eastAsia="仿宋_GB2312"/>
          <w:b w:val="0"/>
          <w:sz w:val="32"/>
        </w:rPr>
        <w:t>其中：本年支出合计926.94万元，结余分配0.00万元，年末结转和结余0.00万元。</w:t>
      </w:r>
    </w:p>
    <w:p w14:paraId="23354A68">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hAnsi="仿宋_GB2312" w:eastAsia="仿宋_GB2312"/>
          <w:b w:val="0"/>
          <w:sz w:val="32"/>
        </w:rPr>
      </w:pPr>
      <w:r>
        <w:rPr>
          <w:rFonts w:ascii="仿宋_GB2312" w:hAnsi="仿宋_GB2312" w:eastAsia="仿宋_GB2312"/>
          <w:b w:val="0"/>
          <w:sz w:val="32"/>
        </w:rPr>
        <w:t>收入支出总体与上年相比，增加926.94万元，增长100.00%，主要原因是：本单位为2024年1月新增单位，无上年对比数据。</w:t>
      </w:r>
    </w:p>
    <w:p w14:paraId="3459D81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rPr>
          <w:rFonts w:ascii="黑体" w:hAnsi="黑体" w:eastAsia="黑体"/>
          <w:sz w:val="32"/>
        </w:rPr>
      </w:pPr>
      <w:r>
        <w:rPr>
          <w:rFonts w:ascii="黑体" w:hAnsi="黑体" w:eastAsia="黑体"/>
          <w:sz w:val="32"/>
        </w:rPr>
        <w:t>二、收入决算情况说明</w:t>
      </w:r>
    </w:p>
    <w:p w14:paraId="6D086D9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hAnsi="仿宋_GB2312" w:eastAsia="仿宋_GB2312"/>
          <w:b w:val="0"/>
          <w:sz w:val="32"/>
        </w:rPr>
      </w:pPr>
      <w:r>
        <w:rPr>
          <w:rFonts w:ascii="仿宋_GB2312" w:hAnsi="仿宋_GB2312" w:eastAsia="仿宋_GB2312"/>
          <w:b/>
          <w:sz w:val="32"/>
        </w:rPr>
        <w:t>本年收入926.94万元，</w:t>
      </w:r>
      <w:r>
        <w:rPr>
          <w:rFonts w:ascii="仿宋_GB2312" w:hAnsi="仿宋_GB2312" w:eastAsia="仿宋_GB2312"/>
          <w:b w:val="0"/>
          <w:sz w:val="32"/>
        </w:rPr>
        <w:t>其中：财政拨款收入639.74万元，占69.02%；上级补助收入0.00万元，占0.00%；事业收入0.00万元，占0.00%；经营收入0.00万元，占0.00%；附属单位上缴收入0.00万元，占0.00%；其他收入287.20万元，占30.98%。</w:t>
      </w:r>
    </w:p>
    <w:p w14:paraId="7482EA5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rPr>
          <w:rFonts w:ascii="黑体" w:hAnsi="黑体" w:eastAsia="黑体"/>
          <w:sz w:val="32"/>
        </w:rPr>
      </w:pPr>
      <w:r>
        <w:rPr>
          <w:rFonts w:ascii="黑体" w:hAnsi="黑体" w:eastAsia="黑体"/>
          <w:sz w:val="32"/>
        </w:rPr>
        <w:t>三、支出决算情况说明</w:t>
      </w:r>
    </w:p>
    <w:p w14:paraId="21F1BCA7">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本年支出926.94万元，</w:t>
      </w:r>
      <w:r>
        <w:rPr>
          <w:rFonts w:ascii="仿宋_GB2312" w:hAnsi="仿宋_GB2312" w:eastAsia="仿宋_GB2312"/>
          <w:b w:val="0"/>
          <w:sz w:val="32"/>
        </w:rPr>
        <w:t>其中：基本支出599.74万元，占64.70%；项目支出327.20万元，占35.30%；上缴上级支出0.00万元，占0.00%；经营支出0.00万元，占0.00%；对附属单位补助支出0.00万元，占0.00%。</w:t>
      </w:r>
    </w:p>
    <w:p w14:paraId="24B87111">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rPr>
          <w:rFonts w:ascii="黑体" w:hAnsi="黑体" w:eastAsia="黑体"/>
          <w:sz w:val="32"/>
        </w:rPr>
      </w:pPr>
      <w:r>
        <w:rPr>
          <w:rFonts w:ascii="黑体" w:hAnsi="黑体" w:eastAsia="黑体"/>
          <w:sz w:val="32"/>
        </w:rPr>
        <w:t>四、财政拨款收入支出决算总体情况说明</w:t>
      </w:r>
    </w:p>
    <w:p w14:paraId="7E7979D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2024年度财政拨款收入总计639.74万元，</w:t>
      </w:r>
      <w:r>
        <w:rPr>
          <w:rFonts w:ascii="仿宋_GB2312" w:hAnsi="仿宋_GB2312" w:eastAsia="仿宋_GB2312"/>
          <w:b w:val="0"/>
          <w:sz w:val="32"/>
        </w:rPr>
        <w:t>其中：年初财政拨款结转和结余0.00万元，本年财政拨款收入639.74万元。</w:t>
      </w:r>
      <w:r>
        <w:rPr>
          <w:rFonts w:ascii="仿宋_GB2312" w:hAnsi="仿宋_GB2312" w:eastAsia="仿宋_GB2312"/>
          <w:b/>
          <w:sz w:val="32"/>
        </w:rPr>
        <w:t>财政拨款支出总计639.74万元，</w:t>
      </w:r>
      <w:r>
        <w:rPr>
          <w:rFonts w:ascii="仿宋_GB2312" w:hAnsi="仿宋_GB2312" w:eastAsia="仿宋_GB2312"/>
          <w:b w:val="0"/>
          <w:sz w:val="32"/>
        </w:rPr>
        <w:t>其中：年末财政拨款结转和结余0.00万元，本年财政拨款支出639.74万元。</w:t>
      </w:r>
    </w:p>
    <w:p w14:paraId="03A6A87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hAnsi="仿宋_GB2312" w:eastAsia="仿宋_GB2312"/>
          <w:b w:val="0"/>
          <w:sz w:val="32"/>
        </w:rPr>
      </w:pPr>
      <w:r>
        <w:rPr>
          <w:rFonts w:ascii="仿宋_GB2312" w:hAnsi="仿宋_GB2312" w:eastAsia="仿宋_GB2312"/>
          <w:b/>
          <w:sz w:val="32"/>
        </w:rPr>
        <w:t>财政拨款收入支出总体与上年相比，</w:t>
      </w:r>
      <w:r>
        <w:rPr>
          <w:rFonts w:ascii="仿宋_GB2312" w:hAnsi="仿宋_GB2312" w:eastAsia="仿宋_GB2312"/>
          <w:b w:val="0"/>
          <w:sz w:val="32"/>
        </w:rPr>
        <w:t>增加639.74万元，增长100.00%，主要原因是：本单位为2024年1月新增单位，无上年对比数据。</w:t>
      </w:r>
      <w:r>
        <w:rPr>
          <w:rFonts w:ascii="仿宋_GB2312" w:hAnsi="仿宋_GB2312" w:eastAsia="仿宋_GB2312"/>
          <w:b/>
          <w:sz w:val="32"/>
        </w:rPr>
        <w:t>与年初预算相比，</w:t>
      </w:r>
      <w:r>
        <w:rPr>
          <w:rFonts w:ascii="仿宋_GB2312" w:hAnsi="仿宋_GB2312" w:eastAsia="仿宋_GB2312"/>
          <w:b w:val="0"/>
          <w:sz w:val="32"/>
        </w:rPr>
        <w:t>年初预算数598.70万元，决算数639.74万元，预决算差异率6.85%，主要原因是：年中追加人员经费及人员工资、社保、公积金基数调增部分资金，导致预决算存在差异。</w:t>
      </w:r>
    </w:p>
    <w:p w14:paraId="6D49B298">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五、一般公共预算财政拨款支出决算情况说明</w:t>
      </w:r>
    </w:p>
    <w:p w14:paraId="12A4F29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hAnsi="仿宋_GB2312" w:eastAsia="仿宋_GB2312"/>
          <w:b/>
          <w:sz w:val="32"/>
        </w:rPr>
      </w:pPr>
      <w:r>
        <w:rPr>
          <w:rFonts w:ascii="仿宋_GB2312" w:hAnsi="仿宋_GB2312" w:eastAsia="仿宋_GB2312"/>
          <w:b/>
          <w:sz w:val="32"/>
        </w:rPr>
        <w:t>（一）一般公共预算财政拨款支出决算总体情况</w:t>
      </w:r>
    </w:p>
    <w:p w14:paraId="12041F58">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2024年度一般公共预算财政拨款支出639.74万元，</w:t>
      </w:r>
      <w:r>
        <w:rPr>
          <w:rFonts w:ascii="仿宋_GB2312" w:hAnsi="仿宋_GB2312" w:eastAsia="仿宋_GB2312"/>
          <w:b w:val="0"/>
          <w:sz w:val="32"/>
        </w:rPr>
        <w:t>占本年支出合计的69.02%。</w:t>
      </w:r>
      <w:r>
        <w:rPr>
          <w:rFonts w:ascii="仿宋_GB2312" w:hAnsi="仿宋_GB2312" w:eastAsia="仿宋_GB2312"/>
          <w:b/>
          <w:sz w:val="32"/>
        </w:rPr>
        <w:t>与上年相比，</w:t>
      </w:r>
      <w:r>
        <w:rPr>
          <w:rFonts w:ascii="仿宋_GB2312" w:hAnsi="仿宋_GB2312" w:eastAsia="仿宋_GB2312"/>
          <w:b w:val="0"/>
          <w:sz w:val="32"/>
        </w:rPr>
        <w:t>增加639.74万元，增长100.00%，主要原因是：本单位为2024年1月新增单位，无上年对比数据。</w:t>
      </w:r>
      <w:r>
        <w:rPr>
          <w:rFonts w:ascii="仿宋_GB2312" w:hAnsi="仿宋_GB2312" w:eastAsia="仿宋_GB2312"/>
          <w:b/>
          <w:sz w:val="32"/>
        </w:rPr>
        <w:t>与年初预算相比,</w:t>
      </w:r>
      <w:r>
        <w:rPr>
          <w:rFonts w:ascii="仿宋_GB2312" w:hAnsi="仿宋_GB2312" w:eastAsia="仿宋_GB2312"/>
          <w:b w:val="0"/>
          <w:sz w:val="32"/>
        </w:rPr>
        <w:t>年初预算数598.70万元，决算数639.74万元，预决算差异率6.85%，主要原因是：年中追加人员经费及人员工资、社保、公积金基数调增部分资金，导致预决算存在差异。</w:t>
      </w:r>
    </w:p>
    <w:p w14:paraId="44FE5E6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hAnsi="仿宋_GB2312" w:eastAsia="仿宋_GB2312"/>
          <w:b/>
          <w:sz w:val="32"/>
        </w:rPr>
      </w:pPr>
      <w:r>
        <w:rPr>
          <w:rFonts w:ascii="仿宋_GB2312" w:hAnsi="仿宋_GB2312" w:eastAsia="仿宋_GB2312"/>
          <w:b/>
          <w:sz w:val="32"/>
        </w:rPr>
        <w:t>（二）一般公共预算财政拨款支出决算结构情况</w:t>
      </w:r>
    </w:p>
    <w:p w14:paraId="1E33284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hAnsi="仿宋_GB2312" w:eastAsia="仿宋_GB2312"/>
          <w:b w:val="0"/>
          <w:sz w:val="32"/>
        </w:rPr>
      </w:pPr>
      <w:r>
        <w:rPr>
          <w:rFonts w:ascii="仿宋_GB2312" w:hAnsi="仿宋_GB2312" w:eastAsia="仿宋_GB2312"/>
          <w:b w:val="0"/>
          <w:sz w:val="32"/>
        </w:rPr>
        <w:t>1.社会保障和就业支出(类)69.85万元,占10.92%。</w:t>
      </w:r>
    </w:p>
    <w:p w14:paraId="162F62D7">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hAnsi="仿宋_GB2312" w:eastAsia="仿宋_GB2312"/>
          <w:b w:val="0"/>
          <w:sz w:val="32"/>
        </w:rPr>
      </w:pPr>
      <w:r>
        <w:rPr>
          <w:rFonts w:ascii="仿宋_GB2312" w:hAnsi="仿宋_GB2312" w:eastAsia="仿宋_GB2312"/>
          <w:b w:val="0"/>
          <w:sz w:val="32"/>
        </w:rPr>
        <w:t>2.卫生健康支出(类)32.34万元,占5.06%。</w:t>
      </w:r>
    </w:p>
    <w:p w14:paraId="57D4ECA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hAnsi="仿宋_GB2312" w:eastAsia="仿宋_GB2312"/>
          <w:b w:val="0"/>
          <w:sz w:val="32"/>
        </w:rPr>
      </w:pPr>
      <w:r>
        <w:rPr>
          <w:rFonts w:ascii="仿宋_GB2312" w:hAnsi="仿宋_GB2312" w:eastAsia="仿宋_GB2312"/>
          <w:b w:val="0"/>
          <w:sz w:val="32"/>
        </w:rPr>
        <w:t>3.节能环保支出(类)470.45万元,占73.54%。</w:t>
      </w:r>
    </w:p>
    <w:p w14:paraId="25BE73F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hAnsi="仿宋_GB2312" w:eastAsia="仿宋_GB2312"/>
          <w:b w:val="0"/>
          <w:sz w:val="32"/>
        </w:rPr>
      </w:pPr>
      <w:r>
        <w:rPr>
          <w:rFonts w:ascii="仿宋_GB2312" w:hAnsi="仿宋_GB2312" w:eastAsia="仿宋_GB2312"/>
          <w:b w:val="0"/>
          <w:sz w:val="32"/>
        </w:rPr>
        <w:t>4.住房保障支出(类)42.11万元,占6.58%。</w:t>
      </w:r>
    </w:p>
    <w:p w14:paraId="3ADD0B7E">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hAnsi="仿宋_GB2312" w:eastAsia="仿宋_GB2312"/>
          <w:b w:val="0"/>
          <w:sz w:val="32"/>
        </w:rPr>
      </w:pPr>
      <w:r>
        <w:rPr>
          <w:rFonts w:ascii="仿宋_GB2312" w:hAnsi="仿宋_GB2312" w:eastAsia="仿宋_GB2312"/>
          <w:b w:val="0"/>
          <w:sz w:val="32"/>
        </w:rPr>
        <w:t>5.其他支出(类)25.00万元,占3.91%。</w:t>
      </w:r>
    </w:p>
    <w:p w14:paraId="6ECD357E">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hAnsi="仿宋_GB2312" w:eastAsia="仿宋_GB2312"/>
          <w:b/>
          <w:sz w:val="32"/>
        </w:rPr>
      </w:pPr>
      <w:r>
        <w:rPr>
          <w:rFonts w:ascii="仿宋_GB2312" w:hAnsi="仿宋_GB2312" w:eastAsia="仿宋_GB2312"/>
          <w:b/>
          <w:sz w:val="32"/>
        </w:rPr>
        <w:t>（三）一般公共预算财政拨款支出决算具体情况</w:t>
      </w:r>
    </w:p>
    <w:p w14:paraId="133CDDD9">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hAnsi="仿宋_GB2312" w:eastAsia="仿宋_GB2312"/>
          <w:b w:val="0"/>
          <w:sz w:val="32"/>
        </w:rPr>
      </w:pPr>
      <w:r>
        <w:rPr>
          <w:rFonts w:ascii="仿宋_GB2312" w:hAnsi="仿宋_GB2312" w:eastAsia="仿宋_GB2312"/>
          <w:b w:val="0"/>
          <w:sz w:val="32"/>
        </w:rPr>
        <w:t>1.社会保障和就业支出(类)行政事业单位养老支出(款)行政单位离退休(项):支出决算数为14.53万元，比上年决算增加14.53万元，增长100.00%,主要原因是：本单位为2024年1月新增单位，无上年对比数据。</w:t>
      </w:r>
    </w:p>
    <w:p w14:paraId="17CE9BC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hAnsi="仿宋_GB2312" w:eastAsia="仿宋_GB2312"/>
          <w:b w:val="0"/>
          <w:sz w:val="32"/>
        </w:rPr>
      </w:pPr>
      <w:r>
        <w:rPr>
          <w:rFonts w:ascii="仿宋_GB2312" w:hAnsi="仿宋_GB2312" w:eastAsia="仿宋_GB2312"/>
          <w:b w:val="0"/>
          <w:sz w:val="32"/>
        </w:rPr>
        <w:t>2.社会保障和就业支出(类)行政事业单位养老支出(款)机关事业单位基本养老保险缴费支出(项):支出决算数为55.32万元，比上年决算增加55.32万元，增长100.00%,主要原因是：本单位为2024年1月新增单位，无上年对比数据。</w:t>
      </w:r>
    </w:p>
    <w:p w14:paraId="70A47541">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hAnsi="仿宋_GB2312" w:eastAsia="仿宋_GB2312"/>
          <w:b w:val="0"/>
          <w:sz w:val="32"/>
        </w:rPr>
      </w:pPr>
      <w:r>
        <w:rPr>
          <w:rFonts w:ascii="仿宋_GB2312" w:hAnsi="仿宋_GB2312" w:eastAsia="仿宋_GB2312"/>
          <w:b w:val="0"/>
          <w:sz w:val="32"/>
        </w:rPr>
        <w:t>3.卫生健康支出(类)行政事业单位医疗(款)行政单位医疗(项):支出决算数为22.47万元，比上年决算增加22.47万元，增长100.00%,主要原因是：本单位为2024年1月新增单位，无上年对比数据。</w:t>
      </w:r>
    </w:p>
    <w:p w14:paraId="181FDA8E">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hAnsi="仿宋_GB2312" w:eastAsia="仿宋_GB2312"/>
          <w:b w:val="0"/>
          <w:sz w:val="32"/>
        </w:rPr>
      </w:pPr>
      <w:r>
        <w:rPr>
          <w:rFonts w:ascii="仿宋_GB2312" w:hAnsi="仿宋_GB2312" w:eastAsia="仿宋_GB2312"/>
          <w:b w:val="0"/>
          <w:sz w:val="32"/>
        </w:rPr>
        <w:t>4.卫生健康支出(类)行政事业单位医疗(款)公务员医疗补助(项):支出决算数为9.87万元，比上年决算增加9.87万元，增长100.00%,主要原因是：本单位为2024年1月新增单位，无上年对比数据。</w:t>
      </w:r>
    </w:p>
    <w:p w14:paraId="45402603">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hAnsi="仿宋_GB2312" w:eastAsia="仿宋_GB2312"/>
          <w:b w:val="0"/>
          <w:sz w:val="32"/>
        </w:rPr>
      </w:pPr>
      <w:r>
        <w:rPr>
          <w:rFonts w:ascii="仿宋_GB2312" w:hAnsi="仿宋_GB2312" w:eastAsia="仿宋_GB2312"/>
          <w:b w:val="0"/>
          <w:sz w:val="32"/>
        </w:rPr>
        <w:t>5.节能环保支出(类)环境保护管理事务(款)行政运行(项):支出决算数为455.45万元，比上年决算增加455.45万元，增长100.00%,主要原因是：本单位为2024年1月新增单位，无上年对比数据。</w:t>
      </w:r>
    </w:p>
    <w:p w14:paraId="34654E9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hAnsi="仿宋_GB2312" w:eastAsia="仿宋_GB2312"/>
          <w:b w:val="0"/>
          <w:sz w:val="32"/>
        </w:rPr>
      </w:pPr>
      <w:r>
        <w:rPr>
          <w:rFonts w:ascii="仿宋_GB2312" w:hAnsi="仿宋_GB2312" w:eastAsia="仿宋_GB2312"/>
          <w:b w:val="0"/>
          <w:sz w:val="32"/>
        </w:rPr>
        <w:t>6.节能环保支出(类)环境保护管理事务(款)其他环境保护管理事务支出(项):支出决算数为15.00万元，比上年决算增加15.00万元，增长100.00%,主要原因是：本单位为2024年1月新增单位，无上年对比数据。</w:t>
      </w:r>
    </w:p>
    <w:p w14:paraId="60E13847">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hAnsi="仿宋_GB2312" w:eastAsia="仿宋_GB2312"/>
          <w:b w:val="0"/>
          <w:sz w:val="32"/>
        </w:rPr>
      </w:pPr>
      <w:r>
        <w:rPr>
          <w:rFonts w:ascii="仿宋_GB2312" w:hAnsi="仿宋_GB2312" w:eastAsia="仿宋_GB2312"/>
          <w:b w:val="0"/>
          <w:sz w:val="32"/>
        </w:rPr>
        <w:t>7.住房保障支出(类)住房改革支出(款)住房公积金(项):支出决算数为42.11万元，比上年决算增加42.11万元，增长100.00%,主要原因是：本单位为2024年1月新增单位，无上年对比数据。</w:t>
      </w:r>
    </w:p>
    <w:p w14:paraId="6049C25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hAnsi="仿宋_GB2312" w:eastAsia="仿宋_GB2312"/>
          <w:b w:val="0"/>
          <w:sz w:val="32"/>
        </w:rPr>
      </w:pPr>
      <w:r>
        <w:rPr>
          <w:rFonts w:ascii="仿宋_GB2312" w:hAnsi="仿宋_GB2312" w:eastAsia="仿宋_GB2312"/>
          <w:b w:val="0"/>
          <w:sz w:val="32"/>
        </w:rPr>
        <w:t>8.其他支出(类)其他支出(款)其他支出(项):支出决算数为25.00万元，比上年决算增加25.00万元，增长100.00%,主要原因是：本单位为2024年1月新增单位，无上年对比数据。</w:t>
      </w:r>
    </w:p>
    <w:p w14:paraId="77AC7E5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rPr>
          <w:rFonts w:ascii="黑体" w:hAnsi="黑体" w:eastAsia="黑体"/>
          <w:sz w:val="32"/>
        </w:rPr>
      </w:pPr>
      <w:r>
        <w:rPr>
          <w:rFonts w:ascii="黑体" w:hAnsi="黑体" w:eastAsia="黑体"/>
          <w:sz w:val="32"/>
        </w:rPr>
        <w:t>六、一般公共预算财政拨款基本支出决算情况说明</w:t>
      </w:r>
    </w:p>
    <w:p w14:paraId="3AB9D27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hAnsi="仿宋_GB2312" w:eastAsia="仿宋_GB2312"/>
          <w:b w:val="0"/>
          <w:sz w:val="32"/>
        </w:rPr>
      </w:pPr>
      <w:r>
        <w:rPr>
          <w:rFonts w:ascii="仿宋_GB2312" w:hAnsi="仿宋_GB2312" w:eastAsia="仿宋_GB2312"/>
          <w:b w:val="0"/>
          <w:sz w:val="32"/>
        </w:rPr>
        <w:t>2024年度一般公共预算财政拨款基本支出599.74万元，其中：</w:t>
      </w:r>
      <w:r>
        <w:rPr>
          <w:rFonts w:ascii="仿宋_GB2312" w:hAnsi="仿宋_GB2312" w:eastAsia="仿宋_GB2312"/>
          <w:b/>
          <w:sz w:val="32"/>
        </w:rPr>
        <w:t>人员经费561.14万元，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包括：基本工资、津贴补贴、奖金、绩效工资、机关事业单位基本养老保险缴费、职工基本医疗保险缴费、公务员医疗补助缴费、其他社会保障缴费、住房公积金、退休费、生活补助。</w:t>
      </w:r>
    </w:p>
    <w:p w14:paraId="18E849C8">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公用经费38.60万元，</w:t>
      </w:r>
      <w:r>
        <w:rPr>
          <w:rFonts w:ascii="仿宋_GB2312" w:hAnsi="仿宋_GB2312" w:eastAsia="仿宋_GB2312"/>
          <w:b w:val="0"/>
          <w:sz w:val="32"/>
        </w:rPr>
        <w:t>包括：办公费、水费、电费、取暖费、差旅费、工会经费、福利费、公务用车运行维护费。</w:t>
      </w:r>
    </w:p>
    <w:p w14:paraId="4293629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七、政府性基金预算财政拨款收入支出决算情况说明</w:t>
      </w:r>
    </w:p>
    <w:p w14:paraId="3A2F4B3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29EF83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rPr>
          <w:rFonts w:ascii="黑体" w:hAnsi="黑体" w:eastAsia="黑体"/>
          <w:sz w:val="32"/>
        </w:rPr>
      </w:pPr>
      <w:r>
        <w:rPr>
          <w:rFonts w:ascii="黑体" w:hAnsi="黑体" w:eastAsia="黑体"/>
          <w:sz w:val="32"/>
        </w:rPr>
        <w:t>八、国有资本经营预算财政拨款收入支出决算情况说明</w:t>
      </w:r>
    </w:p>
    <w:p w14:paraId="603A43B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9E7E9A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九、财政拨款“三公”经费支出决算情况说明</w:t>
      </w:r>
    </w:p>
    <w:p w14:paraId="73702FC7">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hAnsi="仿宋_GB2312" w:eastAsia="仿宋_GB2312"/>
          <w:b w:val="0"/>
          <w:sz w:val="32"/>
        </w:rPr>
      </w:pPr>
      <w:r>
        <w:rPr>
          <w:rFonts w:ascii="仿宋_GB2312" w:hAnsi="仿宋_GB2312" w:eastAsia="仿宋_GB2312"/>
          <w:b/>
          <w:sz w:val="32"/>
        </w:rPr>
        <w:t>2024年度财政拨款“三公”经费支出7.50万元，</w:t>
      </w:r>
      <w:r>
        <w:rPr>
          <w:rFonts w:ascii="仿宋_GB2312" w:hAnsi="仿宋_GB2312" w:eastAsia="仿宋_GB2312"/>
          <w:b w:val="0"/>
          <w:sz w:val="32"/>
        </w:rPr>
        <w:t>比上年增加7.50万元，增长100.00%，主要原因是：本单位为2024年1月新增单位，无上年对比数据。其中：因公出国（境）费支出0.00万元，占0.00%，比上年增加0.00万元，增长0.00%，主要原因是：2024年未安排因公出国（境）费支出。公务用车购置及运行维护费支出7.50万元，占100.00%，比上年增加7.50万元，增长100.00%，主要原因是：本单位为2024年1月新增单位，无上年对比数据。公务接待费支出0.00万元，占0.00%，比上年增加0.00万元，增长0.00%，主要原因是：2024年未安排公务接待费支出。</w:t>
      </w:r>
    </w:p>
    <w:p w14:paraId="2ECAB3B5">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具体情况如下：</w:t>
      </w:r>
    </w:p>
    <w:p w14:paraId="5136B13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hAnsi="仿宋_GB2312" w:eastAsia="仿宋_GB2312"/>
          <w:b w:val="0"/>
          <w:sz w:val="32"/>
        </w:rPr>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AE63636">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hAnsi="仿宋_GB2312" w:eastAsia="仿宋_GB2312"/>
          <w:b w:val="0"/>
          <w:sz w:val="32"/>
        </w:rPr>
      </w:pPr>
      <w:r>
        <w:rPr>
          <w:rFonts w:ascii="仿宋_GB2312" w:hAnsi="仿宋_GB2312" w:eastAsia="仿宋_GB2312"/>
          <w:b w:val="0"/>
          <w:sz w:val="32"/>
        </w:rPr>
        <w:t>公务用车购置及运行维护费7.50万元，其中：公务用车购置费0.00万元，公务用车运行维护费7.50万元。公务用车运行维护费开支内容包括车辆加油费、维修费、保险费、审车费、过路费等。公务用车购置数0辆，公务用车保有量3辆。国有资产占用情况中固定资产车辆3辆，与公务用车保有量差异原因是：本单位固定资产车辆与公务用车保有量一致无差异。</w:t>
      </w:r>
    </w:p>
    <w:p w14:paraId="3C3D741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hAnsi="仿宋_GB2312" w:eastAsia="仿宋_GB2312"/>
          <w:b w:val="0"/>
          <w:sz w:val="32"/>
        </w:rPr>
      </w:pPr>
      <w:r>
        <w:rPr>
          <w:rFonts w:ascii="仿宋_GB2312" w:hAnsi="仿宋_GB2312" w:eastAsia="仿宋_GB2312"/>
          <w:b w:val="0"/>
          <w:sz w:val="32"/>
        </w:rPr>
        <w:t>公务接待费0.00万元，开支内容包括本单位无公务接待费。单位全年安排的国内公务接待0批次，0人次。</w:t>
      </w:r>
    </w:p>
    <w:p w14:paraId="38F889FE">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7.50万元，决算数7.50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7.50万元，决算数7.50万元，预决算差异率0.00%，主要原因是：严格按照预算执行，预决算无差异。公务接待费全年预算数0.00万元，决算数0.00万元，预决算差异率0.00%，主要原因是：本单位无公务接待费。</w:t>
      </w:r>
    </w:p>
    <w:p w14:paraId="2649268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十、其他重要事项的情况说明</w:t>
      </w:r>
    </w:p>
    <w:p w14:paraId="31435328">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3"/>
      </w:pPr>
      <w:r>
        <w:rPr>
          <w:rFonts w:ascii="楷体_GB2312" w:hAnsi="楷体_GB2312" w:eastAsia="楷体_GB2312"/>
          <w:b/>
          <w:sz w:val="32"/>
        </w:rPr>
        <w:t>（一）机关运行经费及公用经费支出情况</w:t>
      </w:r>
    </w:p>
    <w:p w14:paraId="12FF88C1">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2024年度和田地区生态环境局和田市分局（行政单位和参照公务员法管理事业单位）机关运行经费支出38.60万元，比上年增加38.60万元，增长100.00%，主要原因是：本单位为2024年1月新增单位，无上年对比数据。</w:t>
      </w:r>
    </w:p>
    <w:p w14:paraId="224C355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3"/>
      </w:pPr>
      <w:r>
        <w:rPr>
          <w:rFonts w:ascii="楷体_GB2312" w:hAnsi="楷体_GB2312" w:eastAsia="楷体_GB2312"/>
          <w:b/>
          <w:sz w:val="32"/>
        </w:rPr>
        <w:t>（二）政府采购情况</w:t>
      </w:r>
    </w:p>
    <w:p w14:paraId="4FD1C46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2024年度政府采购支出总额287.49万元，其中：政府采购货物支出130.97万元、政府采购工程支出0.00万元、政府采购服务支出156.52万元。</w:t>
      </w:r>
    </w:p>
    <w:p w14:paraId="343B82F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授予中小企业合同金额124.57万元，占政府采购支出总额的43.33%，其中：授予小微企业合同金额124.57万元，占政府采购支出总额的43.33%。</w:t>
      </w:r>
    </w:p>
    <w:p w14:paraId="4886983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3"/>
      </w:pPr>
      <w:r>
        <w:rPr>
          <w:rFonts w:ascii="楷体_GB2312" w:hAnsi="楷体_GB2312" w:eastAsia="楷体_GB2312"/>
          <w:b/>
          <w:sz w:val="32"/>
        </w:rPr>
        <w:t>（三）国有资产占用情况说明</w:t>
      </w:r>
    </w:p>
    <w:p w14:paraId="23B2A6F9">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截至2024年12月31日，房屋3,925.74平方米，价值854.29万元。车辆3辆，价值52.99万元，其中：副部（省）级及以上领导用车0辆、主要负责人用车0辆、机要通信用车1辆、应急保障用车0辆、执法执勤用车</w:t>
      </w:r>
      <w:r>
        <w:rPr>
          <w:rFonts w:hint="eastAsia" w:ascii="仿宋_GB2312" w:hAnsi="仿宋_GB2312" w:eastAsia="仿宋_GB2312"/>
          <w:b w:val="0"/>
          <w:sz w:val="32"/>
          <w:lang w:val="en-US" w:eastAsia="zh-CN"/>
        </w:rPr>
        <w:t>0</w:t>
      </w:r>
      <w:r>
        <w:rPr>
          <w:rFonts w:ascii="仿宋_GB2312" w:hAnsi="仿宋_GB2312" w:eastAsia="仿宋_GB2312"/>
          <w:b w:val="0"/>
          <w:sz w:val="32"/>
        </w:rPr>
        <w:t>辆、特种专业技术用车0辆、离退休干部服务用车0辆、其他用车</w:t>
      </w:r>
      <w:r>
        <w:rPr>
          <w:rFonts w:hint="eastAsia" w:ascii="仿宋_GB2312" w:hAnsi="仿宋_GB2312" w:eastAsia="仿宋_GB2312"/>
          <w:b w:val="0"/>
          <w:sz w:val="32"/>
          <w:lang w:val="en-US" w:eastAsia="zh-CN"/>
        </w:rPr>
        <w:t>2</w:t>
      </w:r>
      <w:r>
        <w:rPr>
          <w:rFonts w:ascii="仿宋_GB2312" w:hAnsi="仿宋_GB2312" w:eastAsia="仿宋_GB2312"/>
          <w:b w:val="0"/>
          <w:sz w:val="32"/>
        </w:rPr>
        <w:t>辆，其他用车主要是：本单位无其他用车。单价100万元（含）以上设备（不含车辆）0台（套）。</w:t>
      </w:r>
    </w:p>
    <w:p w14:paraId="4643BF3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十一、预算绩效的情况说明</w:t>
      </w:r>
    </w:p>
    <w:p w14:paraId="420A6B0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根据预算绩效管理要求，本单位2024年度预算绩效管理形成整体支出绩效自评表1个，全年预算总额926.94万元，实际执行总额926.94万元；预算绩效评价项目3个，全年预算数180.00万元，全年执行数153.40万元。预算绩效管理取得的成效：一是对发现的问题采取措施，及时纠正，认真处理，强化管理，有效杜绝了专项资金在分配使用过程中的违纪现象的发生，保证了专项资金的使用安全；二是抓制度建设，夯实绩效管理基础。发现的问题及原因：一是绩效评价指标体系不够完善；二是加强对资金拨付、使用环节的监管。按照“权、责、利”相统一的原则，确保财政资金的安全有效运行。下一步改进措施：一是今后将切实提高财政资源配置效率和资金使用效益。定期对专项资金的使用情况进行自查，资金落实情况，对发现的问题采取措施，及时纠正，认真处理，强化管理；二是对发现的问题采取措施，及时纠正，认真处理，强化管理，有效杜绝了专项资金在分配使用过程中的违纪现象的发生，保证了专项资金的使用安全。具体附整体支出绩效自评表，项目支出绩效自评表和评价报告。</w:t>
      </w:r>
    </w:p>
    <w:p w14:paraId="0A13D5EE">
      <w:pPr>
        <w:keepNext w:val="0"/>
        <w:keepLines w:val="0"/>
        <w:pageBreakBefore w:val="0"/>
        <w:widowControl w:val="0"/>
        <w:kinsoku/>
        <w:wordWrap/>
        <w:overflowPunct/>
        <w:topLinePunct w:val="0"/>
        <w:autoSpaceDE/>
        <w:autoSpaceDN/>
        <w:bidi w:val="0"/>
        <w:adjustRightInd/>
        <w:snapToGrid/>
        <w:spacing w:line="560" w:lineRule="exact"/>
        <w:textAlignment w:val="auto"/>
      </w:pPr>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D2E12F5">
        <w:tblPrEx>
          <w:tblCellMar>
            <w:top w:w="0" w:type="dxa"/>
            <w:left w:w="108" w:type="dxa"/>
            <w:bottom w:w="0" w:type="dxa"/>
            <w:right w:w="108" w:type="dxa"/>
          </w:tblCellMar>
        </w:tblPrEx>
        <w:tc>
          <w:tcPr>
            <w:tcW w:w="8847" w:type="dxa"/>
            <w:gridSpan w:val="9"/>
            <w:vAlign w:val="center"/>
          </w:tcPr>
          <w:p w14:paraId="7E854B9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24"/>
              </w:rPr>
              <w:t>单位整体支出绩效自评表</w:t>
            </w:r>
          </w:p>
        </w:tc>
      </w:tr>
      <w:tr w14:paraId="4D2B8307">
        <w:tblPrEx>
          <w:tblCellMar>
            <w:top w:w="0" w:type="dxa"/>
            <w:left w:w="108" w:type="dxa"/>
            <w:bottom w:w="0" w:type="dxa"/>
            <w:right w:w="108" w:type="dxa"/>
          </w:tblCellMar>
        </w:tblPrEx>
        <w:tc>
          <w:tcPr>
            <w:tcW w:w="8847" w:type="dxa"/>
            <w:gridSpan w:val="9"/>
            <w:vAlign w:val="center"/>
          </w:tcPr>
          <w:p w14:paraId="5827284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24"/>
              </w:rPr>
              <w:t>（2024年度）</w:t>
            </w:r>
          </w:p>
        </w:tc>
      </w:tr>
      <w:tr w14:paraId="6511F76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26E1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544F97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和田地区生态环境局和田市分局</w:t>
            </w:r>
          </w:p>
        </w:tc>
      </w:tr>
      <w:tr w14:paraId="0B9F3BF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1D46A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383D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B8C5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C877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4EA5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87E6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203F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A4CB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得分</w:t>
            </w:r>
          </w:p>
        </w:tc>
      </w:tr>
      <w:tr w14:paraId="3E9D84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C8A393">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5979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259E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598.70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9930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926.94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FB5E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926.94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2C18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8F69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0A87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r>
      <w:tr w14:paraId="47C88C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1D4E17">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E275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6350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DB5B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F7A4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BBB6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74FE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E306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r>
      <w:tr w14:paraId="601A91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1C389F">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D067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F177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598.70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E1DF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648.74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8CED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648.74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AD4E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4B07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27A7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r>
      <w:tr w14:paraId="0801D9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585E96">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E54D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EC16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8C84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278.20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FB73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278.20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E4E1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792A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EA27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r>
      <w:tr w14:paraId="6BA5930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57E93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2DE9B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76290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实际完成情况</w:t>
            </w:r>
          </w:p>
        </w:tc>
      </w:tr>
      <w:tr w14:paraId="7E4F8D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B76053">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0E1158">
            <w:pPr>
              <w:keepNext w:val="0"/>
              <w:keepLines w:val="0"/>
              <w:pageBreakBefore w:val="0"/>
              <w:widowControl w:val="0"/>
              <w:numPr>
                <w:ilvl w:val="0"/>
                <w:numId w:val="1"/>
              </w:numPr>
              <w:kinsoku/>
              <w:wordWrap/>
              <w:overflowPunct/>
              <w:topLinePunct w:val="0"/>
              <w:autoSpaceDE/>
              <w:autoSpaceDN/>
              <w:bidi w:val="0"/>
              <w:adjustRightInd/>
              <w:snapToGrid/>
              <w:spacing w:line="560" w:lineRule="exact"/>
              <w:jc w:val="both"/>
              <w:textAlignment w:val="auto"/>
              <w:rPr>
                <w:rFonts w:ascii="宋体" w:hAnsi="宋体" w:eastAsia="宋体"/>
                <w:sz w:val="16"/>
              </w:rPr>
            </w:pPr>
            <w:r>
              <w:rPr>
                <w:rFonts w:ascii="宋体" w:hAnsi="宋体" w:eastAsia="宋体"/>
                <w:sz w:val="16"/>
              </w:rPr>
              <w:t>和田地区生态环境局和田市分局2024年保障27名工作人员基本支出，保障单位3辆公务用车燃油、保险、维修，污染企业执法检查、污染企业污染物监测、县域生态环境质量监测等内容。部门整体支出568.515604万元。其中人员经费514.914025万元，公用经费27.2万元，工会福利费11.401579,业务经费15万元。通过保障部门正常运转，提升干部自身素质建设，提升社会服务能力，持续做好和田市生态环境向好发展。争取使受益群众及受益在职人员满意度达到90%以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2.持续深入打好污染防治攻坚战，强化生态保护修复监管，防范和化解生态环境领域风险，促进经济社会发展绿色转型，加快构建</w:t>
            </w:r>
            <w:r>
              <w:rPr>
                <w:rFonts w:hint="eastAsia" w:ascii="宋体" w:hAnsi="宋体"/>
                <w:sz w:val="16"/>
                <w:lang w:eastAsia="zh-CN"/>
              </w:rPr>
              <w:t>现代环境治理体系</w:t>
            </w:r>
            <w:r>
              <w:rPr>
                <w:rFonts w:ascii="宋体" w:hAnsi="宋体" w:eastAsia="宋体"/>
                <w:sz w:val="16"/>
              </w:rPr>
              <w:t>，持续开展生态环境保护铁军建设，以生态环境高水平保护推动经济高质量发展完成以下目标1：全区地表水好于Ⅲ类水体监测点位完成率100%</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目标2：全区优良天数</w:t>
            </w:r>
            <w:r>
              <w:rPr>
                <w:rFonts w:hint="eastAsia" w:ascii="宋体" w:hAnsi="宋体"/>
                <w:sz w:val="16"/>
                <w:lang w:eastAsia="zh-CN"/>
              </w:rPr>
              <w:t>≥</w:t>
            </w:r>
            <w:r>
              <w:rPr>
                <w:rFonts w:ascii="宋体" w:hAnsi="宋体" w:eastAsia="宋体"/>
                <w:sz w:val="16"/>
              </w:rPr>
              <w:t>24.70</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目标3：全区PM2.5(空气中细颗粒物)全年平均浓度</w:t>
            </w:r>
            <w:r>
              <w:rPr>
                <w:rFonts w:hint="eastAsia" w:ascii="宋体" w:hAnsi="宋体"/>
                <w:sz w:val="16"/>
                <w:lang w:eastAsia="zh-CN"/>
              </w:rPr>
              <w:t>，</w:t>
            </w:r>
            <w:r>
              <w:rPr>
                <w:rFonts w:hint="default" w:ascii="Arial" w:hAnsi="Arial" w:eastAsia="宋体" w:cs="Arial"/>
                <w:sz w:val="16"/>
              </w:rPr>
              <w:t>≤</w:t>
            </w:r>
            <w:r>
              <w:rPr>
                <w:rFonts w:ascii="宋体" w:hAnsi="宋体" w:eastAsia="宋体"/>
                <w:sz w:val="16"/>
              </w:rPr>
              <w:t>50微克/立方米</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目标4：全区全年重污染平均天数，</w:t>
            </w:r>
            <w:r>
              <w:rPr>
                <w:rFonts w:hint="eastAsia" w:ascii="宋体" w:hAnsi="宋体"/>
                <w:sz w:val="16"/>
                <w:lang w:eastAsia="zh-CN"/>
              </w:rPr>
              <w:t>≤</w:t>
            </w:r>
            <w:r>
              <w:rPr>
                <w:rFonts w:ascii="宋体" w:hAnsi="宋体" w:eastAsia="宋体"/>
                <w:sz w:val="16"/>
              </w:rPr>
              <w:t>0天</w:t>
            </w:r>
            <w:r>
              <w:rPr>
                <w:rFonts w:ascii="宋体" w:hAnsi="宋体" w:eastAsia="宋体"/>
                <w:sz w:val="16"/>
              </w:rPr>
              <w:br w:type="textWrapping"/>
            </w:r>
            <w:r>
              <w:rPr>
                <w:rFonts w:ascii="宋体" w:hAnsi="宋体" w:eastAsia="宋体"/>
                <w:sz w:val="16"/>
              </w:rPr>
              <w:t>目标5：全区地表水Ⅴ类水质监测点位数</w:t>
            </w:r>
            <w:r>
              <w:rPr>
                <w:rFonts w:hint="eastAsia" w:ascii="宋体" w:hAnsi="宋体"/>
                <w:sz w:val="16"/>
                <w:lang w:eastAsia="zh-CN"/>
              </w:rPr>
              <w:t>≤</w:t>
            </w:r>
            <w:r>
              <w:rPr>
                <w:rFonts w:ascii="宋体" w:hAnsi="宋体" w:eastAsia="宋体"/>
                <w:sz w:val="16"/>
              </w:rPr>
              <w:t>0个</w:t>
            </w:r>
          </w:p>
          <w:p w14:paraId="1F0E1751">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ascii="宋体" w:hAnsi="宋体" w:eastAsia="宋体"/>
                <w:sz w:val="16"/>
              </w:rPr>
            </w:pP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5F3F1C">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hint="eastAsia" w:ascii="宋体" w:hAnsi="宋体"/>
                <w:sz w:val="16"/>
                <w:lang w:eastAsia="zh-CN"/>
              </w:rPr>
              <w:t>截至2024</w:t>
            </w:r>
            <w:r>
              <w:rPr>
                <w:rFonts w:ascii="宋体" w:hAnsi="宋体" w:eastAsia="宋体"/>
                <w:sz w:val="16"/>
              </w:rPr>
              <w:t>年12月31日，本单位实际完成保障全区优良天数达到94天，全区PM2.5全年平均浓度控制在52微克/立方米，全区地表水V类水质监测点位0个，全区全年重污染平均天数0天，全区地表水好于Ⅲ类水体监测点位率达到100%，实际形成支出926.94万元，通过完成以上工作，持续深入打好污染防治攻坚战，强化生态保护修复监管，防范和化解生态环境领域风险，促进经济社会发展绿色转型，加快构建</w:t>
            </w:r>
            <w:r>
              <w:rPr>
                <w:rFonts w:hint="eastAsia" w:ascii="宋体" w:hAnsi="宋体"/>
                <w:sz w:val="16"/>
                <w:lang w:eastAsia="zh-CN"/>
              </w:rPr>
              <w:t>现代环境治理体系</w:t>
            </w:r>
            <w:r>
              <w:rPr>
                <w:rFonts w:ascii="宋体" w:hAnsi="宋体" w:eastAsia="宋体"/>
                <w:sz w:val="16"/>
              </w:rPr>
              <w:t>，持续开展生态环境保护铁军建设，以生态环境高水平保护推动经济高质量发展，使受益干部职工满意度达到100%。</w:t>
            </w:r>
          </w:p>
        </w:tc>
      </w:tr>
      <w:tr w14:paraId="659DAA7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05F4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55B8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2776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098E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4F16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6CE6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97F3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EA97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6081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得分</w:t>
            </w:r>
          </w:p>
        </w:tc>
      </w:tr>
      <w:tr w14:paraId="384C789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4B11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管理效率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9A91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2696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预决算信息公开率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E3ED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3A7D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AA17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6277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68B8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D6A0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12</w:t>
            </w:r>
          </w:p>
        </w:tc>
      </w:tr>
      <w:tr w14:paraId="32D67C2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52E40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DE676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5359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全区优良天数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D254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hint="eastAsia" w:ascii="宋体" w:hAnsi="宋体"/>
                <w:sz w:val="16"/>
                <w:lang w:eastAsia="zh-CN"/>
              </w:rPr>
              <w:t>≥</w:t>
            </w:r>
            <w:r>
              <w:rPr>
                <w:rFonts w:ascii="宋体" w:hAnsi="宋体" w:eastAsia="宋体"/>
                <w:sz w:val="16"/>
              </w:rPr>
              <w:t>24.7天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9AEA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DF99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6E17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94天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1A2B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2816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12</w:t>
            </w:r>
          </w:p>
        </w:tc>
      </w:tr>
      <w:tr w14:paraId="0CD100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395AB4">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AB6B57">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5CF8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全区PM2.5(空气中细颗粒物)全年平均浓度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3FF7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hint="eastAsia" w:ascii="宋体" w:hAnsi="宋体"/>
                <w:sz w:val="16"/>
                <w:lang w:eastAsia="zh-CN"/>
              </w:rPr>
              <w:t>≤</w:t>
            </w:r>
            <w:r>
              <w:rPr>
                <w:rFonts w:ascii="宋体" w:hAnsi="宋体" w:eastAsia="宋体"/>
                <w:sz w:val="16"/>
              </w:rPr>
              <w:t>52微克/立方米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CAC7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C298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D8E7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52微克/立方米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FA4F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FCBE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12</w:t>
            </w:r>
          </w:p>
        </w:tc>
      </w:tr>
      <w:tr w14:paraId="3477E3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0880B9">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CAB577">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E18F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全区地表水好于Ⅲ类水体监测点位率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1C68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E39A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9F63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1F42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D358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4C44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12</w:t>
            </w:r>
          </w:p>
        </w:tc>
      </w:tr>
      <w:tr w14:paraId="3EE82079">
        <w:tblPrEx>
          <w:tblCellMar>
            <w:top w:w="0" w:type="dxa"/>
            <w:left w:w="108" w:type="dxa"/>
            <w:bottom w:w="0" w:type="dxa"/>
            <w:right w:w="108" w:type="dxa"/>
          </w:tblCellMar>
        </w:tblPrEx>
        <w:trPr>
          <w:trHeight w:val="2027"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D01F47">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F0B15C">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BFD7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全区地表水Ⅴ类水质监测点位数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37D5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hint="eastAsia" w:ascii="宋体" w:hAnsi="宋体"/>
                <w:sz w:val="16"/>
                <w:lang w:eastAsia="zh-CN"/>
              </w:rPr>
              <w:t>≤</w:t>
            </w:r>
            <w:r>
              <w:rPr>
                <w:rFonts w:ascii="宋体" w:hAnsi="宋体" w:eastAsia="宋体"/>
                <w:sz w:val="16"/>
              </w:rPr>
              <w:t>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B879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6AE0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AAF2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AC4F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E01C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12</w:t>
            </w:r>
          </w:p>
        </w:tc>
      </w:tr>
      <w:tr w14:paraId="061EBB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B5734E">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B2D472">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07A9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全区全年重污染平均天数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DCD6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hint="eastAsia" w:ascii="宋体" w:hAnsi="宋体"/>
                <w:sz w:val="16"/>
                <w:lang w:eastAsia="zh-CN"/>
              </w:rPr>
              <w:t>≤</w:t>
            </w:r>
            <w:r>
              <w:rPr>
                <w:rFonts w:ascii="宋体" w:hAnsi="宋体" w:eastAsia="宋体"/>
                <w:sz w:val="16"/>
              </w:rPr>
              <w:t>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BC88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AEB9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4F25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DCE8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8879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15</w:t>
            </w:r>
          </w:p>
        </w:tc>
      </w:tr>
      <w:tr w14:paraId="2E0FFC7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5C4D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91D6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AA98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干部职工满意度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DE4D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hint="eastAsia" w:ascii="宋体" w:hAnsi="宋体"/>
                <w:sz w:val="16"/>
                <w:lang w:eastAsia="zh-CN"/>
              </w:rPr>
              <w:t>≥</w:t>
            </w: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1561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干部职工满意程度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5520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714C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4415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9D11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15</w:t>
            </w:r>
          </w:p>
        </w:tc>
      </w:tr>
    </w:tbl>
    <w:p w14:paraId="76FB4BD6">
      <w:pPr>
        <w:keepNext w:val="0"/>
        <w:keepLines w:val="0"/>
        <w:pageBreakBefore w:val="0"/>
        <w:widowControl w:val="0"/>
        <w:kinsoku/>
        <w:wordWrap/>
        <w:overflowPunct/>
        <w:topLinePunct w:val="0"/>
        <w:autoSpaceDE/>
        <w:autoSpaceDN/>
        <w:bidi w:val="0"/>
        <w:adjustRightInd/>
        <w:snapToGrid/>
        <w:spacing w:line="560" w:lineRule="exact"/>
        <w:textAlignment w:val="auto"/>
      </w:pPr>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1103"/>
        <w:gridCol w:w="863"/>
        <w:gridCol w:w="983"/>
        <w:gridCol w:w="983"/>
        <w:gridCol w:w="983"/>
        <w:gridCol w:w="983"/>
      </w:tblGrid>
      <w:tr w14:paraId="54470B94">
        <w:tblPrEx>
          <w:tblCellMar>
            <w:top w:w="0" w:type="dxa"/>
            <w:left w:w="108" w:type="dxa"/>
            <w:bottom w:w="0" w:type="dxa"/>
            <w:right w:w="108" w:type="dxa"/>
          </w:tblCellMar>
        </w:tblPrEx>
        <w:tc>
          <w:tcPr>
            <w:tcW w:w="8847" w:type="dxa"/>
            <w:gridSpan w:val="9"/>
            <w:vAlign w:val="center"/>
          </w:tcPr>
          <w:p w14:paraId="4C88979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24"/>
              </w:rPr>
              <w:t>项目支出绩效自评表</w:t>
            </w:r>
          </w:p>
        </w:tc>
      </w:tr>
      <w:tr w14:paraId="179B4B6E">
        <w:tblPrEx>
          <w:tblCellMar>
            <w:top w:w="0" w:type="dxa"/>
            <w:left w:w="108" w:type="dxa"/>
            <w:bottom w:w="0" w:type="dxa"/>
            <w:right w:w="108" w:type="dxa"/>
          </w:tblCellMar>
        </w:tblPrEx>
        <w:tc>
          <w:tcPr>
            <w:tcW w:w="8847" w:type="dxa"/>
            <w:gridSpan w:val="9"/>
            <w:vAlign w:val="center"/>
          </w:tcPr>
          <w:p w14:paraId="576CD2F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24"/>
              </w:rPr>
              <w:t>(2024年度)</w:t>
            </w:r>
          </w:p>
        </w:tc>
      </w:tr>
      <w:tr w14:paraId="5BB64C0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597F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56FD13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2024年上半年自治区驻村工作专项项目</w:t>
            </w:r>
          </w:p>
        </w:tc>
      </w:tr>
      <w:tr w14:paraId="36EEACA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72B9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主管部门</w:t>
            </w:r>
          </w:p>
        </w:tc>
        <w:tc>
          <w:tcPr>
            <w:tcW w:w="306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1B07DE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和田地区生态环境局和田市分局</w:t>
            </w:r>
          </w:p>
        </w:tc>
        <w:tc>
          <w:tcPr>
            <w:tcW w:w="863" w:type="dxa"/>
            <w:tcBorders>
              <w:top w:val="single" w:color="auto" w:sz="10" w:space="0"/>
              <w:left w:val="single" w:color="auto" w:sz="10" w:space="0"/>
              <w:bottom w:val="single" w:color="auto" w:sz="10" w:space="0"/>
              <w:right w:val="single" w:color="auto" w:sz="10" w:space="0"/>
              <w:insideV w:val="single" w:sz="10" w:space="0"/>
            </w:tcBorders>
            <w:vAlign w:val="center"/>
          </w:tcPr>
          <w:p w14:paraId="227D2D8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A869A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和田地区生态环境局和田市分局</w:t>
            </w:r>
          </w:p>
        </w:tc>
      </w:tr>
      <w:tr w14:paraId="7E85E3B7">
        <w:tblPrEx>
          <w:tblCellMar>
            <w:top w:w="0" w:type="dxa"/>
            <w:left w:w="108" w:type="dxa"/>
            <w:bottom w:w="0" w:type="dxa"/>
            <w:right w:w="108" w:type="dxa"/>
          </w:tblCellMar>
        </w:tblPrEx>
        <w:trPr>
          <w:trHeight w:val="702" w:hRule="atLeas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5A42A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905A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c>
          <w:tcPr>
            <w:tcW w:w="1103" w:type="dxa"/>
            <w:tcBorders>
              <w:top w:val="single" w:color="auto" w:sz="10" w:space="0"/>
              <w:left w:val="single" w:color="auto" w:sz="10" w:space="0"/>
              <w:bottom w:val="single" w:color="auto" w:sz="10" w:space="0"/>
              <w:right w:val="single" w:color="auto" w:sz="10" w:space="0"/>
              <w:insideV w:val="single" w:sz="10" w:space="0"/>
            </w:tcBorders>
            <w:vAlign w:val="center"/>
          </w:tcPr>
          <w:p w14:paraId="5F063A2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年初预算数</w:t>
            </w:r>
          </w:p>
        </w:tc>
        <w:tc>
          <w:tcPr>
            <w:tcW w:w="863" w:type="dxa"/>
            <w:tcBorders>
              <w:top w:val="single" w:color="auto" w:sz="10" w:space="0"/>
              <w:left w:val="single" w:color="auto" w:sz="10" w:space="0"/>
              <w:bottom w:val="single" w:color="auto" w:sz="10" w:space="0"/>
              <w:right w:val="single" w:color="auto" w:sz="10" w:space="0"/>
              <w:insideV w:val="single" w:sz="10" w:space="0"/>
            </w:tcBorders>
            <w:vAlign w:val="center"/>
          </w:tcPr>
          <w:p w14:paraId="2969C58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39B9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C988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15FB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8D2D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得分</w:t>
            </w:r>
          </w:p>
        </w:tc>
      </w:tr>
      <w:tr w14:paraId="37AEFE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AA2D3C">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ECF4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年度资金总额</w:t>
            </w:r>
          </w:p>
        </w:tc>
        <w:tc>
          <w:tcPr>
            <w:tcW w:w="1103" w:type="dxa"/>
            <w:tcBorders>
              <w:top w:val="single" w:color="auto" w:sz="10" w:space="0"/>
              <w:left w:val="single" w:color="auto" w:sz="10" w:space="0"/>
              <w:bottom w:val="single" w:color="auto" w:sz="10" w:space="0"/>
              <w:right w:val="single" w:color="auto" w:sz="10" w:space="0"/>
              <w:insideV w:val="single" w:sz="10" w:space="0"/>
            </w:tcBorders>
            <w:vAlign w:val="center"/>
          </w:tcPr>
          <w:p w14:paraId="5A96078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25.00</w:t>
            </w:r>
          </w:p>
        </w:tc>
        <w:tc>
          <w:tcPr>
            <w:tcW w:w="863" w:type="dxa"/>
            <w:tcBorders>
              <w:top w:val="single" w:color="auto" w:sz="10" w:space="0"/>
              <w:left w:val="single" w:color="auto" w:sz="10" w:space="0"/>
              <w:bottom w:val="single" w:color="auto" w:sz="10" w:space="0"/>
              <w:right w:val="single" w:color="auto" w:sz="10" w:space="0"/>
              <w:insideV w:val="single" w:sz="10" w:space="0"/>
            </w:tcBorders>
            <w:vAlign w:val="center"/>
          </w:tcPr>
          <w:p w14:paraId="407EBD6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4B18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6A3D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5064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9CFD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10.00分</w:t>
            </w:r>
          </w:p>
        </w:tc>
      </w:tr>
      <w:tr w14:paraId="05A557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808AF2">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19B7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其中：当年财政拨款</w:t>
            </w:r>
          </w:p>
        </w:tc>
        <w:tc>
          <w:tcPr>
            <w:tcW w:w="1103" w:type="dxa"/>
            <w:tcBorders>
              <w:top w:val="single" w:color="auto" w:sz="10" w:space="0"/>
              <w:left w:val="single" w:color="auto" w:sz="10" w:space="0"/>
              <w:bottom w:val="single" w:color="auto" w:sz="10" w:space="0"/>
              <w:right w:val="single" w:color="auto" w:sz="10" w:space="0"/>
              <w:insideV w:val="single" w:sz="10" w:space="0"/>
            </w:tcBorders>
            <w:vAlign w:val="center"/>
          </w:tcPr>
          <w:p w14:paraId="3988C2C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25.00</w:t>
            </w:r>
          </w:p>
        </w:tc>
        <w:tc>
          <w:tcPr>
            <w:tcW w:w="863" w:type="dxa"/>
            <w:tcBorders>
              <w:top w:val="single" w:color="auto" w:sz="10" w:space="0"/>
              <w:left w:val="single" w:color="auto" w:sz="10" w:space="0"/>
              <w:bottom w:val="single" w:color="auto" w:sz="10" w:space="0"/>
              <w:right w:val="single" w:color="auto" w:sz="10" w:space="0"/>
              <w:insideV w:val="single" w:sz="10" w:space="0"/>
            </w:tcBorders>
            <w:vAlign w:val="center"/>
          </w:tcPr>
          <w:p w14:paraId="2676A0E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1053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C8AB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5ED0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D04B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r>
      <w:tr w14:paraId="17C720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5A7104">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7E3C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 xml:space="preserve">      上年结转资金</w:t>
            </w:r>
          </w:p>
        </w:tc>
        <w:tc>
          <w:tcPr>
            <w:tcW w:w="1103" w:type="dxa"/>
            <w:tcBorders>
              <w:top w:val="single" w:color="auto" w:sz="10" w:space="0"/>
              <w:left w:val="single" w:color="auto" w:sz="10" w:space="0"/>
              <w:bottom w:val="single" w:color="auto" w:sz="10" w:space="0"/>
              <w:right w:val="single" w:color="auto" w:sz="10" w:space="0"/>
              <w:insideV w:val="single" w:sz="10" w:space="0"/>
            </w:tcBorders>
            <w:vAlign w:val="center"/>
          </w:tcPr>
          <w:p w14:paraId="74008F8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863" w:type="dxa"/>
            <w:tcBorders>
              <w:top w:val="single" w:color="auto" w:sz="10" w:space="0"/>
              <w:left w:val="single" w:color="auto" w:sz="10" w:space="0"/>
              <w:bottom w:val="single" w:color="auto" w:sz="10" w:space="0"/>
              <w:right w:val="single" w:color="auto" w:sz="10" w:space="0"/>
              <w:insideV w:val="single" w:sz="10" w:space="0"/>
            </w:tcBorders>
            <w:vAlign w:val="center"/>
          </w:tcPr>
          <w:p w14:paraId="3A1DE73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D47B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628E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3728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49AA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r>
      <w:tr w14:paraId="682280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205C8C">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325A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 xml:space="preserve">  其他资金</w:t>
            </w:r>
          </w:p>
        </w:tc>
        <w:tc>
          <w:tcPr>
            <w:tcW w:w="1103" w:type="dxa"/>
            <w:tcBorders>
              <w:top w:val="single" w:color="auto" w:sz="10" w:space="0"/>
              <w:left w:val="single" w:color="auto" w:sz="10" w:space="0"/>
              <w:bottom w:val="single" w:color="auto" w:sz="10" w:space="0"/>
              <w:right w:val="single" w:color="auto" w:sz="10" w:space="0"/>
              <w:insideV w:val="single" w:sz="10" w:space="0"/>
            </w:tcBorders>
            <w:vAlign w:val="center"/>
          </w:tcPr>
          <w:p w14:paraId="02B90F9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863" w:type="dxa"/>
            <w:tcBorders>
              <w:top w:val="single" w:color="auto" w:sz="10" w:space="0"/>
              <w:left w:val="single" w:color="auto" w:sz="10" w:space="0"/>
              <w:bottom w:val="single" w:color="auto" w:sz="10" w:space="0"/>
              <w:right w:val="single" w:color="auto" w:sz="10" w:space="0"/>
              <w:insideV w:val="single" w:sz="10" w:space="0"/>
            </w:tcBorders>
            <w:vAlign w:val="center"/>
          </w:tcPr>
          <w:p w14:paraId="654FB2E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AF60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029F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F302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960B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r>
      <w:tr w14:paraId="6FD6AEF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C2DC2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年度总体目标</w:t>
            </w:r>
          </w:p>
        </w:tc>
        <w:tc>
          <w:tcPr>
            <w:tcW w:w="306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ED3E89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预期目标</w:t>
            </w:r>
          </w:p>
        </w:tc>
        <w:tc>
          <w:tcPr>
            <w:tcW w:w="479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FBBF4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实际完成情况</w:t>
            </w:r>
          </w:p>
        </w:tc>
      </w:tr>
      <w:tr w14:paraId="7C6162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381E82">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306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2BC5E53">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本项目主要实施内容为：</w:t>
            </w:r>
            <w:r>
              <w:rPr>
                <w:rFonts w:hint="eastAsia" w:ascii="宋体" w:hAnsi="宋体"/>
                <w:sz w:val="16"/>
                <w:lang w:val="en-US" w:eastAsia="zh-CN"/>
              </w:rPr>
              <w:t>驻村</w:t>
            </w:r>
            <w:r>
              <w:rPr>
                <w:rFonts w:ascii="宋体" w:hAnsi="宋体" w:eastAsia="宋体"/>
                <w:sz w:val="16"/>
              </w:rPr>
              <w:t>工作队为民办实事6件，慰问困难群众10次,解决</w:t>
            </w:r>
            <w:r>
              <w:rPr>
                <w:rFonts w:hint="eastAsia" w:ascii="宋体" w:hAnsi="宋体"/>
                <w:sz w:val="16"/>
                <w:lang w:val="en-US" w:eastAsia="zh-CN"/>
              </w:rPr>
              <w:t>群众</w:t>
            </w:r>
            <w:r>
              <w:rPr>
                <w:rFonts w:ascii="宋体" w:hAnsi="宋体" w:eastAsia="宋体"/>
                <w:sz w:val="16"/>
              </w:rPr>
              <w:t>困难4次，项目总投资为25万元，项目计划于2024年12月完成。通过本项目的实施，可有效做好群众工作，提高改善群众生活质量，待项目实施完成，争取使受益人群满意度不低于95%。</w:t>
            </w:r>
          </w:p>
        </w:tc>
        <w:tc>
          <w:tcPr>
            <w:tcW w:w="479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B2EF1D">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hint="eastAsia" w:ascii="宋体" w:hAnsi="宋体"/>
                <w:sz w:val="16"/>
                <w:lang w:eastAsia="zh-CN"/>
              </w:rPr>
              <w:t>截至</w:t>
            </w:r>
            <w:r>
              <w:rPr>
                <w:rFonts w:ascii="宋体" w:hAnsi="宋体" w:eastAsia="宋体"/>
                <w:sz w:val="16"/>
              </w:rPr>
              <w:t>2024年12月31日，实际形成支出25万元，已完成</w:t>
            </w:r>
            <w:r>
              <w:rPr>
                <w:rFonts w:ascii="宋体" w:hAnsi="宋体" w:eastAsia="宋体"/>
                <w:sz w:val="16"/>
              </w:rPr>
              <w:tab/>
            </w:r>
            <w:r>
              <w:rPr>
                <w:rFonts w:hint="eastAsia" w:ascii="宋体" w:hAnsi="宋体"/>
                <w:sz w:val="16"/>
                <w:lang w:eastAsia="zh-CN"/>
              </w:rPr>
              <w:t>为民办实事</w:t>
            </w:r>
            <w:r>
              <w:rPr>
                <w:rFonts w:ascii="宋体" w:hAnsi="宋体" w:eastAsia="宋体"/>
                <w:sz w:val="16"/>
              </w:rPr>
              <w:t>工作队为民办实事数量6件，慰问困难群众次数10次，解决困难次数4次。达到了有效解决当地群众的生活困难的效益，受益服务群众满意度达到100%。</w:t>
            </w:r>
          </w:p>
        </w:tc>
      </w:tr>
      <w:tr w14:paraId="49E9183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22D0506">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3C43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6AC1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二级指标</w:t>
            </w:r>
          </w:p>
        </w:tc>
        <w:tc>
          <w:tcPr>
            <w:tcW w:w="1103" w:type="dxa"/>
            <w:tcBorders>
              <w:top w:val="single" w:color="auto" w:sz="10" w:space="0"/>
              <w:left w:val="single" w:color="auto" w:sz="10" w:space="0"/>
              <w:bottom w:val="single" w:color="auto" w:sz="10" w:space="0"/>
              <w:right w:val="single" w:color="auto" w:sz="10" w:space="0"/>
              <w:insideV w:val="single" w:sz="10" w:space="0"/>
            </w:tcBorders>
            <w:vAlign w:val="center"/>
          </w:tcPr>
          <w:p w14:paraId="046C3C8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三级指标</w:t>
            </w:r>
          </w:p>
        </w:tc>
        <w:tc>
          <w:tcPr>
            <w:tcW w:w="863" w:type="dxa"/>
            <w:tcBorders>
              <w:top w:val="single" w:color="auto" w:sz="10" w:space="0"/>
              <w:left w:val="single" w:color="auto" w:sz="10" w:space="0"/>
              <w:bottom w:val="single" w:color="auto" w:sz="10" w:space="0"/>
              <w:right w:val="single" w:color="auto" w:sz="10" w:space="0"/>
              <w:insideV w:val="single" w:sz="10" w:space="0"/>
            </w:tcBorders>
            <w:vAlign w:val="center"/>
          </w:tcPr>
          <w:p w14:paraId="5D393EA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2002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4D47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B7F9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1405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偏差原因分析及改进措施</w:t>
            </w:r>
          </w:p>
        </w:tc>
      </w:tr>
      <w:tr w14:paraId="3BF4676A">
        <w:tblPrEx>
          <w:tblCellMar>
            <w:top w:w="0" w:type="dxa"/>
            <w:left w:w="108" w:type="dxa"/>
            <w:bottom w:w="0" w:type="dxa"/>
            <w:right w:w="108" w:type="dxa"/>
          </w:tblCellMar>
        </w:tblPrEx>
        <w:trPr>
          <w:trHeight w:val="1788" w:hRule="atLeas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B406D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22ADF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1B9E2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数量指标</w:t>
            </w:r>
          </w:p>
        </w:tc>
        <w:tc>
          <w:tcPr>
            <w:tcW w:w="1103" w:type="dxa"/>
            <w:tcBorders>
              <w:top w:val="single" w:color="auto" w:sz="10" w:space="0"/>
              <w:left w:val="single" w:color="auto" w:sz="10" w:space="0"/>
              <w:bottom w:val="single" w:color="auto" w:sz="10" w:space="0"/>
              <w:right w:val="single" w:color="auto" w:sz="10" w:space="0"/>
              <w:insideV w:val="single" w:sz="10" w:space="0"/>
            </w:tcBorders>
            <w:vAlign w:val="center"/>
          </w:tcPr>
          <w:p w14:paraId="018D378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hint="eastAsia" w:ascii="宋体" w:hAnsi="宋体"/>
                <w:sz w:val="16"/>
                <w:lang w:val="en-US" w:eastAsia="zh-CN"/>
              </w:rPr>
              <w:t>驻村</w:t>
            </w:r>
            <w:r>
              <w:rPr>
                <w:rFonts w:ascii="宋体" w:hAnsi="宋体" w:eastAsia="宋体"/>
                <w:sz w:val="16"/>
              </w:rPr>
              <w:t>工作队为民办实事数量</w:t>
            </w:r>
          </w:p>
        </w:tc>
        <w:tc>
          <w:tcPr>
            <w:tcW w:w="863" w:type="dxa"/>
            <w:tcBorders>
              <w:top w:val="single" w:color="auto" w:sz="10" w:space="0"/>
              <w:left w:val="single" w:color="auto" w:sz="10" w:space="0"/>
              <w:bottom w:val="single" w:color="auto" w:sz="10" w:space="0"/>
              <w:right w:val="single" w:color="auto" w:sz="10" w:space="0"/>
              <w:insideV w:val="single" w:sz="10" w:space="0"/>
            </w:tcBorders>
            <w:vAlign w:val="center"/>
          </w:tcPr>
          <w:p w14:paraId="4714350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≥6件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2683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=6件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0183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CB2E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6E2A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1FC7F3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921EFE">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89A6CF">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0058A0">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103" w:type="dxa"/>
            <w:tcBorders>
              <w:top w:val="single" w:color="auto" w:sz="10" w:space="0"/>
              <w:left w:val="single" w:color="auto" w:sz="10" w:space="0"/>
              <w:bottom w:val="single" w:color="auto" w:sz="10" w:space="0"/>
              <w:right w:val="single" w:color="auto" w:sz="10" w:space="0"/>
              <w:insideV w:val="single" w:sz="10" w:space="0"/>
            </w:tcBorders>
            <w:vAlign w:val="center"/>
          </w:tcPr>
          <w:p w14:paraId="7FCFD9A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慰问困难群众次数</w:t>
            </w:r>
          </w:p>
        </w:tc>
        <w:tc>
          <w:tcPr>
            <w:tcW w:w="863" w:type="dxa"/>
            <w:tcBorders>
              <w:top w:val="single" w:color="auto" w:sz="10" w:space="0"/>
              <w:left w:val="single" w:color="auto" w:sz="10" w:space="0"/>
              <w:bottom w:val="single" w:color="auto" w:sz="10" w:space="0"/>
              <w:right w:val="single" w:color="auto" w:sz="10" w:space="0"/>
              <w:insideV w:val="single" w:sz="10" w:space="0"/>
            </w:tcBorders>
            <w:vAlign w:val="center"/>
          </w:tcPr>
          <w:p w14:paraId="6BD2182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9D20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FC57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9549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5375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481BB0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D9BB24">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B619AD">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365466">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103" w:type="dxa"/>
            <w:tcBorders>
              <w:top w:val="single" w:color="auto" w:sz="10" w:space="0"/>
              <w:left w:val="single" w:color="auto" w:sz="10" w:space="0"/>
              <w:bottom w:val="single" w:color="auto" w:sz="10" w:space="0"/>
              <w:right w:val="single" w:color="auto" w:sz="10" w:space="0"/>
              <w:insideV w:val="single" w:sz="10" w:space="0"/>
            </w:tcBorders>
            <w:vAlign w:val="center"/>
          </w:tcPr>
          <w:p w14:paraId="10F340B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解决</w:t>
            </w:r>
            <w:r>
              <w:rPr>
                <w:rFonts w:hint="eastAsia" w:ascii="宋体" w:hAnsi="宋体"/>
                <w:sz w:val="16"/>
                <w:lang w:val="en-US" w:eastAsia="zh-CN"/>
              </w:rPr>
              <w:t>群众</w:t>
            </w:r>
            <w:r>
              <w:rPr>
                <w:rFonts w:ascii="宋体" w:hAnsi="宋体" w:eastAsia="宋体"/>
                <w:sz w:val="16"/>
              </w:rPr>
              <w:t>困难次数</w:t>
            </w:r>
          </w:p>
        </w:tc>
        <w:tc>
          <w:tcPr>
            <w:tcW w:w="863" w:type="dxa"/>
            <w:tcBorders>
              <w:top w:val="single" w:color="auto" w:sz="10" w:space="0"/>
              <w:left w:val="single" w:color="auto" w:sz="10" w:space="0"/>
              <w:bottom w:val="single" w:color="auto" w:sz="10" w:space="0"/>
              <w:right w:val="single" w:color="auto" w:sz="10" w:space="0"/>
              <w:insideV w:val="single" w:sz="10" w:space="0"/>
            </w:tcBorders>
            <w:vAlign w:val="center"/>
          </w:tcPr>
          <w:p w14:paraId="3B18EFC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97CB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4420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E7F5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59DA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4063F6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8904AF">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B13C99">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084D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质量指标</w:t>
            </w:r>
          </w:p>
        </w:tc>
        <w:tc>
          <w:tcPr>
            <w:tcW w:w="1103" w:type="dxa"/>
            <w:tcBorders>
              <w:top w:val="single" w:color="auto" w:sz="10" w:space="0"/>
              <w:left w:val="single" w:color="auto" w:sz="10" w:space="0"/>
              <w:bottom w:val="single" w:color="auto" w:sz="10" w:space="0"/>
              <w:right w:val="single" w:color="auto" w:sz="10" w:space="0"/>
              <w:insideV w:val="single" w:sz="10" w:space="0"/>
            </w:tcBorders>
            <w:vAlign w:val="center"/>
          </w:tcPr>
          <w:p w14:paraId="7BE749C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为民办实事保障率</w:t>
            </w:r>
          </w:p>
        </w:tc>
        <w:tc>
          <w:tcPr>
            <w:tcW w:w="863" w:type="dxa"/>
            <w:tcBorders>
              <w:top w:val="single" w:color="auto" w:sz="10" w:space="0"/>
              <w:left w:val="single" w:color="auto" w:sz="10" w:space="0"/>
              <w:bottom w:val="single" w:color="auto" w:sz="10" w:space="0"/>
              <w:right w:val="single" w:color="auto" w:sz="10" w:space="0"/>
              <w:insideV w:val="single" w:sz="10" w:space="0"/>
            </w:tcBorders>
            <w:vAlign w:val="center"/>
          </w:tcPr>
          <w:p w14:paraId="16F5AED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DB6B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82C3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6A3A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A0E4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5E00E7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5BE176">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30D3D3">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8E5C6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时效指标</w:t>
            </w:r>
          </w:p>
        </w:tc>
        <w:tc>
          <w:tcPr>
            <w:tcW w:w="1103" w:type="dxa"/>
            <w:tcBorders>
              <w:top w:val="single" w:color="auto" w:sz="10" w:space="0"/>
              <w:left w:val="single" w:color="auto" w:sz="10" w:space="0"/>
              <w:bottom w:val="single" w:color="auto" w:sz="10" w:space="0"/>
              <w:right w:val="single" w:color="auto" w:sz="10" w:space="0"/>
              <w:insideV w:val="single" w:sz="10" w:space="0"/>
            </w:tcBorders>
            <w:vAlign w:val="center"/>
          </w:tcPr>
          <w:p w14:paraId="57C823F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资金支付及时率</w:t>
            </w:r>
          </w:p>
        </w:tc>
        <w:tc>
          <w:tcPr>
            <w:tcW w:w="863" w:type="dxa"/>
            <w:tcBorders>
              <w:top w:val="single" w:color="auto" w:sz="10" w:space="0"/>
              <w:left w:val="single" w:color="auto" w:sz="10" w:space="0"/>
              <w:bottom w:val="single" w:color="auto" w:sz="10" w:space="0"/>
              <w:right w:val="single" w:color="auto" w:sz="10" w:space="0"/>
              <w:insideV w:val="single" w:sz="10" w:space="0"/>
            </w:tcBorders>
            <w:vAlign w:val="center"/>
          </w:tcPr>
          <w:p w14:paraId="49ED598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6229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5E99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9511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6E19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768059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D2C09F">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BB446E">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3CABB1">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103" w:type="dxa"/>
            <w:tcBorders>
              <w:top w:val="single" w:color="auto" w:sz="10" w:space="0"/>
              <w:left w:val="single" w:color="auto" w:sz="10" w:space="0"/>
              <w:bottom w:val="single" w:color="auto" w:sz="10" w:space="0"/>
              <w:right w:val="single" w:color="auto" w:sz="10" w:space="0"/>
              <w:insideV w:val="single" w:sz="10" w:space="0"/>
            </w:tcBorders>
            <w:vAlign w:val="center"/>
          </w:tcPr>
          <w:p w14:paraId="2E40F55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项目完成时间</w:t>
            </w:r>
          </w:p>
        </w:tc>
        <w:tc>
          <w:tcPr>
            <w:tcW w:w="863" w:type="dxa"/>
            <w:tcBorders>
              <w:top w:val="single" w:color="auto" w:sz="10" w:space="0"/>
              <w:left w:val="single" w:color="auto" w:sz="10" w:space="0"/>
              <w:bottom w:val="single" w:color="auto" w:sz="10" w:space="0"/>
              <w:right w:val="single" w:color="auto" w:sz="10" w:space="0"/>
              <w:insideV w:val="single" w:sz="10" w:space="0"/>
            </w:tcBorders>
            <w:vAlign w:val="center"/>
          </w:tcPr>
          <w:p w14:paraId="361EE6D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2024年12月底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3D56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3530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98CE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976B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117BC5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6E9EB4">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F410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60AD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经济成本指标</w:t>
            </w:r>
          </w:p>
        </w:tc>
        <w:tc>
          <w:tcPr>
            <w:tcW w:w="1103" w:type="dxa"/>
            <w:tcBorders>
              <w:top w:val="single" w:color="auto" w:sz="10" w:space="0"/>
              <w:left w:val="single" w:color="auto" w:sz="10" w:space="0"/>
              <w:bottom w:val="single" w:color="auto" w:sz="10" w:space="0"/>
              <w:right w:val="single" w:color="auto" w:sz="10" w:space="0"/>
              <w:insideV w:val="single" w:sz="10" w:space="0"/>
            </w:tcBorders>
            <w:vAlign w:val="center"/>
          </w:tcPr>
          <w:p w14:paraId="6D19E4F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为民办实事经费</w:t>
            </w:r>
          </w:p>
        </w:tc>
        <w:tc>
          <w:tcPr>
            <w:tcW w:w="863" w:type="dxa"/>
            <w:tcBorders>
              <w:top w:val="single" w:color="auto" w:sz="10" w:space="0"/>
              <w:left w:val="single" w:color="auto" w:sz="10" w:space="0"/>
              <w:bottom w:val="single" w:color="auto" w:sz="10" w:space="0"/>
              <w:right w:val="single" w:color="auto" w:sz="10" w:space="0"/>
              <w:insideV w:val="single" w:sz="10" w:space="0"/>
            </w:tcBorders>
            <w:vAlign w:val="center"/>
          </w:tcPr>
          <w:p w14:paraId="04CF35D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7F95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ED81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0460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C440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5C8490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A5A93F">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CAA4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AB62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社会效益指标</w:t>
            </w:r>
          </w:p>
        </w:tc>
        <w:tc>
          <w:tcPr>
            <w:tcW w:w="1103" w:type="dxa"/>
            <w:tcBorders>
              <w:top w:val="single" w:color="auto" w:sz="10" w:space="0"/>
              <w:left w:val="single" w:color="auto" w:sz="10" w:space="0"/>
              <w:bottom w:val="single" w:color="auto" w:sz="10" w:space="0"/>
              <w:right w:val="single" w:color="auto" w:sz="10" w:space="0"/>
              <w:insideV w:val="single" w:sz="10" w:space="0"/>
            </w:tcBorders>
            <w:vAlign w:val="center"/>
          </w:tcPr>
          <w:p w14:paraId="1697D109">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做好群众工作，改善群众生活质量</w:t>
            </w:r>
          </w:p>
        </w:tc>
        <w:tc>
          <w:tcPr>
            <w:tcW w:w="863" w:type="dxa"/>
            <w:tcBorders>
              <w:top w:val="single" w:color="auto" w:sz="10" w:space="0"/>
              <w:left w:val="single" w:color="auto" w:sz="10" w:space="0"/>
              <w:bottom w:val="single" w:color="auto" w:sz="10" w:space="0"/>
              <w:right w:val="single" w:color="auto" w:sz="10" w:space="0"/>
              <w:insideV w:val="single" w:sz="10" w:space="0"/>
            </w:tcBorders>
            <w:vAlign w:val="center"/>
          </w:tcPr>
          <w:p w14:paraId="4889D4E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DC46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694B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0033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579D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72DBA357">
        <w:tblPrEx>
          <w:tblCellMar>
            <w:top w:w="0" w:type="dxa"/>
            <w:left w:w="108" w:type="dxa"/>
            <w:bottom w:w="0" w:type="dxa"/>
            <w:right w:w="108" w:type="dxa"/>
          </w:tblCellMar>
        </w:tblPrEx>
        <w:trPr>
          <w:trHeight w:val="942"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82A145">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E39A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2A00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满意度指标</w:t>
            </w:r>
          </w:p>
        </w:tc>
        <w:tc>
          <w:tcPr>
            <w:tcW w:w="1103" w:type="dxa"/>
            <w:tcBorders>
              <w:top w:val="single" w:color="auto" w:sz="10" w:space="0"/>
              <w:left w:val="single" w:color="auto" w:sz="10" w:space="0"/>
              <w:bottom w:val="single" w:color="auto" w:sz="10" w:space="0"/>
              <w:right w:val="single" w:color="auto" w:sz="10" w:space="0"/>
              <w:insideV w:val="single" w:sz="10" w:space="0"/>
            </w:tcBorders>
            <w:vAlign w:val="center"/>
          </w:tcPr>
          <w:p w14:paraId="3C771C3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宋体" w:hAnsi="宋体" w:eastAsia="宋体"/>
                <w:sz w:val="16"/>
              </w:rPr>
            </w:pPr>
            <w:r>
              <w:rPr>
                <w:rFonts w:ascii="宋体" w:hAnsi="宋体" w:eastAsia="宋体"/>
                <w:sz w:val="16"/>
              </w:rPr>
              <w:t>受益服务群众满意度</w:t>
            </w:r>
          </w:p>
        </w:tc>
        <w:tc>
          <w:tcPr>
            <w:tcW w:w="863" w:type="dxa"/>
            <w:tcBorders>
              <w:top w:val="single" w:color="auto" w:sz="10" w:space="0"/>
              <w:left w:val="single" w:color="auto" w:sz="10" w:space="0"/>
              <w:bottom w:val="single" w:color="auto" w:sz="10" w:space="0"/>
              <w:right w:val="single" w:color="auto" w:sz="10" w:space="0"/>
              <w:insideV w:val="single" w:sz="10" w:space="0"/>
            </w:tcBorders>
            <w:vAlign w:val="center"/>
          </w:tcPr>
          <w:p w14:paraId="17478D1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C32A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7962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0E72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97D5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679C178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DE41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总分</w:t>
            </w:r>
          </w:p>
        </w:tc>
        <w:tc>
          <w:tcPr>
            <w:tcW w:w="306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47B8B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863" w:type="dxa"/>
            <w:tcBorders>
              <w:top w:val="single" w:color="auto" w:sz="10" w:space="0"/>
              <w:left w:val="single" w:color="auto" w:sz="10" w:space="0"/>
              <w:bottom w:val="single" w:color="auto" w:sz="10" w:space="0"/>
              <w:right w:val="single" w:color="auto" w:sz="10" w:space="0"/>
              <w:insideV w:val="single" w:sz="10" w:space="0"/>
            </w:tcBorders>
            <w:vAlign w:val="center"/>
          </w:tcPr>
          <w:p w14:paraId="4B3006D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DA5418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100分</w:t>
            </w:r>
          </w:p>
        </w:tc>
      </w:tr>
    </w:tbl>
    <w:p w14:paraId="04CC9C4D">
      <w:pPr>
        <w:keepNext w:val="0"/>
        <w:keepLines w:val="0"/>
        <w:pageBreakBefore w:val="0"/>
        <w:widowControl w:val="0"/>
        <w:kinsoku/>
        <w:wordWrap/>
        <w:overflowPunct/>
        <w:topLinePunct w:val="0"/>
        <w:autoSpaceDE/>
        <w:autoSpaceDN/>
        <w:bidi w:val="0"/>
        <w:adjustRightInd/>
        <w:snapToGrid/>
        <w:spacing w:line="560" w:lineRule="exact"/>
        <w:textAlignment w:val="auto"/>
      </w:pPr>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9A0548B">
        <w:tblPrEx>
          <w:tblCellMar>
            <w:top w:w="0" w:type="dxa"/>
            <w:left w:w="108" w:type="dxa"/>
            <w:bottom w:w="0" w:type="dxa"/>
            <w:right w:w="108" w:type="dxa"/>
          </w:tblCellMar>
        </w:tblPrEx>
        <w:tc>
          <w:tcPr>
            <w:tcW w:w="8847" w:type="dxa"/>
            <w:gridSpan w:val="9"/>
            <w:vAlign w:val="center"/>
          </w:tcPr>
          <w:p w14:paraId="2E10861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24"/>
              </w:rPr>
              <w:t>项目支出绩效自评表</w:t>
            </w:r>
          </w:p>
        </w:tc>
      </w:tr>
      <w:tr w14:paraId="3A11A87D">
        <w:tblPrEx>
          <w:tblCellMar>
            <w:top w:w="0" w:type="dxa"/>
            <w:left w:w="108" w:type="dxa"/>
            <w:bottom w:w="0" w:type="dxa"/>
            <w:right w:w="108" w:type="dxa"/>
          </w:tblCellMar>
        </w:tblPrEx>
        <w:tc>
          <w:tcPr>
            <w:tcW w:w="8847" w:type="dxa"/>
            <w:gridSpan w:val="9"/>
            <w:vAlign w:val="center"/>
          </w:tcPr>
          <w:p w14:paraId="5886BD8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24"/>
              </w:rPr>
              <w:t>(2024年度)</w:t>
            </w:r>
          </w:p>
        </w:tc>
      </w:tr>
      <w:tr w14:paraId="33684C7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26B8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C0B485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2024年环境业务经费</w:t>
            </w:r>
          </w:p>
        </w:tc>
      </w:tr>
      <w:tr w14:paraId="498B4BC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88F9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9A3F9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和田地区生态环境局和田市分局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6466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D37947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和田地区生态环境局和田市分局</w:t>
            </w:r>
          </w:p>
        </w:tc>
      </w:tr>
      <w:tr w14:paraId="59D9495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43FBF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ED14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F4FC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C580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FE13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3768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0161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0D74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得分</w:t>
            </w:r>
          </w:p>
        </w:tc>
      </w:tr>
      <w:tr w14:paraId="111AF9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11E304">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B922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F638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BF47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B16D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69B4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3EDE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8B13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10.00分</w:t>
            </w:r>
          </w:p>
        </w:tc>
      </w:tr>
      <w:tr w14:paraId="5848D0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3C5715">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347D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5A2A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43CD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EAD6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FAAA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4029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46F5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r>
      <w:tr w14:paraId="624A7712">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EDA94D">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1952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7C67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8CB4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CBFF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6A1A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0285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E069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r>
      <w:tr w14:paraId="3F2FB5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95E966">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D53B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820A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CE4F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CBD1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B5BE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1DE1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CF8E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r>
      <w:tr w14:paraId="04ACCD4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05334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6104D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6CFCE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实际完成情况</w:t>
            </w:r>
          </w:p>
        </w:tc>
      </w:tr>
      <w:tr w14:paraId="084397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005523">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6B9D2E1">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hint="eastAsia" w:ascii="宋体" w:hAnsi="宋体"/>
                <w:sz w:val="16"/>
                <w:lang w:val="en-US" w:eastAsia="zh-CN"/>
              </w:rPr>
              <w:t>完成</w:t>
            </w:r>
            <w:r>
              <w:rPr>
                <w:rFonts w:ascii="宋体" w:hAnsi="宋体" w:eastAsia="宋体"/>
                <w:sz w:val="16"/>
              </w:rPr>
              <w:t>2024年专用设备</w:t>
            </w:r>
            <w:r>
              <w:rPr>
                <w:rFonts w:hint="eastAsia" w:ascii="宋体" w:hAnsi="宋体"/>
                <w:sz w:val="16"/>
                <w:lang w:val="en-US" w:eastAsia="zh-CN"/>
              </w:rPr>
              <w:t>及办公用品购置等，</w:t>
            </w:r>
            <w:r>
              <w:rPr>
                <w:rFonts w:ascii="宋体" w:hAnsi="宋体" w:eastAsia="宋体"/>
                <w:sz w:val="16"/>
              </w:rPr>
              <w:t>保障</w:t>
            </w:r>
            <w:r>
              <w:rPr>
                <w:rFonts w:hint="eastAsia" w:ascii="宋体" w:hAnsi="宋体"/>
                <w:sz w:val="16"/>
                <w:lang w:eastAsia="zh-CN"/>
              </w:rPr>
              <w:t>相关</w:t>
            </w:r>
            <w:r>
              <w:rPr>
                <w:rFonts w:hint="eastAsia" w:ascii="宋体" w:hAnsi="宋体"/>
                <w:sz w:val="16"/>
                <w:lang w:val="en-US" w:eastAsia="zh-CN"/>
              </w:rPr>
              <w:t>工作正常开展。</w:t>
            </w:r>
            <w:r>
              <w:rPr>
                <w:rFonts w:ascii="宋体" w:hAnsi="宋体" w:eastAsia="宋体"/>
                <w:sz w:val="16"/>
              </w:rPr>
              <w:br w:type="textWrapping"/>
            </w:r>
            <w:r>
              <w:rPr>
                <w:rFonts w:ascii="宋体" w:hAnsi="宋体" w:eastAsia="宋体"/>
                <w:sz w:val="16"/>
              </w:rPr>
              <w:t>完成15名人员业务提高培训、大练兵工作。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A2C350">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hint="eastAsia" w:ascii="宋体" w:hAnsi="宋体"/>
                <w:sz w:val="16"/>
                <w:lang w:eastAsia="zh-CN"/>
              </w:rPr>
              <w:t>截至</w:t>
            </w:r>
            <w:r>
              <w:rPr>
                <w:rFonts w:ascii="宋体" w:hAnsi="宋体" w:eastAsia="宋体"/>
                <w:sz w:val="16"/>
              </w:rPr>
              <w:t>2024年12月31日，本项目实际形成支出15万元，已完成专用设备购置2套，生态环境人员出差次数3次，网络运行维护10次，保障办公经费5次，环保各类宣传活动举办次数5次，环保大练兵次数5次的任务，达到了有效提高了群众对生态环境的重视程度，保障了生态环境的稳定性的效益，环保受众满意度达到100%。</w:t>
            </w:r>
          </w:p>
        </w:tc>
      </w:tr>
      <w:tr w14:paraId="539097B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E63172C">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FD4B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AB60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1D61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5B2B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71AE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7484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710B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3791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偏差原因分析及改进措施</w:t>
            </w:r>
          </w:p>
        </w:tc>
      </w:tr>
      <w:tr w14:paraId="27CEF5F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FBAD6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EEE88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295A3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7B57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专用设备购置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BC69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7C8B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956E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FB42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0C2A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3786D9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6EFC3C">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717411">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079C27">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FE49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生态环境人员出差次数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29C2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297E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A720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1834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7CE0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7919C2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9B44B3">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3E6C76">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8412CD">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D671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网络运行维护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F77C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02E1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DB0F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7688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0B5B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269EA7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62C5E2">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950CF0">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C4E4BC">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082D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保障办公经费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CA6A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DC89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E6D4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A660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5099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2FE455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3C4966">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B3BA8F">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99D4A3">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DE4C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环境应急调度系统建设（一期）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200B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2085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B6CE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309B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ECFF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1F7D19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261B30">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F6FE74">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674F47">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AE6C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环保各类宣传活动举办次数（个）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0523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27EC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296E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AB5C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CC77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04BD7E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9712BE">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795A78">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CA3FE5">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8A35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环保大练兵次数（次）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AF36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6804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A122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E441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3F1D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031842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70D52F">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7CFCA9">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B787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CAC6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环境监察执法达标率（%）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8783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0CFD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38E4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AD40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1A79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0B4A1C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EBB12D">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EFE2F1">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91A8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53E9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网络运行</w:t>
            </w:r>
            <w:r>
              <w:rPr>
                <w:rFonts w:hint="eastAsia" w:ascii="宋体" w:hAnsi="宋体"/>
                <w:sz w:val="16"/>
                <w:lang w:eastAsia="zh-CN"/>
              </w:rPr>
              <w:t>稳定率</w:t>
            </w: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FD5A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2FCE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91DF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A792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3712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3E3D8BFF">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B652F8">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2A5E0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D39B3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10BD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办公用品保障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1AAA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≤50000元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EF9A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=50000元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41B2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FBAA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C588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0A57C0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796B17">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A23D59">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C9B6D5">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B9F6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设备保障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0FCC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≤20000元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CD6A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=20000元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4616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71C3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53AE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46A7EF25">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00906F">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AAE27D">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385C1E">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190F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大练兵业务提升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78BC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AD72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7E56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C6AC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5E9C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3CAC2D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88FA23">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E0D689">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F9B974">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E17B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保障网络运行维护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DB4F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≤20000元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AB22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=20000元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4262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D49B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E16D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47D217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5C1572">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CA6F52">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199153">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40FE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环境应急调度系统建设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73ED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≤20000元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035C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=20000元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75E4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2BDF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578E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751C27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B1A8A7">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91D45E">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BE349C">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E5EE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环保各类宣传活动举办次数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A13A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≤20000元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E4AA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=20000元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DC02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FE7C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3692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11485C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57C167">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78C6B2">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7B0B6E">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4222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bookmarkStart w:id="0" w:name="_GoBack"/>
            <w:bookmarkEnd w:id="0"/>
            <w:r>
              <w:rPr>
                <w:rFonts w:ascii="宋体" w:hAnsi="宋体" w:eastAsia="宋体"/>
                <w:sz w:val="16"/>
              </w:rPr>
              <w:t>人员差费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1211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8652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7386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29A8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EAC0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629572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25C6AB">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B1632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C3DC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411A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对重点污染源管控能力提高程度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38D3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E041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BAD3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C60B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5137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7BF3C4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0662FA">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D0FE01">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D049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2333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对生态环境稳定的有效保障程度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6B9D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6C3D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79DF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5FE4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8F12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630642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D3914A">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730E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427D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C1D2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环保受众满意度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E2B7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3766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CF12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2286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E4F3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654DD8D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4844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2BD79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5B58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79C583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100分</w:t>
            </w:r>
          </w:p>
        </w:tc>
      </w:tr>
    </w:tbl>
    <w:p w14:paraId="6F905966">
      <w:pPr>
        <w:keepNext w:val="0"/>
        <w:keepLines w:val="0"/>
        <w:pageBreakBefore w:val="0"/>
        <w:widowControl w:val="0"/>
        <w:kinsoku/>
        <w:wordWrap/>
        <w:overflowPunct/>
        <w:topLinePunct w:val="0"/>
        <w:autoSpaceDE/>
        <w:autoSpaceDN/>
        <w:bidi w:val="0"/>
        <w:adjustRightInd/>
        <w:snapToGrid/>
        <w:spacing w:line="560" w:lineRule="exact"/>
        <w:textAlignment w:val="auto"/>
      </w:pPr>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61"/>
        <w:gridCol w:w="1106"/>
        <w:gridCol w:w="882"/>
        <w:gridCol w:w="983"/>
        <w:gridCol w:w="983"/>
        <w:gridCol w:w="983"/>
        <w:gridCol w:w="983"/>
      </w:tblGrid>
      <w:tr w14:paraId="4E9F04A1">
        <w:tblPrEx>
          <w:tblCellMar>
            <w:top w:w="0" w:type="dxa"/>
            <w:left w:w="108" w:type="dxa"/>
            <w:bottom w:w="0" w:type="dxa"/>
            <w:right w:w="108" w:type="dxa"/>
          </w:tblCellMar>
        </w:tblPrEx>
        <w:tc>
          <w:tcPr>
            <w:tcW w:w="8847" w:type="dxa"/>
            <w:gridSpan w:val="9"/>
            <w:vAlign w:val="center"/>
          </w:tcPr>
          <w:p w14:paraId="4EB58F4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24"/>
              </w:rPr>
              <w:t>项目支出绩效自评表</w:t>
            </w:r>
          </w:p>
        </w:tc>
      </w:tr>
      <w:tr w14:paraId="4FF1B73B">
        <w:tblPrEx>
          <w:tblCellMar>
            <w:top w:w="0" w:type="dxa"/>
            <w:left w:w="108" w:type="dxa"/>
            <w:bottom w:w="0" w:type="dxa"/>
            <w:right w:w="108" w:type="dxa"/>
          </w:tblCellMar>
        </w:tblPrEx>
        <w:tc>
          <w:tcPr>
            <w:tcW w:w="8847" w:type="dxa"/>
            <w:gridSpan w:val="9"/>
            <w:vAlign w:val="center"/>
          </w:tcPr>
          <w:p w14:paraId="4055AD8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24"/>
              </w:rPr>
              <w:t>(2024年度)</w:t>
            </w:r>
          </w:p>
        </w:tc>
      </w:tr>
      <w:tr w14:paraId="31C5C19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7995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C38B38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和田市声功能区噪声自动监测站建设项目</w:t>
            </w:r>
          </w:p>
        </w:tc>
      </w:tr>
      <w:tr w14:paraId="59008D6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1F3B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主管部门</w:t>
            </w:r>
          </w:p>
        </w:tc>
        <w:tc>
          <w:tcPr>
            <w:tcW w:w="305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2476E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和田地区生态环境局和田市分局</w:t>
            </w:r>
          </w:p>
        </w:tc>
        <w:tc>
          <w:tcPr>
            <w:tcW w:w="882" w:type="dxa"/>
            <w:tcBorders>
              <w:top w:val="single" w:color="auto" w:sz="10" w:space="0"/>
              <w:left w:val="single" w:color="auto" w:sz="10" w:space="0"/>
              <w:bottom w:val="single" w:color="auto" w:sz="10" w:space="0"/>
              <w:right w:val="single" w:color="auto" w:sz="10" w:space="0"/>
              <w:insideV w:val="single" w:sz="10" w:space="0"/>
            </w:tcBorders>
            <w:vAlign w:val="center"/>
          </w:tcPr>
          <w:p w14:paraId="2494E25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108201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和田地区生态环境局和田市分局</w:t>
            </w:r>
          </w:p>
        </w:tc>
      </w:tr>
      <w:tr w14:paraId="1ECED7C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72745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项目资金 （万元）</w:t>
            </w:r>
          </w:p>
        </w:tc>
        <w:tc>
          <w:tcPr>
            <w:tcW w:w="19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7E64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c>
          <w:tcPr>
            <w:tcW w:w="1106" w:type="dxa"/>
            <w:tcBorders>
              <w:top w:val="single" w:color="auto" w:sz="10" w:space="0"/>
              <w:left w:val="single" w:color="auto" w:sz="10" w:space="0"/>
              <w:bottom w:val="single" w:color="auto" w:sz="10" w:space="0"/>
              <w:right w:val="single" w:color="auto" w:sz="10" w:space="0"/>
              <w:insideV w:val="single" w:sz="10" w:space="0"/>
            </w:tcBorders>
            <w:vAlign w:val="center"/>
          </w:tcPr>
          <w:p w14:paraId="6D55185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年初预算数</w:t>
            </w:r>
          </w:p>
        </w:tc>
        <w:tc>
          <w:tcPr>
            <w:tcW w:w="882" w:type="dxa"/>
            <w:tcBorders>
              <w:top w:val="single" w:color="auto" w:sz="10" w:space="0"/>
              <w:left w:val="single" w:color="auto" w:sz="10" w:space="0"/>
              <w:bottom w:val="single" w:color="auto" w:sz="10" w:space="0"/>
              <w:right w:val="single" w:color="auto" w:sz="10" w:space="0"/>
              <w:insideV w:val="single" w:sz="10" w:space="0"/>
            </w:tcBorders>
            <w:vAlign w:val="center"/>
          </w:tcPr>
          <w:p w14:paraId="6BDB81C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0478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2A72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B921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23B4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得分</w:t>
            </w:r>
          </w:p>
        </w:tc>
      </w:tr>
      <w:tr w14:paraId="6A0F33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3C5E31">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9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7CAB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年度资金总额</w:t>
            </w:r>
          </w:p>
        </w:tc>
        <w:tc>
          <w:tcPr>
            <w:tcW w:w="1106" w:type="dxa"/>
            <w:tcBorders>
              <w:top w:val="single" w:color="auto" w:sz="10" w:space="0"/>
              <w:left w:val="single" w:color="auto" w:sz="10" w:space="0"/>
              <w:bottom w:val="single" w:color="auto" w:sz="10" w:space="0"/>
              <w:right w:val="single" w:color="auto" w:sz="10" w:space="0"/>
              <w:insideV w:val="single" w:sz="10" w:space="0"/>
            </w:tcBorders>
            <w:vAlign w:val="center"/>
          </w:tcPr>
          <w:p w14:paraId="078716B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140.00</w:t>
            </w:r>
          </w:p>
        </w:tc>
        <w:tc>
          <w:tcPr>
            <w:tcW w:w="882" w:type="dxa"/>
            <w:tcBorders>
              <w:top w:val="single" w:color="auto" w:sz="10" w:space="0"/>
              <w:left w:val="single" w:color="auto" w:sz="10" w:space="0"/>
              <w:bottom w:val="single" w:color="auto" w:sz="10" w:space="0"/>
              <w:right w:val="single" w:color="auto" w:sz="10" w:space="0"/>
              <w:insideV w:val="single" w:sz="10" w:space="0"/>
            </w:tcBorders>
            <w:vAlign w:val="center"/>
          </w:tcPr>
          <w:p w14:paraId="4B26076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0BDA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113.40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4640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13FE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 xml:space="preserve">81.00%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0A61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5.25分</w:t>
            </w:r>
          </w:p>
        </w:tc>
      </w:tr>
      <w:tr w14:paraId="0EF475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BBCF68">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9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3CB9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其中：当年财政拨款</w:t>
            </w:r>
          </w:p>
        </w:tc>
        <w:tc>
          <w:tcPr>
            <w:tcW w:w="1106" w:type="dxa"/>
            <w:tcBorders>
              <w:top w:val="single" w:color="auto" w:sz="10" w:space="0"/>
              <w:left w:val="single" w:color="auto" w:sz="10" w:space="0"/>
              <w:bottom w:val="single" w:color="auto" w:sz="10" w:space="0"/>
              <w:right w:val="single" w:color="auto" w:sz="10" w:space="0"/>
              <w:insideV w:val="single" w:sz="10" w:space="0"/>
            </w:tcBorders>
            <w:vAlign w:val="center"/>
          </w:tcPr>
          <w:p w14:paraId="276A5E6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140.00</w:t>
            </w:r>
          </w:p>
        </w:tc>
        <w:tc>
          <w:tcPr>
            <w:tcW w:w="882" w:type="dxa"/>
            <w:tcBorders>
              <w:top w:val="single" w:color="auto" w:sz="10" w:space="0"/>
              <w:left w:val="single" w:color="auto" w:sz="10" w:space="0"/>
              <w:bottom w:val="single" w:color="auto" w:sz="10" w:space="0"/>
              <w:right w:val="single" w:color="auto" w:sz="10" w:space="0"/>
              <w:insideV w:val="single" w:sz="10" w:space="0"/>
            </w:tcBorders>
            <w:vAlign w:val="center"/>
          </w:tcPr>
          <w:p w14:paraId="53E09DC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0B00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113.40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F67D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49E1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CAB9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r>
      <w:tr w14:paraId="3B0B66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362E31">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9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0E09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 xml:space="preserve">      上年结转资金</w:t>
            </w:r>
          </w:p>
        </w:tc>
        <w:tc>
          <w:tcPr>
            <w:tcW w:w="1106" w:type="dxa"/>
            <w:tcBorders>
              <w:top w:val="single" w:color="auto" w:sz="10" w:space="0"/>
              <w:left w:val="single" w:color="auto" w:sz="10" w:space="0"/>
              <w:bottom w:val="single" w:color="auto" w:sz="10" w:space="0"/>
              <w:right w:val="single" w:color="auto" w:sz="10" w:space="0"/>
              <w:insideV w:val="single" w:sz="10" w:space="0"/>
            </w:tcBorders>
            <w:vAlign w:val="center"/>
          </w:tcPr>
          <w:p w14:paraId="60761A5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882" w:type="dxa"/>
            <w:tcBorders>
              <w:top w:val="single" w:color="auto" w:sz="10" w:space="0"/>
              <w:left w:val="single" w:color="auto" w:sz="10" w:space="0"/>
              <w:bottom w:val="single" w:color="auto" w:sz="10" w:space="0"/>
              <w:right w:val="single" w:color="auto" w:sz="10" w:space="0"/>
              <w:insideV w:val="single" w:sz="10" w:space="0"/>
            </w:tcBorders>
            <w:vAlign w:val="center"/>
          </w:tcPr>
          <w:p w14:paraId="2152372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FF4C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3EA2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0A05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39C3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r>
      <w:tr w14:paraId="50CB5D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0C4414">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9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B986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 xml:space="preserve">  其他资金</w:t>
            </w:r>
          </w:p>
        </w:tc>
        <w:tc>
          <w:tcPr>
            <w:tcW w:w="1106" w:type="dxa"/>
            <w:tcBorders>
              <w:top w:val="single" w:color="auto" w:sz="10" w:space="0"/>
              <w:left w:val="single" w:color="auto" w:sz="10" w:space="0"/>
              <w:bottom w:val="single" w:color="auto" w:sz="10" w:space="0"/>
              <w:right w:val="single" w:color="auto" w:sz="10" w:space="0"/>
              <w:insideV w:val="single" w:sz="10" w:space="0"/>
            </w:tcBorders>
            <w:vAlign w:val="center"/>
          </w:tcPr>
          <w:p w14:paraId="1120F37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882" w:type="dxa"/>
            <w:tcBorders>
              <w:top w:val="single" w:color="auto" w:sz="10" w:space="0"/>
              <w:left w:val="single" w:color="auto" w:sz="10" w:space="0"/>
              <w:bottom w:val="single" w:color="auto" w:sz="10" w:space="0"/>
              <w:right w:val="single" w:color="auto" w:sz="10" w:space="0"/>
              <w:insideV w:val="single" w:sz="10" w:space="0"/>
            </w:tcBorders>
            <w:vAlign w:val="center"/>
          </w:tcPr>
          <w:p w14:paraId="77603BD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D75C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B710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06C8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DA04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r>
      <w:tr w14:paraId="581BF2C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DED67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年度总体目标</w:t>
            </w:r>
          </w:p>
        </w:tc>
        <w:tc>
          <w:tcPr>
            <w:tcW w:w="305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7C37B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预期目标</w:t>
            </w:r>
          </w:p>
        </w:tc>
        <w:tc>
          <w:tcPr>
            <w:tcW w:w="481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C697D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实际完成情况</w:t>
            </w:r>
          </w:p>
        </w:tc>
      </w:tr>
      <w:tr w14:paraId="6B4EF1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1CD9A3">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305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A8A18F">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1.建设一套声环境质量管理平台; 2.建设10套噪声自动监测站（其中监测系统 2 套）；3.建设一套移动监测走航系统4.第三方运维服务（噪声监测系统第三方运维服务 2 年、软件平台第三方运维服务2年）5.其他事宜（安装调试服务.联网验收服务.质保服务2年）。</w:t>
            </w:r>
          </w:p>
        </w:tc>
        <w:tc>
          <w:tcPr>
            <w:tcW w:w="481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50FCD7">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hint="eastAsia" w:ascii="宋体" w:hAnsi="宋体"/>
                <w:sz w:val="16"/>
                <w:lang w:eastAsia="zh-CN"/>
              </w:rPr>
              <w:t>截至</w:t>
            </w:r>
            <w:r>
              <w:rPr>
                <w:rFonts w:ascii="宋体" w:hAnsi="宋体" w:eastAsia="宋体"/>
                <w:sz w:val="16"/>
              </w:rPr>
              <w:t>2024年12月31日，本项目实际形成支出113.4万元，已完成建设一套声环境质量管理平台，建设10套噪声自动监测站（其中监测系统2套），第三方运维服务（噪声监测系统第三方运维服务2年、软件平台第三方运维服务2年，其他事宜（安装调试服务、联网验收服务、质保服务2年）的任务。达到了提升旅游城市软实力的效益，受益环保受众满意度达到100%。</w:t>
            </w:r>
          </w:p>
        </w:tc>
      </w:tr>
      <w:tr w14:paraId="6A244A2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B9D360A">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7DA8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一级指标</w:t>
            </w:r>
          </w:p>
        </w:tc>
        <w:tc>
          <w:tcPr>
            <w:tcW w:w="961" w:type="dxa"/>
            <w:tcBorders>
              <w:top w:val="single" w:color="auto" w:sz="10" w:space="0"/>
              <w:left w:val="single" w:color="auto" w:sz="10" w:space="0"/>
              <w:bottom w:val="single" w:color="auto" w:sz="10" w:space="0"/>
              <w:right w:val="single" w:color="auto" w:sz="10" w:space="0"/>
              <w:insideV w:val="single" w:sz="10" w:space="0"/>
            </w:tcBorders>
            <w:vAlign w:val="center"/>
          </w:tcPr>
          <w:p w14:paraId="25796C2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二级指标</w:t>
            </w:r>
          </w:p>
        </w:tc>
        <w:tc>
          <w:tcPr>
            <w:tcW w:w="1106" w:type="dxa"/>
            <w:tcBorders>
              <w:top w:val="single" w:color="auto" w:sz="10" w:space="0"/>
              <w:left w:val="single" w:color="auto" w:sz="10" w:space="0"/>
              <w:bottom w:val="single" w:color="auto" w:sz="10" w:space="0"/>
              <w:right w:val="single" w:color="auto" w:sz="10" w:space="0"/>
              <w:insideV w:val="single" w:sz="10" w:space="0"/>
            </w:tcBorders>
            <w:vAlign w:val="center"/>
          </w:tcPr>
          <w:p w14:paraId="044D068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三级指标</w:t>
            </w:r>
          </w:p>
        </w:tc>
        <w:tc>
          <w:tcPr>
            <w:tcW w:w="882" w:type="dxa"/>
            <w:tcBorders>
              <w:top w:val="single" w:color="auto" w:sz="10" w:space="0"/>
              <w:left w:val="single" w:color="auto" w:sz="10" w:space="0"/>
              <w:bottom w:val="single" w:color="auto" w:sz="10" w:space="0"/>
              <w:right w:val="single" w:color="auto" w:sz="10" w:space="0"/>
              <w:insideV w:val="single" w:sz="10" w:space="0"/>
            </w:tcBorders>
            <w:vAlign w:val="center"/>
          </w:tcPr>
          <w:p w14:paraId="652D021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BCCB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1ACB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F694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2B24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偏差原因分析及改进措施</w:t>
            </w:r>
          </w:p>
        </w:tc>
      </w:tr>
      <w:tr w14:paraId="7111DFD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83B3E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B0926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产出指标</w:t>
            </w:r>
          </w:p>
        </w:tc>
        <w:tc>
          <w:tcPr>
            <w:tcW w:w="96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522E2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数量指标</w:t>
            </w:r>
          </w:p>
        </w:tc>
        <w:tc>
          <w:tcPr>
            <w:tcW w:w="1106" w:type="dxa"/>
            <w:tcBorders>
              <w:top w:val="single" w:color="auto" w:sz="10" w:space="0"/>
              <w:left w:val="single" w:color="auto" w:sz="10" w:space="0"/>
              <w:bottom w:val="single" w:color="auto" w:sz="10" w:space="0"/>
              <w:right w:val="single" w:color="auto" w:sz="10" w:space="0"/>
              <w:insideV w:val="single" w:sz="10" w:space="0"/>
            </w:tcBorders>
            <w:vAlign w:val="center"/>
          </w:tcPr>
          <w:p w14:paraId="58B3934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噪声自动监测子站（含气象监测单元）</w:t>
            </w:r>
          </w:p>
        </w:tc>
        <w:tc>
          <w:tcPr>
            <w:tcW w:w="882" w:type="dxa"/>
            <w:tcBorders>
              <w:top w:val="single" w:color="auto" w:sz="10" w:space="0"/>
              <w:left w:val="single" w:color="auto" w:sz="10" w:space="0"/>
              <w:bottom w:val="single" w:color="auto" w:sz="10" w:space="0"/>
              <w:right w:val="single" w:color="auto" w:sz="10" w:space="0"/>
              <w:insideV w:val="single" w:sz="10" w:space="0"/>
            </w:tcBorders>
            <w:vAlign w:val="center"/>
          </w:tcPr>
          <w:p w14:paraId="7539135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C844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073B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ACB3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C1AE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6C7CBF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781526">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19EB23">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61" w:type="dxa"/>
            <w:vMerge w:val="continue"/>
            <w:tcBorders>
              <w:top w:val="single" w:color="auto" w:sz="10" w:space="0"/>
              <w:left w:val="single" w:color="auto" w:sz="10" w:space="0"/>
              <w:bottom w:val="single" w:color="auto" w:sz="10" w:space="0"/>
              <w:right w:val="single" w:color="auto" w:sz="10" w:space="0"/>
              <w:insideV w:val="single" w:sz="10" w:space="0"/>
            </w:tcBorders>
          </w:tcPr>
          <w:p w14:paraId="5298C515">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106" w:type="dxa"/>
            <w:tcBorders>
              <w:top w:val="single" w:color="auto" w:sz="10" w:space="0"/>
              <w:left w:val="single" w:color="auto" w:sz="10" w:space="0"/>
              <w:bottom w:val="single" w:color="auto" w:sz="10" w:space="0"/>
              <w:right w:val="single" w:color="auto" w:sz="10" w:space="0"/>
              <w:insideV w:val="single" w:sz="10" w:space="0"/>
            </w:tcBorders>
            <w:vAlign w:val="center"/>
          </w:tcPr>
          <w:p w14:paraId="3361BC0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噪声监测</w:t>
            </w:r>
            <w:r>
              <w:rPr>
                <w:rFonts w:hint="eastAsia" w:ascii="宋体" w:hAnsi="宋体"/>
                <w:sz w:val="16"/>
                <w:lang w:eastAsia="zh-CN"/>
              </w:rPr>
              <w:t>管理</w:t>
            </w:r>
            <w:r>
              <w:rPr>
                <w:rFonts w:ascii="宋体" w:hAnsi="宋体" w:eastAsia="宋体"/>
                <w:sz w:val="16"/>
              </w:rPr>
              <w:t>平台（含数据服务器）</w:t>
            </w:r>
          </w:p>
        </w:tc>
        <w:tc>
          <w:tcPr>
            <w:tcW w:w="882" w:type="dxa"/>
            <w:tcBorders>
              <w:top w:val="single" w:color="auto" w:sz="10" w:space="0"/>
              <w:left w:val="single" w:color="auto" w:sz="10" w:space="0"/>
              <w:bottom w:val="single" w:color="auto" w:sz="10" w:space="0"/>
              <w:right w:val="single" w:color="auto" w:sz="10" w:space="0"/>
              <w:insideV w:val="single" w:sz="10" w:space="0"/>
            </w:tcBorders>
            <w:vAlign w:val="center"/>
          </w:tcPr>
          <w:p w14:paraId="5975695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D3FD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21C8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8250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DC3C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53BFC9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27EA7D">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F49C42">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61" w:type="dxa"/>
            <w:vMerge w:val="continue"/>
            <w:tcBorders>
              <w:top w:val="single" w:color="auto" w:sz="10" w:space="0"/>
              <w:left w:val="single" w:color="auto" w:sz="10" w:space="0"/>
              <w:bottom w:val="single" w:color="auto" w:sz="10" w:space="0"/>
              <w:right w:val="single" w:color="auto" w:sz="10" w:space="0"/>
              <w:insideV w:val="single" w:sz="10" w:space="0"/>
            </w:tcBorders>
          </w:tcPr>
          <w:p w14:paraId="608BFCF7">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106" w:type="dxa"/>
            <w:tcBorders>
              <w:top w:val="single" w:color="auto" w:sz="10" w:space="0"/>
              <w:left w:val="single" w:color="auto" w:sz="10" w:space="0"/>
              <w:bottom w:val="single" w:color="auto" w:sz="10" w:space="0"/>
              <w:right w:val="single" w:color="auto" w:sz="10" w:space="0"/>
              <w:insideV w:val="single" w:sz="10" w:space="0"/>
            </w:tcBorders>
            <w:vAlign w:val="center"/>
          </w:tcPr>
          <w:p w14:paraId="20AA935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噪声自动监测子站运维服务保障年限</w:t>
            </w:r>
          </w:p>
        </w:tc>
        <w:tc>
          <w:tcPr>
            <w:tcW w:w="882" w:type="dxa"/>
            <w:tcBorders>
              <w:top w:val="single" w:color="auto" w:sz="10" w:space="0"/>
              <w:left w:val="single" w:color="auto" w:sz="10" w:space="0"/>
              <w:bottom w:val="single" w:color="auto" w:sz="10" w:space="0"/>
              <w:right w:val="single" w:color="auto" w:sz="10" w:space="0"/>
              <w:insideV w:val="single" w:sz="10" w:space="0"/>
            </w:tcBorders>
            <w:vAlign w:val="center"/>
          </w:tcPr>
          <w:p w14:paraId="4C4989B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EA0F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89AB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CFDA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7AF3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188C45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2737B3">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E65AEA">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6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1F5F7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质量指标</w:t>
            </w:r>
          </w:p>
        </w:tc>
        <w:tc>
          <w:tcPr>
            <w:tcW w:w="1106" w:type="dxa"/>
            <w:tcBorders>
              <w:top w:val="single" w:color="auto" w:sz="10" w:space="0"/>
              <w:left w:val="single" w:color="auto" w:sz="10" w:space="0"/>
              <w:bottom w:val="single" w:color="auto" w:sz="10" w:space="0"/>
              <w:right w:val="single" w:color="auto" w:sz="10" w:space="0"/>
              <w:insideV w:val="single" w:sz="10" w:space="0"/>
            </w:tcBorders>
            <w:vAlign w:val="center"/>
          </w:tcPr>
          <w:p w14:paraId="409C37C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仪器、设备合规率</w:t>
            </w:r>
          </w:p>
        </w:tc>
        <w:tc>
          <w:tcPr>
            <w:tcW w:w="882" w:type="dxa"/>
            <w:tcBorders>
              <w:top w:val="single" w:color="auto" w:sz="10" w:space="0"/>
              <w:left w:val="single" w:color="auto" w:sz="10" w:space="0"/>
              <w:bottom w:val="single" w:color="auto" w:sz="10" w:space="0"/>
              <w:right w:val="single" w:color="auto" w:sz="10" w:space="0"/>
              <w:insideV w:val="single" w:sz="10" w:space="0"/>
            </w:tcBorders>
            <w:vAlign w:val="center"/>
          </w:tcPr>
          <w:p w14:paraId="32FC775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7B06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3C91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0517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AE78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750AA08A">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DF0C69">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D1CFC9">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61" w:type="dxa"/>
            <w:vMerge w:val="continue"/>
            <w:tcBorders>
              <w:top w:val="single" w:color="auto" w:sz="10" w:space="0"/>
              <w:left w:val="single" w:color="auto" w:sz="10" w:space="0"/>
              <w:bottom w:val="single" w:color="auto" w:sz="10" w:space="0"/>
              <w:right w:val="single" w:color="auto" w:sz="10" w:space="0"/>
              <w:insideV w:val="single" w:sz="10" w:space="0"/>
            </w:tcBorders>
          </w:tcPr>
          <w:p w14:paraId="0FB9D6EE">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106" w:type="dxa"/>
            <w:tcBorders>
              <w:top w:val="single" w:color="auto" w:sz="10" w:space="0"/>
              <w:left w:val="single" w:color="auto" w:sz="10" w:space="0"/>
              <w:bottom w:val="single" w:color="auto" w:sz="10" w:space="0"/>
              <w:right w:val="single" w:color="auto" w:sz="10" w:space="0"/>
              <w:insideV w:val="single" w:sz="10" w:space="0"/>
            </w:tcBorders>
            <w:vAlign w:val="center"/>
          </w:tcPr>
          <w:p w14:paraId="306F79A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运行维护达标率</w:t>
            </w:r>
          </w:p>
        </w:tc>
        <w:tc>
          <w:tcPr>
            <w:tcW w:w="882" w:type="dxa"/>
            <w:tcBorders>
              <w:top w:val="single" w:color="auto" w:sz="10" w:space="0"/>
              <w:left w:val="single" w:color="auto" w:sz="10" w:space="0"/>
              <w:bottom w:val="single" w:color="auto" w:sz="10" w:space="0"/>
              <w:right w:val="single" w:color="auto" w:sz="10" w:space="0"/>
              <w:insideV w:val="single" w:sz="10" w:space="0"/>
            </w:tcBorders>
            <w:vAlign w:val="center"/>
          </w:tcPr>
          <w:p w14:paraId="1733B2D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FFC1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E438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29A1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C5F9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2B8462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971188">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C251E8">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61" w:type="dxa"/>
            <w:vMerge w:val="continue"/>
            <w:tcBorders>
              <w:top w:val="single" w:color="auto" w:sz="10" w:space="0"/>
              <w:left w:val="single" w:color="auto" w:sz="10" w:space="0"/>
              <w:bottom w:val="single" w:color="auto" w:sz="10" w:space="0"/>
              <w:right w:val="single" w:color="auto" w:sz="10" w:space="0"/>
              <w:insideV w:val="single" w:sz="10" w:space="0"/>
            </w:tcBorders>
          </w:tcPr>
          <w:p w14:paraId="67F6364B">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106" w:type="dxa"/>
            <w:tcBorders>
              <w:top w:val="single" w:color="auto" w:sz="10" w:space="0"/>
              <w:left w:val="single" w:color="auto" w:sz="10" w:space="0"/>
              <w:bottom w:val="single" w:color="auto" w:sz="10" w:space="0"/>
              <w:right w:val="single" w:color="auto" w:sz="10" w:space="0"/>
              <w:insideV w:val="single" w:sz="10" w:space="0"/>
            </w:tcBorders>
            <w:vAlign w:val="center"/>
          </w:tcPr>
          <w:p w14:paraId="637ADE1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设备故障率</w:t>
            </w:r>
          </w:p>
        </w:tc>
        <w:tc>
          <w:tcPr>
            <w:tcW w:w="882" w:type="dxa"/>
            <w:tcBorders>
              <w:top w:val="single" w:color="auto" w:sz="10" w:space="0"/>
              <w:left w:val="single" w:color="auto" w:sz="10" w:space="0"/>
              <w:bottom w:val="single" w:color="auto" w:sz="10" w:space="0"/>
              <w:right w:val="single" w:color="auto" w:sz="10" w:space="0"/>
              <w:insideV w:val="single" w:sz="10" w:space="0"/>
            </w:tcBorders>
            <w:vAlign w:val="center"/>
          </w:tcPr>
          <w:p w14:paraId="3D9D593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ACF2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859B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3B87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513E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488B6D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D1BCC3">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1E822C">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6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B7DA9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时效指标</w:t>
            </w:r>
          </w:p>
        </w:tc>
        <w:tc>
          <w:tcPr>
            <w:tcW w:w="1106" w:type="dxa"/>
            <w:tcBorders>
              <w:top w:val="single" w:color="auto" w:sz="10" w:space="0"/>
              <w:left w:val="single" w:color="auto" w:sz="10" w:space="0"/>
              <w:bottom w:val="single" w:color="auto" w:sz="10" w:space="0"/>
              <w:right w:val="single" w:color="auto" w:sz="10" w:space="0"/>
              <w:insideV w:val="single" w:sz="10" w:space="0"/>
            </w:tcBorders>
            <w:vAlign w:val="center"/>
          </w:tcPr>
          <w:p w14:paraId="288F303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设备采购安装及时率</w:t>
            </w:r>
          </w:p>
        </w:tc>
        <w:tc>
          <w:tcPr>
            <w:tcW w:w="882" w:type="dxa"/>
            <w:tcBorders>
              <w:top w:val="single" w:color="auto" w:sz="10" w:space="0"/>
              <w:left w:val="single" w:color="auto" w:sz="10" w:space="0"/>
              <w:bottom w:val="single" w:color="auto" w:sz="10" w:space="0"/>
              <w:right w:val="single" w:color="auto" w:sz="10" w:space="0"/>
              <w:insideV w:val="single" w:sz="10" w:space="0"/>
            </w:tcBorders>
            <w:vAlign w:val="center"/>
          </w:tcPr>
          <w:p w14:paraId="653DCD6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AF6D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E8B3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87F6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52A1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72148A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74A876">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02E81C">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61" w:type="dxa"/>
            <w:vMerge w:val="continue"/>
            <w:tcBorders>
              <w:top w:val="single" w:color="auto" w:sz="10" w:space="0"/>
              <w:left w:val="single" w:color="auto" w:sz="10" w:space="0"/>
              <w:bottom w:val="single" w:color="auto" w:sz="10" w:space="0"/>
              <w:right w:val="single" w:color="auto" w:sz="10" w:space="0"/>
              <w:insideV w:val="single" w:sz="10" w:space="0"/>
            </w:tcBorders>
          </w:tcPr>
          <w:p w14:paraId="6D72DCE9">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106" w:type="dxa"/>
            <w:tcBorders>
              <w:top w:val="single" w:color="auto" w:sz="10" w:space="0"/>
              <w:left w:val="single" w:color="auto" w:sz="10" w:space="0"/>
              <w:bottom w:val="single" w:color="auto" w:sz="10" w:space="0"/>
              <w:right w:val="single" w:color="auto" w:sz="10" w:space="0"/>
              <w:insideV w:val="single" w:sz="10" w:space="0"/>
            </w:tcBorders>
            <w:vAlign w:val="center"/>
          </w:tcPr>
          <w:p w14:paraId="48FADD5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设备运行维护及时率</w:t>
            </w:r>
          </w:p>
        </w:tc>
        <w:tc>
          <w:tcPr>
            <w:tcW w:w="882" w:type="dxa"/>
            <w:tcBorders>
              <w:top w:val="single" w:color="auto" w:sz="10" w:space="0"/>
              <w:left w:val="single" w:color="auto" w:sz="10" w:space="0"/>
              <w:bottom w:val="single" w:color="auto" w:sz="10" w:space="0"/>
              <w:right w:val="single" w:color="auto" w:sz="10" w:space="0"/>
              <w:insideV w:val="single" w:sz="10" w:space="0"/>
            </w:tcBorders>
            <w:vAlign w:val="center"/>
          </w:tcPr>
          <w:p w14:paraId="09F1C15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AEFA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7CB8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796F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2EBA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573A01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E643FE">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E776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成本指标</w:t>
            </w:r>
          </w:p>
        </w:tc>
        <w:tc>
          <w:tcPr>
            <w:tcW w:w="961" w:type="dxa"/>
            <w:tcBorders>
              <w:top w:val="single" w:color="auto" w:sz="10" w:space="0"/>
              <w:left w:val="single" w:color="auto" w:sz="10" w:space="0"/>
              <w:bottom w:val="single" w:color="auto" w:sz="10" w:space="0"/>
              <w:right w:val="single" w:color="auto" w:sz="10" w:space="0"/>
              <w:insideV w:val="single" w:sz="10" w:space="0"/>
            </w:tcBorders>
            <w:vAlign w:val="center"/>
          </w:tcPr>
          <w:p w14:paraId="7D60C7B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经济成本指标</w:t>
            </w:r>
          </w:p>
        </w:tc>
        <w:tc>
          <w:tcPr>
            <w:tcW w:w="1106" w:type="dxa"/>
            <w:tcBorders>
              <w:top w:val="single" w:color="auto" w:sz="10" w:space="0"/>
              <w:left w:val="single" w:color="auto" w:sz="10" w:space="0"/>
              <w:bottom w:val="single" w:color="auto" w:sz="10" w:space="0"/>
              <w:right w:val="single" w:color="auto" w:sz="10" w:space="0"/>
              <w:insideV w:val="single" w:sz="10" w:space="0"/>
            </w:tcBorders>
            <w:vAlign w:val="center"/>
          </w:tcPr>
          <w:p w14:paraId="560109D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项目建设和运行维护成本</w:t>
            </w:r>
          </w:p>
        </w:tc>
        <w:tc>
          <w:tcPr>
            <w:tcW w:w="882" w:type="dxa"/>
            <w:tcBorders>
              <w:top w:val="single" w:color="auto" w:sz="10" w:space="0"/>
              <w:left w:val="single" w:color="auto" w:sz="10" w:space="0"/>
              <w:bottom w:val="single" w:color="auto" w:sz="10" w:space="0"/>
              <w:right w:val="single" w:color="auto" w:sz="10" w:space="0"/>
              <w:insideV w:val="single" w:sz="10" w:space="0"/>
            </w:tcBorders>
            <w:vAlign w:val="center"/>
          </w:tcPr>
          <w:p w14:paraId="437F4DF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≤140万元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6516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=113.4万元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EA60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1638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A03A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偏差原因：因业务工作交接，业务开展不顺利，导致未能按照项目实施方案完成培训工作，改进措施：督促业务人员加快实施进度。</w:t>
            </w:r>
          </w:p>
        </w:tc>
      </w:tr>
      <w:tr w14:paraId="137F02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4D8557">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71228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效益指标</w:t>
            </w:r>
          </w:p>
        </w:tc>
        <w:tc>
          <w:tcPr>
            <w:tcW w:w="961" w:type="dxa"/>
            <w:tcBorders>
              <w:top w:val="single" w:color="auto" w:sz="10" w:space="0"/>
              <w:left w:val="single" w:color="auto" w:sz="10" w:space="0"/>
              <w:bottom w:val="single" w:color="auto" w:sz="10" w:space="0"/>
              <w:right w:val="single" w:color="auto" w:sz="10" w:space="0"/>
              <w:insideV w:val="single" w:sz="10" w:space="0"/>
            </w:tcBorders>
            <w:vAlign w:val="center"/>
          </w:tcPr>
          <w:p w14:paraId="60E9C98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社会效益指标</w:t>
            </w:r>
          </w:p>
        </w:tc>
        <w:tc>
          <w:tcPr>
            <w:tcW w:w="1106" w:type="dxa"/>
            <w:tcBorders>
              <w:top w:val="single" w:color="auto" w:sz="10" w:space="0"/>
              <w:left w:val="single" w:color="auto" w:sz="10" w:space="0"/>
              <w:bottom w:val="single" w:color="auto" w:sz="10" w:space="0"/>
              <w:right w:val="single" w:color="auto" w:sz="10" w:space="0"/>
              <w:insideV w:val="single" w:sz="10" w:space="0"/>
            </w:tcBorders>
            <w:vAlign w:val="center"/>
          </w:tcPr>
          <w:p w14:paraId="793E987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提升安静宜居的城市环境</w:t>
            </w:r>
          </w:p>
        </w:tc>
        <w:tc>
          <w:tcPr>
            <w:tcW w:w="882" w:type="dxa"/>
            <w:tcBorders>
              <w:top w:val="single" w:color="auto" w:sz="10" w:space="0"/>
              <w:left w:val="single" w:color="auto" w:sz="10" w:space="0"/>
              <w:bottom w:val="single" w:color="auto" w:sz="10" w:space="0"/>
              <w:right w:val="single" w:color="auto" w:sz="10" w:space="0"/>
              <w:insideV w:val="single" w:sz="10" w:space="0"/>
            </w:tcBorders>
            <w:vAlign w:val="center"/>
          </w:tcPr>
          <w:p w14:paraId="5BE63B4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6198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E54E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867D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3909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40376F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211CA9">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F3C5F1">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61" w:type="dxa"/>
            <w:tcBorders>
              <w:top w:val="single" w:color="auto" w:sz="10" w:space="0"/>
              <w:left w:val="single" w:color="auto" w:sz="10" w:space="0"/>
              <w:bottom w:val="single" w:color="auto" w:sz="10" w:space="0"/>
              <w:right w:val="single" w:color="auto" w:sz="10" w:space="0"/>
              <w:insideV w:val="single" w:sz="10" w:space="0"/>
            </w:tcBorders>
            <w:vAlign w:val="center"/>
          </w:tcPr>
          <w:p w14:paraId="668FA4E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生态效益指标</w:t>
            </w:r>
          </w:p>
        </w:tc>
        <w:tc>
          <w:tcPr>
            <w:tcW w:w="1106" w:type="dxa"/>
            <w:tcBorders>
              <w:top w:val="single" w:color="auto" w:sz="10" w:space="0"/>
              <w:left w:val="single" w:color="auto" w:sz="10" w:space="0"/>
              <w:bottom w:val="single" w:color="auto" w:sz="10" w:space="0"/>
              <w:right w:val="single" w:color="auto" w:sz="10" w:space="0"/>
              <w:insideV w:val="single" w:sz="10" w:space="0"/>
            </w:tcBorders>
            <w:vAlign w:val="center"/>
          </w:tcPr>
          <w:p w14:paraId="09C3CC1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提升旅游城市软实力</w:t>
            </w:r>
          </w:p>
        </w:tc>
        <w:tc>
          <w:tcPr>
            <w:tcW w:w="882" w:type="dxa"/>
            <w:tcBorders>
              <w:top w:val="single" w:color="auto" w:sz="10" w:space="0"/>
              <w:left w:val="single" w:color="auto" w:sz="10" w:space="0"/>
              <w:bottom w:val="single" w:color="auto" w:sz="10" w:space="0"/>
              <w:right w:val="single" w:color="auto" w:sz="10" w:space="0"/>
              <w:insideV w:val="single" w:sz="10" w:space="0"/>
            </w:tcBorders>
            <w:vAlign w:val="center"/>
          </w:tcPr>
          <w:p w14:paraId="3C645E9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2509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CAD0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7B06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D18A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086AF3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8BC4D5">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D24D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满意度指标</w:t>
            </w:r>
          </w:p>
        </w:tc>
        <w:tc>
          <w:tcPr>
            <w:tcW w:w="961" w:type="dxa"/>
            <w:tcBorders>
              <w:top w:val="single" w:color="auto" w:sz="10" w:space="0"/>
              <w:left w:val="single" w:color="auto" w:sz="10" w:space="0"/>
              <w:bottom w:val="single" w:color="auto" w:sz="10" w:space="0"/>
              <w:right w:val="single" w:color="auto" w:sz="10" w:space="0"/>
              <w:insideV w:val="single" w:sz="10" w:space="0"/>
            </w:tcBorders>
            <w:vAlign w:val="center"/>
          </w:tcPr>
          <w:p w14:paraId="7F77102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满意度指标</w:t>
            </w:r>
          </w:p>
        </w:tc>
        <w:tc>
          <w:tcPr>
            <w:tcW w:w="1106" w:type="dxa"/>
            <w:tcBorders>
              <w:top w:val="single" w:color="auto" w:sz="10" w:space="0"/>
              <w:left w:val="single" w:color="auto" w:sz="10" w:space="0"/>
              <w:bottom w:val="single" w:color="auto" w:sz="10" w:space="0"/>
              <w:right w:val="single" w:color="auto" w:sz="10" w:space="0"/>
              <w:insideV w:val="single" w:sz="10" w:space="0"/>
            </w:tcBorders>
            <w:vAlign w:val="center"/>
          </w:tcPr>
          <w:p w14:paraId="229C205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环保受众满意度</w:t>
            </w:r>
          </w:p>
        </w:tc>
        <w:tc>
          <w:tcPr>
            <w:tcW w:w="882" w:type="dxa"/>
            <w:tcBorders>
              <w:top w:val="single" w:color="auto" w:sz="10" w:space="0"/>
              <w:left w:val="single" w:color="auto" w:sz="10" w:space="0"/>
              <w:bottom w:val="single" w:color="auto" w:sz="10" w:space="0"/>
              <w:right w:val="single" w:color="auto" w:sz="10" w:space="0"/>
              <w:insideV w:val="single" w:sz="10" w:space="0"/>
            </w:tcBorders>
            <w:vAlign w:val="center"/>
          </w:tcPr>
          <w:p w14:paraId="5E5149A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FC37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0558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B063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04AA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1154A34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BA7B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总分</w:t>
            </w:r>
          </w:p>
        </w:tc>
        <w:tc>
          <w:tcPr>
            <w:tcW w:w="305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0628A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882" w:type="dxa"/>
            <w:tcBorders>
              <w:top w:val="single" w:color="auto" w:sz="10" w:space="0"/>
              <w:left w:val="single" w:color="auto" w:sz="10" w:space="0"/>
              <w:bottom w:val="single" w:color="auto" w:sz="10" w:space="0"/>
              <w:right w:val="single" w:color="auto" w:sz="10" w:space="0"/>
              <w:insideV w:val="single" w:sz="10" w:space="0"/>
            </w:tcBorders>
            <w:vAlign w:val="center"/>
          </w:tcPr>
          <w:p w14:paraId="0E1B09A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F976C5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85.75分</w:t>
            </w:r>
          </w:p>
        </w:tc>
      </w:tr>
    </w:tbl>
    <w:p w14:paraId="5234F1B1">
      <w:pPr>
        <w:keepNext w:val="0"/>
        <w:keepLines w:val="0"/>
        <w:pageBreakBefore w:val="0"/>
        <w:widowControl w:val="0"/>
        <w:kinsoku/>
        <w:wordWrap/>
        <w:overflowPunct/>
        <w:topLinePunct w:val="0"/>
        <w:autoSpaceDE/>
        <w:autoSpaceDN/>
        <w:bidi w:val="0"/>
        <w:adjustRightInd/>
        <w:snapToGrid/>
        <w:spacing w:line="560" w:lineRule="exact"/>
        <w:textAlignment w:val="auto"/>
      </w:pPr>
      <w:r>
        <w:br w:type="page"/>
      </w:r>
    </w:p>
    <w:p w14:paraId="57227EE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十二、其他需说明的事项</w:t>
      </w:r>
    </w:p>
    <w:p w14:paraId="39315E5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本单位无其他需说明的事项。</w:t>
      </w:r>
    </w:p>
    <w:p w14:paraId="58D58C30">
      <w:pPr>
        <w:keepNext w:val="0"/>
        <w:keepLines w:val="0"/>
        <w:pageBreakBefore w:val="0"/>
        <w:widowControl w:val="0"/>
        <w:kinsoku/>
        <w:wordWrap/>
        <w:overflowPunct/>
        <w:topLinePunct w:val="0"/>
        <w:autoSpaceDE/>
        <w:autoSpaceDN/>
        <w:bidi w:val="0"/>
        <w:adjustRightInd/>
        <w:snapToGrid/>
        <w:spacing w:line="560" w:lineRule="exact"/>
        <w:textAlignment w:val="auto"/>
      </w:pPr>
      <w:r>
        <w:br w:type="page"/>
      </w:r>
    </w:p>
    <w:p w14:paraId="122C26E0">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1"/>
      </w:pPr>
      <w:r>
        <w:rPr>
          <w:rFonts w:ascii="黑体" w:hAnsi="黑体" w:eastAsia="黑体"/>
          <w:sz w:val="32"/>
        </w:rPr>
        <w:t>第三部分 专业名词解释</w:t>
      </w:r>
    </w:p>
    <w:p w14:paraId="040FC49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2D3E1C6">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EA1743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174EED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911D8B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666078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8EACC97">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2304F0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6715468">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B35BED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2CCF24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F10D63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A9E45B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6D27F7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A840F16">
      <w:pPr>
        <w:keepNext w:val="0"/>
        <w:keepLines w:val="0"/>
        <w:pageBreakBefore w:val="0"/>
        <w:widowControl w:val="0"/>
        <w:kinsoku/>
        <w:wordWrap/>
        <w:overflowPunct/>
        <w:topLinePunct w:val="0"/>
        <w:autoSpaceDE/>
        <w:autoSpaceDN/>
        <w:bidi w:val="0"/>
        <w:adjustRightInd/>
        <w:snapToGrid/>
        <w:spacing w:line="560" w:lineRule="exact"/>
        <w:textAlignment w:val="auto"/>
      </w:pPr>
      <w:r>
        <w:br w:type="page"/>
      </w:r>
    </w:p>
    <w:p w14:paraId="738F4618">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1"/>
      </w:pPr>
      <w:r>
        <w:rPr>
          <w:rFonts w:ascii="黑体" w:hAnsi="黑体" w:eastAsia="黑体"/>
          <w:sz w:val="32"/>
        </w:rPr>
        <w:t>第四部分 部门决算报表（见附表）</w:t>
      </w:r>
    </w:p>
    <w:p w14:paraId="591C4278">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一、《收入支出决算总表》</w:t>
      </w:r>
    </w:p>
    <w:p w14:paraId="3D28CF0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二、《收入决算表》</w:t>
      </w:r>
    </w:p>
    <w:p w14:paraId="5CF3DC7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三、《支出决算表》</w:t>
      </w:r>
    </w:p>
    <w:p w14:paraId="760CABF7">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四、《财政拨款收入支出决算总表》</w:t>
      </w:r>
    </w:p>
    <w:p w14:paraId="0CBA3616">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五、《一般公共预算财政拨款支出决算表》</w:t>
      </w:r>
    </w:p>
    <w:p w14:paraId="3E2023F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六、《一般公共预算财政拨款基本支出决算表》</w:t>
      </w:r>
    </w:p>
    <w:p w14:paraId="4D542113">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七、《政府性基金预算财政拨款收入支出决算表》</w:t>
      </w:r>
    </w:p>
    <w:p w14:paraId="21C6EEF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八、《国有资本经营预算财政拨款收入支出决算表》</w:t>
      </w:r>
    </w:p>
    <w:p w14:paraId="13DD5933">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九、《财政拨款“三公”经费支出决算表》</w:t>
      </w:r>
    </w:p>
    <w:p w14:paraId="2A63D85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p>
    <w:p w14:paraId="627ED5A1">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p>
    <w:p w14:paraId="7778154A">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p>
    <w:p w14:paraId="4AEB7F77">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p>
    <w:p w14:paraId="2E377A3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BEC013">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C6D02C4">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4C6D02C4">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83DBA2"/>
    <w:multiLevelType w:val="singleLevel"/>
    <w:tmpl w:val="9583DBA2"/>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AEB2BFC"/>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5A0E16"/>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D904FA7"/>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AED1505"/>
    <w:rsid w:val="7C082FC4"/>
    <w:rsid w:val="F6F2568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4448</Words>
  <Characters>5193</Characters>
  <Lines>0</Lines>
  <Paragraphs>0</Paragraphs>
  <TotalTime>19</TotalTime>
  <ScaleCrop>false</ScaleCrop>
  <LinksUpToDate>false</LinksUpToDate>
  <CharactersWithSpaces>5201</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GXR</dc:creator>
  <cp:lastModifiedBy>sugon</cp:lastModifiedBy>
  <cp:lastPrinted>2025-10-13T19:05:01Z</cp:lastPrinted>
  <dcterms:modified xsi:type="dcterms:W3CDTF">2025-10-13T19:05:15Z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