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5BE374">
      <w:pPr>
        <w:keepNext w:val="0"/>
        <w:keepLines w:val="0"/>
        <w:pageBreakBefore w:val="0"/>
        <w:widowControl w:val="0"/>
        <w:kinsoku/>
        <w:wordWrap/>
        <w:overflowPunct/>
        <w:topLinePunct w:val="0"/>
        <w:autoSpaceDE/>
        <w:autoSpaceDN/>
        <w:bidi w:val="0"/>
        <w:adjustRightInd/>
        <w:snapToGrid/>
        <w:spacing w:line="560" w:lineRule="exact"/>
        <w:textAlignment w:val="auto"/>
      </w:pPr>
    </w:p>
    <w:p w14:paraId="41B2122D">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仿宋" w:hAnsi="仿宋" w:eastAsia="仿宋" w:cs="宋体"/>
          <w:kern w:val="0"/>
          <w:sz w:val="32"/>
          <w:szCs w:val="32"/>
        </w:rPr>
      </w:pPr>
      <w:r>
        <w:rPr>
          <w:rFonts w:hint="eastAsia" w:ascii="仿宋" w:hAnsi="仿宋" w:eastAsia="仿宋" w:cs="宋体"/>
          <w:kern w:val="0"/>
          <w:sz w:val="32"/>
          <w:szCs w:val="32"/>
        </w:rPr>
        <w:t>附件2：</w:t>
      </w:r>
    </w:p>
    <w:p w14:paraId="4445184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华文中宋" w:hAnsi="华文中宋" w:eastAsia="华文中宋" w:cs="宋体"/>
          <w:b/>
          <w:kern w:val="0"/>
          <w:sz w:val="52"/>
          <w:szCs w:val="52"/>
        </w:rPr>
      </w:pPr>
    </w:p>
    <w:p w14:paraId="3E83172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华文中宋" w:hAnsi="华文中宋" w:eastAsia="华文中宋" w:cs="宋体"/>
          <w:b/>
          <w:kern w:val="0"/>
          <w:sz w:val="52"/>
          <w:szCs w:val="52"/>
        </w:rPr>
      </w:pPr>
    </w:p>
    <w:p w14:paraId="16B18B4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华文中宋" w:hAnsi="华文中宋" w:eastAsia="华文中宋" w:cs="宋体"/>
          <w:b/>
          <w:kern w:val="0"/>
          <w:sz w:val="52"/>
          <w:szCs w:val="52"/>
        </w:rPr>
      </w:pPr>
    </w:p>
    <w:p w14:paraId="3DFC191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华文中宋" w:hAnsi="华文中宋" w:eastAsia="华文中宋" w:cs="宋体"/>
          <w:b/>
          <w:kern w:val="0"/>
          <w:sz w:val="52"/>
          <w:szCs w:val="52"/>
        </w:rPr>
      </w:pPr>
    </w:p>
    <w:p w14:paraId="7637AF4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华文中宋" w:hAnsi="华文中宋" w:eastAsia="华文中宋" w:cs="宋体"/>
          <w:b/>
          <w:kern w:val="0"/>
          <w:sz w:val="52"/>
          <w:szCs w:val="52"/>
        </w:rPr>
      </w:pPr>
    </w:p>
    <w:p w14:paraId="679772B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华文中宋" w:hAnsi="华文中宋" w:eastAsia="华文中宋" w:cs="宋体"/>
          <w:b/>
          <w:kern w:val="0"/>
          <w:sz w:val="52"/>
          <w:szCs w:val="52"/>
        </w:rPr>
      </w:pPr>
    </w:p>
    <w:p w14:paraId="65FAB65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72C7344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华文中宋" w:hAnsi="华文中宋" w:eastAsia="华文中宋" w:cs="宋体"/>
          <w:b/>
          <w:kern w:val="0"/>
          <w:sz w:val="52"/>
          <w:szCs w:val="52"/>
        </w:rPr>
      </w:pPr>
    </w:p>
    <w:p w14:paraId="01A6BE33">
      <w:pPr>
        <w:keepNext w:val="0"/>
        <w:keepLines w:val="0"/>
        <w:pageBreakBefore w:val="0"/>
        <w:widowControl w:val="0"/>
        <w:kinsoku/>
        <w:wordWrap/>
        <w:overflowPunct/>
        <w:topLinePunct w:val="0"/>
        <w:autoSpaceDE/>
        <w:autoSpaceDN/>
        <w:bidi w:val="0"/>
        <w:adjustRightInd/>
        <w:snapToGrid/>
        <w:spacing w:line="560" w:lineRule="exact"/>
        <w:ind w:firstLine="3276" w:firstLineChars="1050"/>
        <w:jc w:val="left"/>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（2024年度）</w:t>
      </w:r>
    </w:p>
    <w:p w14:paraId="32FCFFB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Ansi="宋体" w:eastAsia="仿宋_GB2312" w:cs="宋体"/>
          <w:kern w:val="0"/>
          <w:sz w:val="30"/>
          <w:szCs w:val="30"/>
        </w:rPr>
      </w:pPr>
    </w:p>
    <w:p w14:paraId="2919324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Ansi="宋体" w:eastAsia="仿宋_GB2312" w:cs="宋体"/>
          <w:kern w:val="0"/>
          <w:sz w:val="30"/>
          <w:szCs w:val="30"/>
        </w:rPr>
      </w:pPr>
    </w:p>
    <w:p w14:paraId="06BE150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Ansi="宋体" w:eastAsia="仿宋_GB2312" w:cs="宋体"/>
          <w:kern w:val="0"/>
          <w:sz w:val="30"/>
          <w:szCs w:val="30"/>
        </w:rPr>
      </w:pPr>
    </w:p>
    <w:p w14:paraId="49BE195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Ansi="宋体" w:eastAsia="仿宋_GB2312" w:cs="宋体"/>
          <w:kern w:val="0"/>
          <w:sz w:val="30"/>
          <w:szCs w:val="30"/>
        </w:rPr>
      </w:pPr>
    </w:p>
    <w:p w14:paraId="3D2DCB9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Ansi="宋体" w:eastAsia="仿宋_GB2312" w:cs="宋体"/>
          <w:kern w:val="0"/>
          <w:sz w:val="30"/>
          <w:szCs w:val="30"/>
        </w:rPr>
      </w:pPr>
    </w:p>
    <w:p w14:paraId="1EAE59C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Ansi="宋体" w:eastAsia="仿宋_GB2312" w:cs="宋体"/>
          <w:kern w:val="0"/>
          <w:sz w:val="30"/>
          <w:szCs w:val="30"/>
        </w:rPr>
      </w:pPr>
    </w:p>
    <w:p w14:paraId="36A70EB0">
      <w:pPr>
        <w:keepNext w:val="0"/>
        <w:keepLines w:val="0"/>
        <w:pageBreakBefore w:val="0"/>
        <w:widowControl w:val="0"/>
        <w:kinsoku/>
        <w:wordWrap/>
        <w:overflowPunct/>
        <w:topLinePunct w:val="0"/>
        <w:autoSpaceDE/>
        <w:autoSpaceDN/>
        <w:bidi w:val="0"/>
        <w:adjustRightInd/>
        <w:snapToGrid/>
        <w:spacing w:line="560" w:lineRule="exact"/>
        <w:textAlignment w:val="auto"/>
        <w:rPr>
          <w:rFonts w:hAnsi="宋体" w:eastAsia="仿宋_GB2312" w:cs="宋体"/>
          <w:kern w:val="0"/>
          <w:sz w:val="30"/>
          <w:szCs w:val="30"/>
        </w:rPr>
      </w:pPr>
    </w:p>
    <w:p w14:paraId="0817A7F2">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Ansi="宋体" w:eastAsia="仿宋_GB2312" w:cs="宋体"/>
          <w:kern w:val="0"/>
          <w:sz w:val="36"/>
          <w:szCs w:val="36"/>
        </w:rPr>
      </w:pPr>
      <w:r>
        <w:rPr>
          <w:rFonts w:hint="eastAsia" w:hAnsi="宋体" w:eastAsia="仿宋_GB2312" w:cs="宋体"/>
          <w:kern w:val="0"/>
          <w:sz w:val="36"/>
          <w:szCs w:val="36"/>
        </w:rPr>
        <w:t xml:space="preserve">     </w:t>
      </w:r>
    </w:p>
    <w:p w14:paraId="5FB6CC78">
      <w:pPr>
        <w:keepNext w:val="0"/>
        <w:keepLines w:val="0"/>
        <w:pageBreakBefore w:val="0"/>
        <w:widowControl w:val="0"/>
        <w:kinsoku/>
        <w:wordWrap/>
        <w:overflowPunct/>
        <w:topLinePunct w:val="0"/>
        <w:autoSpaceDE/>
        <w:autoSpaceDN/>
        <w:bidi w:val="0"/>
        <w:adjustRightInd/>
        <w:snapToGrid/>
        <w:spacing w:line="560" w:lineRule="exact"/>
        <w:ind w:firstLine="780" w:firstLineChars="250"/>
        <w:jc w:val="left"/>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项目名称：2024年环境业务执法经费</w:t>
      </w:r>
    </w:p>
    <w:p w14:paraId="674AC755">
      <w:pPr>
        <w:keepNext w:val="0"/>
        <w:keepLines w:val="0"/>
        <w:pageBreakBefore w:val="0"/>
        <w:widowControl w:val="0"/>
        <w:kinsoku/>
        <w:wordWrap/>
        <w:overflowPunct/>
        <w:topLinePunct w:val="0"/>
        <w:autoSpaceDE/>
        <w:autoSpaceDN/>
        <w:bidi w:val="0"/>
        <w:adjustRightInd/>
        <w:snapToGrid/>
        <w:spacing w:line="560" w:lineRule="exact"/>
        <w:ind w:firstLine="780" w:firstLineChars="250"/>
        <w:jc w:val="left"/>
        <w:textAlignment w:val="auto"/>
        <w:rPr>
          <w:rStyle w:val="19"/>
          <w:rFonts w:hint="eastAsia" w:ascii="仿宋_GB2312" w:hAnsi="仿宋_GB2312" w:eastAsia="仿宋_GB2312" w:cs="仿宋_GB2312"/>
          <w:b w:val="0"/>
          <w:bCs w:val="0"/>
          <w:spacing w:val="-4"/>
          <w:sz w:val="32"/>
          <w:szCs w:val="32"/>
          <w:lang w:eastAsia="zh-CN"/>
        </w:rPr>
      </w:pPr>
      <w:r>
        <w:rPr>
          <w:rStyle w:val="19"/>
          <w:rFonts w:hint="eastAsia" w:ascii="仿宋_GB2312" w:hAnsi="仿宋_GB2312" w:eastAsia="仿宋_GB2312" w:cs="仿宋_GB2312"/>
          <w:b w:val="0"/>
          <w:bCs w:val="0"/>
          <w:spacing w:val="-4"/>
          <w:sz w:val="32"/>
          <w:szCs w:val="32"/>
        </w:rPr>
        <w:t>实施单位（公章）：</w:t>
      </w:r>
      <w:r>
        <w:rPr>
          <w:rStyle w:val="19"/>
          <w:rFonts w:hint="eastAsia" w:ascii="仿宋_GB2312" w:hAnsi="仿宋_GB2312" w:eastAsia="仿宋_GB2312" w:cs="仿宋_GB2312"/>
          <w:b w:val="0"/>
          <w:bCs w:val="0"/>
          <w:spacing w:val="-4"/>
          <w:sz w:val="32"/>
          <w:szCs w:val="32"/>
          <w:lang w:eastAsia="zh-CN"/>
        </w:rPr>
        <w:t>和田地区生态环境局和田市分局</w:t>
      </w:r>
    </w:p>
    <w:p w14:paraId="43D40C51">
      <w:pPr>
        <w:keepNext w:val="0"/>
        <w:keepLines w:val="0"/>
        <w:pageBreakBefore w:val="0"/>
        <w:widowControl w:val="0"/>
        <w:kinsoku/>
        <w:wordWrap/>
        <w:overflowPunct/>
        <w:topLinePunct w:val="0"/>
        <w:autoSpaceDE/>
        <w:autoSpaceDN/>
        <w:bidi w:val="0"/>
        <w:adjustRightInd/>
        <w:snapToGrid/>
        <w:spacing w:line="560" w:lineRule="exact"/>
        <w:ind w:firstLine="780" w:firstLineChars="250"/>
        <w:jc w:val="left"/>
        <w:textAlignment w:val="auto"/>
        <w:rPr>
          <w:rStyle w:val="19"/>
          <w:rFonts w:hint="eastAsia" w:ascii="仿宋_GB2312" w:hAnsi="仿宋_GB2312" w:eastAsia="仿宋_GB2312" w:cs="仿宋_GB2312"/>
          <w:b w:val="0"/>
          <w:bCs w:val="0"/>
          <w:spacing w:val="-4"/>
          <w:sz w:val="32"/>
          <w:szCs w:val="32"/>
          <w:lang w:eastAsia="zh-CN"/>
        </w:rPr>
      </w:pPr>
      <w:r>
        <w:rPr>
          <w:rStyle w:val="19"/>
          <w:rFonts w:hint="eastAsia" w:ascii="仿宋_GB2312" w:hAnsi="仿宋_GB2312" w:eastAsia="仿宋_GB2312" w:cs="仿宋_GB2312"/>
          <w:b w:val="0"/>
          <w:bCs w:val="0"/>
          <w:spacing w:val="-4"/>
          <w:sz w:val="32"/>
          <w:szCs w:val="32"/>
        </w:rPr>
        <w:t>主管部门（公章）：</w:t>
      </w:r>
      <w:r>
        <w:rPr>
          <w:rStyle w:val="19"/>
          <w:rFonts w:hint="eastAsia" w:ascii="仿宋_GB2312" w:hAnsi="仿宋_GB2312" w:eastAsia="仿宋_GB2312" w:cs="仿宋_GB2312"/>
          <w:b w:val="0"/>
          <w:bCs w:val="0"/>
          <w:spacing w:val="-4"/>
          <w:sz w:val="32"/>
          <w:szCs w:val="32"/>
          <w:lang w:eastAsia="zh-CN"/>
        </w:rPr>
        <w:t>和田地区生态环境局</w:t>
      </w:r>
    </w:p>
    <w:p w14:paraId="6E006F29">
      <w:pPr>
        <w:keepNext w:val="0"/>
        <w:keepLines w:val="0"/>
        <w:pageBreakBefore w:val="0"/>
        <w:widowControl w:val="0"/>
        <w:kinsoku/>
        <w:wordWrap/>
        <w:overflowPunct/>
        <w:topLinePunct w:val="0"/>
        <w:autoSpaceDE/>
        <w:autoSpaceDN/>
        <w:bidi w:val="0"/>
        <w:adjustRightInd/>
        <w:snapToGrid/>
        <w:spacing w:line="560" w:lineRule="exact"/>
        <w:ind w:firstLine="780" w:firstLineChars="250"/>
        <w:jc w:val="left"/>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项目负责人（签章）：金凤杰</w:t>
      </w:r>
    </w:p>
    <w:p w14:paraId="1F19DAAB">
      <w:pPr>
        <w:keepNext w:val="0"/>
        <w:keepLines w:val="0"/>
        <w:pageBreakBefore w:val="0"/>
        <w:widowControl w:val="0"/>
        <w:kinsoku/>
        <w:wordWrap/>
        <w:overflowPunct/>
        <w:topLinePunct w:val="0"/>
        <w:autoSpaceDE/>
        <w:autoSpaceDN/>
        <w:bidi w:val="0"/>
        <w:adjustRightInd/>
        <w:snapToGrid/>
        <w:spacing w:line="560" w:lineRule="exact"/>
        <w:ind w:firstLine="780" w:firstLineChars="250"/>
        <w:jc w:val="left"/>
        <w:textAlignment w:val="auto"/>
        <w:rPr>
          <w:rStyle w:val="19"/>
          <w:rFonts w:ascii="黑体" w:hAnsi="黑体" w:eastAsia="黑体"/>
          <w:b w:val="0"/>
          <w:spacing w:val="-4"/>
          <w:sz w:val="32"/>
          <w:szCs w:val="32"/>
        </w:rPr>
      </w:pPr>
      <w:r>
        <w:rPr>
          <w:rStyle w:val="19"/>
          <w:rFonts w:hint="eastAsia" w:ascii="仿宋_GB2312" w:hAnsi="仿宋_GB2312" w:eastAsia="仿宋_GB2312" w:cs="仿宋_GB2312"/>
          <w:b w:val="0"/>
          <w:bCs w:val="0"/>
          <w:spacing w:val="-4"/>
          <w:sz w:val="32"/>
          <w:szCs w:val="32"/>
        </w:rPr>
        <w:t>填报时间：2025年03月28日</w:t>
      </w:r>
    </w:p>
    <w:p w14:paraId="71B718A5">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4A59B740">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（一）项目概况</w:t>
      </w:r>
    </w:p>
    <w:p w14:paraId="15D4495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rPr>
        <w:t>1.项目背景</w:t>
      </w:r>
    </w:p>
    <w:p w14:paraId="03FC6E0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val="en-US" w:eastAsia="zh-CN"/>
        </w:rPr>
      </w:pPr>
      <w:r>
        <w:rPr>
          <w:rStyle w:val="19"/>
          <w:rFonts w:hint="eastAsia" w:ascii="仿宋_GB2312" w:hAnsi="仿宋_GB2312" w:eastAsia="仿宋_GB2312" w:cs="仿宋_GB2312"/>
          <w:b w:val="0"/>
          <w:bCs w:val="0"/>
          <w:spacing w:val="0"/>
          <w:sz w:val="32"/>
          <w:szCs w:val="32"/>
        </w:rPr>
        <w:t>完成2024年生态环境部门开展各类业务工作。为提升生态保护，提高生态系统保护和修复重大工程。近年来，我局深入贯彻习近平生态文明思想，积极践行“两山”发展理念，统筹山水林田湖草沙一体化保护和系统治理，持续推进重要生态系统保护和修复重大工程，推动绿色转型，促进高质量发展。为了深入贯彻中央及自治区的各项方针政策，加强生态环境执法监督检查，为了提高生态环境质量有序开展各项生态环境保护业务工作，结合实际情况，开展业务工作，特此设立本项目。</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仿宋_GB2312" w:hAnsi="仿宋_GB2312" w:eastAsia="仿宋_GB2312" w:cs="仿宋_GB2312"/>
          <w:b w:val="0"/>
          <w:bCs w:val="0"/>
          <w:spacing w:val="0"/>
          <w:sz w:val="32"/>
          <w:szCs w:val="32"/>
          <w:lang w:val="en-US" w:eastAsia="zh-CN"/>
        </w:rPr>
        <w:t xml:space="preserve"> </w:t>
      </w:r>
      <w:r>
        <w:rPr>
          <w:rStyle w:val="19"/>
          <w:rFonts w:hint="eastAsia" w:ascii="仿宋_GB2312" w:hAnsi="仿宋_GB2312" w:eastAsia="仿宋_GB2312" w:cs="仿宋_GB2312"/>
          <w:b w:val="0"/>
          <w:bCs w:val="0"/>
          <w:spacing w:val="0"/>
          <w:sz w:val="32"/>
          <w:szCs w:val="32"/>
        </w:rPr>
        <w:t>2.主要内容</w:t>
      </w:r>
      <w:r>
        <w:rPr>
          <w:rStyle w:val="19"/>
          <w:rFonts w:hint="eastAsia" w:ascii="仿宋_GB2312" w:hAnsi="仿宋_GB2312" w:eastAsia="仿宋_GB2312" w:cs="仿宋_GB2312"/>
          <w:b w:val="0"/>
          <w:bCs w:val="0"/>
          <w:spacing w:val="0"/>
          <w:sz w:val="32"/>
          <w:szCs w:val="32"/>
        </w:rPr>
        <w:br w:type="textWrapping"/>
      </w:r>
      <w:r>
        <w:rPr>
          <w:rStyle w:val="19"/>
          <w:rFonts w:hint="eastAsia" w:ascii="仿宋_GB2312" w:hAnsi="仿宋_GB2312" w:eastAsia="仿宋_GB2312" w:cs="仿宋_GB2312"/>
          <w:b w:val="0"/>
          <w:bCs w:val="0"/>
          <w:spacing w:val="0"/>
          <w:sz w:val="32"/>
          <w:szCs w:val="32"/>
          <w:lang w:val="en-US" w:eastAsia="zh-CN"/>
        </w:rPr>
        <w:t xml:space="preserve">    </w:t>
      </w:r>
      <w:r>
        <w:rPr>
          <w:rStyle w:val="19"/>
          <w:rFonts w:hint="eastAsia" w:ascii="仿宋_GB2312" w:hAnsi="仿宋_GB2312" w:eastAsia="仿宋_GB2312" w:cs="仿宋_GB2312"/>
          <w:b w:val="0"/>
          <w:bCs w:val="0"/>
          <w:spacing w:val="0"/>
          <w:sz w:val="32"/>
          <w:szCs w:val="32"/>
        </w:rPr>
        <w:t>购买移动设备费用2万元；办公用品保障4万元；执法大练兵提升1万元；人员差费2万元;执法宣传2万元；环境应急调度系统建设费（一期）2万元；保障网络运行维护2万元。</w:t>
      </w:r>
      <w:r>
        <w:rPr>
          <w:rStyle w:val="19"/>
          <w:rFonts w:hint="eastAsia" w:ascii="仿宋_GB2312" w:hAnsi="仿宋_GB2312" w:eastAsia="仿宋_GB2312" w:cs="仿宋_GB2312"/>
          <w:b w:val="0"/>
          <w:bCs w:val="0"/>
          <w:spacing w:val="0"/>
          <w:sz w:val="32"/>
          <w:szCs w:val="32"/>
        </w:rPr>
        <w:br w:type="textWrapping"/>
      </w:r>
      <w:r>
        <w:rPr>
          <w:rStyle w:val="19"/>
          <w:rFonts w:hint="eastAsia" w:ascii="仿宋_GB2312" w:hAnsi="仿宋_GB2312" w:eastAsia="仿宋_GB2312" w:cs="仿宋_GB2312"/>
          <w:b w:val="0"/>
          <w:bCs w:val="0"/>
          <w:spacing w:val="0"/>
          <w:sz w:val="32"/>
          <w:szCs w:val="32"/>
          <w:lang w:val="en-US" w:eastAsia="zh-CN"/>
        </w:rPr>
        <w:t xml:space="preserve">    </w:t>
      </w:r>
      <w:r>
        <w:rPr>
          <w:rStyle w:val="19"/>
          <w:rFonts w:hint="eastAsia" w:ascii="仿宋_GB2312" w:hAnsi="仿宋_GB2312" w:eastAsia="仿宋_GB2312" w:cs="仿宋_GB2312"/>
          <w:b w:val="0"/>
          <w:bCs w:val="0"/>
          <w:spacing w:val="0"/>
          <w:sz w:val="32"/>
          <w:szCs w:val="32"/>
        </w:rPr>
        <w:t>3.实施情况</w:t>
      </w:r>
      <w:r>
        <w:rPr>
          <w:rStyle w:val="19"/>
          <w:rFonts w:hint="eastAsia" w:ascii="仿宋_GB2312" w:hAnsi="仿宋_GB2312" w:eastAsia="仿宋_GB2312" w:cs="仿宋_GB2312"/>
          <w:b w:val="0"/>
          <w:bCs w:val="0"/>
          <w:spacing w:val="0"/>
          <w:sz w:val="32"/>
          <w:szCs w:val="32"/>
        </w:rPr>
        <w:br w:type="textWrapping"/>
      </w:r>
      <w:r>
        <w:rPr>
          <w:rStyle w:val="19"/>
          <w:rFonts w:hint="eastAsia" w:ascii="仿宋_GB2312" w:hAnsi="仿宋_GB2312" w:eastAsia="仿宋_GB2312" w:cs="仿宋_GB2312"/>
          <w:b w:val="0"/>
          <w:bCs w:val="0"/>
          <w:spacing w:val="0"/>
          <w:sz w:val="32"/>
          <w:szCs w:val="32"/>
          <w:lang w:val="en-US" w:eastAsia="zh-CN"/>
        </w:rPr>
        <w:t xml:space="preserve">    </w:t>
      </w:r>
      <w:r>
        <w:rPr>
          <w:rStyle w:val="19"/>
          <w:rFonts w:hint="eastAsia" w:ascii="仿宋_GB2312" w:hAnsi="仿宋_GB2312" w:eastAsia="仿宋_GB2312" w:cs="仿宋_GB2312"/>
          <w:b w:val="0"/>
          <w:bCs w:val="0"/>
          <w:spacing w:val="0"/>
          <w:sz w:val="32"/>
          <w:szCs w:val="32"/>
        </w:rPr>
        <w:t>实施主体：</w:t>
      </w:r>
      <w:r>
        <w:rPr>
          <w:rStyle w:val="19"/>
          <w:rFonts w:hint="eastAsia" w:ascii="仿宋_GB2312" w:hAnsi="仿宋_GB2312" w:eastAsia="仿宋_GB2312" w:cs="仿宋_GB2312"/>
          <w:b w:val="0"/>
          <w:bCs w:val="0"/>
          <w:spacing w:val="0"/>
          <w:sz w:val="32"/>
          <w:szCs w:val="32"/>
          <w:lang w:eastAsia="zh-CN"/>
        </w:rPr>
        <w:t>和田地区生态环境局和田市分局</w:t>
      </w:r>
      <w:r>
        <w:rPr>
          <w:rStyle w:val="19"/>
          <w:rFonts w:hint="eastAsia" w:ascii="仿宋_GB2312" w:hAnsi="仿宋_GB2312" w:eastAsia="仿宋_GB2312" w:cs="仿宋_GB2312"/>
          <w:b w:val="0"/>
          <w:bCs w:val="0"/>
          <w:spacing w:val="0"/>
          <w:sz w:val="32"/>
          <w:szCs w:val="32"/>
        </w:rPr>
        <w:t>。</w:t>
      </w:r>
      <w:r>
        <w:rPr>
          <w:rStyle w:val="19"/>
          <w:rFonts w:hint="eastAsia" w:ascii="仿宋_GB2312" w:hAnsi="仿宋_GB2312" w:eastAsia="仿宋_GB2312" w:cs="仿宋_GB2312"/>
          <w:b w:val="0"/>
          <w:bCs w:val="0"/>
          <w:spacing w:val="0"/>
          <w:sz w:val="32"/>
          <w:szCs w:val="32"/>
        </w:rPr>
        <w:br w:type="textWrapping"/>
      </w:r>
      <w:r>
        <w:rPr>
          <w:rStyle w:val="19"/>
          <w:rFonts w:hint="eastAsia" w:ascii="仿宋_GB2312" w:hAnsi="仿宋_GB2312" w:eastAsia="仿宋_GB2312" w:cs="仿宋_GB2312"/>
          <w:b w:val="0"/>
          <w:bCs w:val="0"/>
          <w:spacing w:val="0"/>
          <w:sz w:val="32"/>
          <w:szCs w:val="32"/>
          <w:lang w:val="en-US" w:eastAsia="zh-CN"/>
        </w:rPr>
        <w:t xml:space="preserve">    </w:t>
      </w:r>
      <w:r>
        <w:rPr>
          <w:rStyle w:val="19"/>
          <w:rFonts w:hint="eastAsia" w:ascii="仿宋_GB2312" w:hAnsi="仿宋_GB2312" w:eastAsia="仿宋_GB2312" w:cs="仿宋_GB2312"/>
          <w:b w:val="0"/>
          <w:bCs w:val="0"/>
          <w:spacing w:val="0"/>
          <w:sz w:val="32"/>
          <w:szCs w:val="32"/>
        </w:rPr>
        <w:t>实施时间：本项目实施期限为2024年4月—2024年12月。</w:t>
      </w:r>
      <w:r>
        <w:rPr>
          <w:rStyle w:val="19"/>
          <w:rFonts w:hint="eastAsia" w:ascii="仿宋_GB2312" w:hAnsi="仿宋_GB2312" w:eastAsia="仿宋_GB2312" w:cs="仿宋_GB2312"/>
          <w:b w:val="0"/>
          <w:bCs w:val="0"/>
          <w:spacing w:val="0"/>
          <w:sz w:val="32"/>
          <w:szCs w:val="32"/>
        </w:rPr>
        <w:br w:type="textWrapping"/>
      </w:r>
      <w:r>
        <w:rPr>
          <w:rStyle w:val="19"/>
          <w:rFonts w:hint="eastAsia" w:ascii="仿宋_GB2312" w:hAnsi="仿宋_GB2312" w:eastAsia="仿宋_GB2312" w:cs="仿宋_GB2312"/>
          <w:b w:val="0"/>
          <w:bCs w:val="0"/>
          <w:spacing w:val="0"/>
          <w:sz w:val="32"/>
          <w:szCs w:val="32"/>
          <w:lang w:val="en-US" w:eastAsia="zh-CN"/>
        </w:rPr>
        <w:t xml:space="preserve">    </w:t>
      </w:r>
      <w:r>
        <w:rPr>
          <w:rStyle w:val="19"/>
          <w:rFonts w:hint="eastAsia" w:ascii="仿宋_GB2312" w:hAnsi="仿宋_GB2312" w:eastAsia="仿宋_GB2312" w:cs="仿宋_GB2312"/>
          <w:b w:val="0"/>
          <w:bCs w:val="0"/>
          <w:spacing w:val="0"/>
          <w:sz w:val="32"/>
          <w:szCs w:val="32"/>
        </w:rPr>
        <w:t>实施情况：年初财政下达预算指标：2024年环境业务执法经费（和田市分局）经费15万元，主要用于完成购买移动设备2套2万元;办公用品保障4万元；大练兵提升1万元;人员差费2万元;宣传2万元;环境应急调度系统建设费（一期）2万元；保障网络运行维护2万元。</w:t>
      </w:r>
      <w:r>
        <w:rPr>
          <w:rStyle w:val="19"/>
          <w:rFonts w:hint="eastAsia" w:ascii="仿宋_GB2312" w:hAnsi="仿宋_GB2312" w:eastAsia="仿宋_GB2312" w:cs="仿宋_GB2312"/>
          <w:b w:val="0"/>
          <w:bCs w:val="0"/>
          <w:spacing w:val="0"/>
          <w:sz w:val="32"/>
          <w:szCs w:val="32"/>
        </w:rPr>
        <w:br w:type="textWrapping"/>
      </w:r>
      <w:r>
        <w:rPr>
          <w:rStyle w:val="19"/>
          <w:rFonts w:hint="eastAsia" w:ascii="仿宋_GB2312" w:hAnsi="仿宋_GB2312" w:eastAsia="仿宋_GB2312" w:cs="仿宋_GB2312"/>
          <w:b w:val="0"/>
          <w:bCs w:val="0"/>
          <w:spacing w:val="0"/>
          <w:sz w:val="32"/>
          <w:szCs w:val="32"/>
        </w:rPr>
        <w:t>经过一年时间该项目资金使用安全，以下各项业务工作有序开展：环境应急调度系统安全运行一年，环保执法各项宣传工作、大练兵提升工作、保障环境执法工作正常开展；设备安全运行一年；提升群众的环保意识。杜绝了出现各种设备问题，有效提高了对保护环境管控能力及社会效益，为上级决策提供技术支持和数据保障，有效保障了生态环境的稳定，达到项目预期目标。</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仿宋_GB2312" w:hAnsi="仿宋_GB2312" w:eastAsia="仿宋_GB2312" w:cs="仿宋_GB2312"/>
          <w:b w:val="0"/>
          <w:bCs w:val="0"/>
          <w:spacing w:val="0"/>
          <w:sz w:val="32"/>
          <w:szCs w:val="32"/>
        </w:rPr>
        <w:t>4.资金投入和使用情况</w:t>
      </w:r>
      <w:r>
        <w:rPr>
          <w:rStyle w:val="19"/>
          <w:rFonts w:hint="eastAsia" w:ascii="仿宋_GB2312" w:hAnsi="仿宋_GB2312" w:eastAsia="仿宋_GB2312" w:cs="仿宋_GB2312"/>
          <w:b w:val="0"/>
          <w:bCs w:val="0"/>
          <w:spacing w:val="0"/>
          <w:sz w:val="32"/>
          <w:szCs w:val="32"/>
        </w:rPr>
        <w:br w:type="textWrapping"/>
      </w:r>
      <w:r>
        <w:rPr>
          <w:rStyle w:val="19"/>
          <w:rFonts w:hint="eastAsia" w:ascii="仿宋_GB2312" w:hAnsi="仿宋_GB2312" w:eastAsia="仿宋_GB2312" w:cs="仿宋_GB2312"/>
          <w:b w:val="0"/>
          <w:bCs w:val="0"/>
          <w:spacing w:val="0"/>
          <w:sz w:val="32"/>
          <w:szCs w:val="32"/>
          <w:lang w:val="en-US" w:eastAsia="zh-CN"/>
        </w:rPr>
        <w:t xml:space="preserve">   （1）项目资金安排落实、总投入等情况分析</w:t>
      </w:r>
    </w:p>
    <w:p w14:paraId="6EE1217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rPr>
      </w:pPr>
      <w:r>
        <w:rPr>
          <w:rStyle w:val="19"/>
          <w:rFonts w:hint="eastAsia" w:ascii="仿宋_GB2312" w:hAnsi="仿宋_GB2312" w:eastAsia="仿宋_GB2312" w:cs="仿宋_GB2312"/>
          <w:b w:val="0"/>
          <w:bCs w:val="0"/>
          <w:spacing w:val="0"/>
          <w:sz w:val="32"/>
          <w:szCs w:val="32"/>
          <w:lang w:val="en-US" w:eastAsia="zh-CN"/>
        </w:rPr>
        <w:t>本项目预算安排总额为15万元，资金来源为本级部门预算，2024年实际收到预算资金15万元，预算资金到位率为100%。</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w:t>
      </w:r>
      <w:r>
        <w:rPr>
          <w:rStyle w:val="19"/>
          <w:rFonts w:hint="eastAsia" w:ascii="仿宋_GB2312" w:hAnsi="仿宋_GB2312" w:eastAsia="仿宋_GB2312" w:cs="仿宋_GB2312"/>
          <w:b w:val="0"/>
          <w:bCs w:val="0"/>
          <w:spacing w:val="0"/>
          <w:sz w:val="32"/>
          <w:szCs w:val="32"/>
        </w:rPr>
        <w:t>（</w:t>
      </w:r>
      <w:r>
        <w:rPr>
          <w:rStyle w:val="19"/>
          <w:rFonts w:hint="eastAsia" w:ascii="仿宋_GB2312" w:hAnsi="仿宋_GB2312" w:eastAsia="仿宋_GB2312" w:cs="仿宋_GB2312"/>
          <w:b w:val="0"/>
          <w:bCs w:val="0"/>
          <w:spacing w:val="0"/>
          <w:sz w:val="32"/>
          <w:szCs w:val="32"/>
          <w:lang w:val="en-US" w:eastAsia="zh-CN"/>
        </w:rPr>
        <w:t>2</w:t>
      </w:r>
      <w:r>
        <w:rPr>
          <w:rStyle w:val="19"/>
          <w:rFonts w:hint="eastAsia" w:ascii="仿宋_GB2312" w:hAnsi="仿宋_GB2312" w:eastAsia="仿宋_GB2312" w:cs="仿宋_GB2312"/>
          <w:b w:val="0"/>
          <w:bCs w:val="0"/>
          <w:spacing w:val="0"/>
          <w:sz w:val="32"/>
          <w:szCs w:val="32"/>
        </w:rPr>
        <w:t>）项目资金实际使用情况分析</w:t>
      </w:r>
    </w:p>
    <w:p w14:paraId="50A63CC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val="en-US" w:eastAsia="zh-CN"/>
        </w:rPr>
      </w:pPr>
      <w:r>
        <w:rPr>
          <w:rStyle w:val="19"/>
          <w:rFonts w:hint="eastAsia" w:ascii="仿宋_GB2312" w:hAnsi="仿宋_GB2312" w:eastAsia="仿宋_GB2312" w:cs="仿宋_GB2312"/>
          <w:b w:val="0"/>
          <w:bCs w:val="0"/>
          <w:spacing w:val="0"/>
          <w:sz w:val="32"/>
          <w:szCs w:val="32"/>
          <w:lang w:val="en-US" w:eastAsia="zh-CN"/>
        </w:rPr>
        <w:t>本项目实际支付资金15万元，预算执行率100%。本项目资金主要用于购买移动设备2套2万元;办公用品保障4万元；大练兵提升1万元;人员差费2万元;宣传2万元;环境应急调度系统建设费（一期）2万元；保障网络运行维护2万元。</w:t>
      </w:r>
    </w:p>
    <w:p w14:paraId="33987EE9">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ascii="楷体" w:hAnsi="楷体" w:eastAsia="楷体"/>
          <w:spacing w:val="-4"/>
          <w:sz w:val="32"/>
          <w:szCs w:val="32"/>
        </w:rPr>
      </w:pPr>
      <w:r>
        <w:rPr>
          <w:rStyle w:val="19"/>
          <w:rFonts w:hint="eastAsia" w:ascii="楷体" w:hAnsi="楷体" w:eastAsia="楷体"/>
          <w:b w:val="0"/>
          <w:bCs w:val="0"/>
          <w:spacing w:val="-4"/>
          <w:sz w:val="32"/>
          <w:szCs w:val="32"/>
        </w:rPr>
        <w:t>（二）项目绩效目标</w:t>
      </w:r>
    </w:p>
    <w:p w14:paraId="100EFCD0">
      <w:pPr>
        <w:keepNext w:val="0"/>
        <w:keepLines w:val="0"/>
        <w:pageBreakBefore w:val="0"/>
        <w:widowControl w:val="0"/>
        <w:kinsoku/>
        <w:wordWrap/>
        <w:overflowPunct/>
        <w:topLinePunct w:val="0"/>
        <w:autoSpaceDE/>
        <w:autoSpaceDN/>
        <w:bidi w:val="0"/>
        <w:adjustRightInd/>
        <w:snapToGrid/>
        <w:spacing w:line="560" w:lineRule="exact"/>
        <w:ind w:left="319" w:leftChars="152" w:firstLine="320" w:firstLineChars="100"/>
        <w:textAlignment w:val="auto"/>
        <w:rPr>
          <w:rStyle w:val="19"/>
          <w:rFonts w:hint="eastAsia" w:ascii="仿宋_GB2312" w:hAnsi="仿宋_GB2312" w:eastAsia="仿宋_GB2312" w:cs="仿宋_GB2312"/>
          <w:b w:val="0"/>
          <w:bCs w:val="0"/>
          <w:spacing w:val="0"/>
          <w:sz w:val="32"/>
          <w:szCs w:val="32"/>
          <w:lang w:val="en-US" w:eastAsia="zh-CN"/>
        </w:rPr>
      </w:pPr>
      <w:r>
        <w:rPr>
          <w:rStyle w:val="19"/>
          <w:rFonts w:hint="eastAsia" w:ascii="仿宋_GB2312" w:hAnsi="仿宋_GB2312" w:eastAsia="仿宋_GB2312" w:cs="仿宋_GB2312"/>
          <w:b w:val="0"/>
          <w:bCs w:val="0"/>
          <w:spacing w:val="0"/>
          <w:sz w:val="32"/>
          <w:szCs w:val="32"/>
          <w:lang w:val="en-US" w:eastAsia="zh-CN"/>
        </w:rPr>
        <w:t>1.总体目标</w:t>
      </w:r>
    </w:p>
    <w:p w14:paraId="30E54FB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val="en-US" w:eastAsia="zh-CN"/>
        </w:rPr>
      </w:pPr>
      <w:r>
        <w:rPr>
          <w:rStyle w:val="19"/>
          <w:rFonts w:hint="eastAsia" w:ascii="仿宋_GB2312" w:hAnsi="仿宋_GB2312" w:eastAsia="仿宋_GB2312" w:cs="仿宋_GB2312"/>
          <w:b w:val="0"/>
          <w:bCs w:val="0"/>
          <w:spacing w:val="0"/>
          <w:sz w:val="32"/>
          <w:szCs w:val="32"/>
          <w:lang w:val="en-US" w:eastAsia="zh-CN"/>
        </w:rPr>
        <w:t>经过一年时间该项目资金使用安全，以下各项业务工作有序开展：环境应急调度系统安全运行一年，环保各项宣传工作、大练兵提升工作、保障环境工作正常开展；设备安全运行一年；提升群众的环保意识。杜绝了出现各种设备问题，有效提高了对保护环境管控能力及社会效益，为上级决策提供技术支持和数据保障，有效保障了生态环境的稳定，达到项目预期目标。</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2.阶段性目标</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项目前期准备工作：成立项目领导小组，明确财务、执法、纪检等部门职责分工；制定《2024年环境执法经费使用管理细则》；调研确定装备缺口，形成采购清单和技术参数；编制人员培训方案和考核标准；建立项目资金专项账户，完善审批流程。</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项目实施阶段：依法依规开展装备政府采购工作；分批次组织人员业务能力培训；建立经费使用台账，实行月报制度；开展中期评估，动态调整实施计划；加强廉政风险防控，确保资金安全。</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项目完成阶段：完成执法装备验收和资产登记；组织培训考核，建立人员档案；开展项目绩效评估和财务审计；形成项目总结报告和工作台账；制定执法装备维护保养制度。</w:t>
      </w:r>
    </w:p>
    <w:p w14:paraId="650A5B48">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黑体" w:hAnsi="黑体" w:eastAsia="黑体"/>
          <w:b w:val="0"/>
          <w:spacing w:val="-4"/>
          <w:sz w:val="32"/>
          <w:szCs w:val="32"/>
          <w:lang w:val="en-US" w:eastAsia="zh-CN"/>
        </w:rPr>
      </w:pPr>
      <w:r>
        <w:rPr>
          <w:rStyle w:val="19"/>
          <w:rFonts w:hint="eastAsia" w:ascii="黑体" w:hAnsi="黑体" w:eastAsia="黑体"/>
          <w:b w:val="0"/>
          <w:spacing w:val="-4"/>
          <w:sz w:val="32"/>
          <w:szCs w:val="32"/>
          <w:lang w:val="en-US" w:eastAsia="zh-CN"/>
        </w:rPr>
        <w:t>二、绩效评价工作开展情况</w:t>
      </w:r>
    </w:p>
    <w:p w14:paraId="2E836B1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楷体" w:hAnsi="楷体" w:eastAsia="楷体"/>
          <w:b w:val="0"/>
          <w:bCs w:val="0"/>
          <w:spacing w:val="-4"/>
          <w:sz w:val="32"/>
          <w:szCs w:val="32"/>
          <w:lang w:val="en-US" w:eastAsia="zh-CN"/>
        </w:rPr>
      </w:pPr>
      <w:r>
        <w:rPr>
          <w:rStyle w:val="19"/>
          <w:rFonts w:hint="eastAsia" w:ascii="楷体" w:hAnsi="楷体" w:eastAsia="楷体"/>
          <w:b w:val="0"/>
          <w:bCs w:val="0"/>
          <w:spacing w:val="-4"/>
          <w:sz w:val="32"/>
          <w:szCs w:val="32"/>
          <w:lang w:val="en-US" w:eastAsia="zh-CN"/>
        </w:rPr>
        <w:t>（一）绩效评价目的、对象和范围</w:t>
      </w:r>
    </w:p>
    <w:p w14:paraId="577AE82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val="en-US" w:eastAsia="zh-CN"/>
        </w:rPr>
      </w:pPr>
      <w:r>
        <w:rPr>
          <w:rStyle w:val="19"/>
          <w:rFonts w:hint="eastAsia" w:ascii="仿宋_GB2312" w:hAnsi="仿宋_GB2312" w:eastAsia="仿宋_GB2312" w:cs="仿宋_GB2312"/>
          <w:b w:val="0"/>
          <w:bCs w:val="0"/>
          <w:spacing w:val="0"/>
          <w:sz w:val="32"/>
          <w:szCs w:val="32"/>
          <w:lang w:val="en-US" w:eastAsia="zh-CN"/>
        </w:rPr>
        <w:t>1.绩效评价的目的</w:t>
      </w:r>
    </w:p>
    <w:p w14:paraId="1E95564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val="en-US" w:eastAsia="zh-CN"/>
        </w:rPr>
      </w:pPr>
      <w:r>
        <w:rPr>
          <w:rStyle w:val="19"/>
          <w:rFonts w:hint="eastAsia" w:ascii="仿宋_GB2312" w:hAnsi="仿宋_GB2312" w:eastAsia="仿宋_GB2312" w:cs="仿宋_GB2312"/>
          <w:b w:val="0"/>
          <w:bCs w:val="0"/>
          <w:spacing w:val="0"/>
          <w:sz w:val="32"/>
          <w:szCs w:val="32"/>
          <w:lang w:val="en-US" w:eastAsia="zh-CN"/>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2024年环境业务执法经费（和田市分局）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2.绩效评价对象</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此次我单位根据《财政支出绩效评价管理暂行办法》（财预〔2020〕10号）文件要求实施评价工作，本次评价对象为2024年环境业务执法经费（和田市分局），评价核心为项目的资金投入、产出及效益。</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3.绩效评价范围</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104DFE5F">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楷体" w:hAnsi="楷体" w:eastAsia="楷体"/>
          <w:b w:val="0"/>
          <w:bCs w:val="0"/>
          <w:spacing w:val="-4"/>
          <w:sz w:val="32"/>
          <w:szCs w:val="32"/>
          <w:lang w:val="en-US" w:eastAsia="zh-CN"/>
        </w:rPr>
      </w:pPr>
      <w:r>
        <w:rPr>
          <w:rStyle w:val="19"/>
          <w:rFonts w:hint="eastAsia" w:ascii="楷体" w:hAnsi="楷体" w:eastAsia="楷体"/>
          <w:b w:val="0"/>
          <w:bCs w:val="0"/>
          <w:spacing w:val="-4"/>
          <w:sz w:val="32"/>
          <w:szCs w:val="32"/>
          <w:lang w:val="en-US" w:eastAsia="zh-CN"/>
        </w:rPr>
        <w:t>（二）绩效评价原则、评价指标体系、评价方法、评价标准</w:t>
      </w:r>
    </w:p>
    <w:p w14:paraId="7EE0298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val="en-US" w:eastAsia="zh-CN"/>
        </w:rPr>
      </w:pPr>
      <w:r>
        <w:rPr>
          <w:rStyle w:val="19"/>
          <w:rFonts w:hint="eastAsia" w:ascii="仿宋_GB2312" w:hAnsi="仿宋_GB2312" w:eastAsia="仿宋_GB2312" w:cs="仿宋_GB2312"/>
          <w:b w:val="0"/>
          <w:bCs w:val="0"/>
          <w:spacing w:val="0"/>
          <w:sz w:val="32"/>
          <w:szCs w:val="32"/>
          <w:lang w:val="en-US" w:eastAsia="zh-CN"/>
        </w:rPr>
        <w:t>1.绩效评价原则</w:t>
      </w:r>
    </w:p>
    <w:p w14:paraId="373B21D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val="en-US" w:eastAsia="zh-CN"/>
        </w:rPr>
      </w:pPr>
      <w:r>
        <w:rPr>
          <w:rStyle w:val="19"/>
          <w:rFonts w:hint="eastAsia" w:ascii="仿宋_GB2312" w:hAnsi="仿宋_GB2312" w:eastAsia="仿宋_GB2312" w:cs="仿宋_GB2312"/>
          <w:b w:val="0"/>
          <w:bCs w:val="0"/>
          <w:spacing w:val="0"/>
          <w:sz w:val="32"/>
          <w:szCs w:val="32"/>
          <w:lang w:val="en-US" w:eastAsia="zh-CN"/>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（1）科学公正。绩效评价应当运用科学合理的方法，按照规范的程序，对项目绩效进行客观、公正的反映。</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（3）激励约束。绩效评价结果应与预算安排、政策调整、改进管理实质性挂钩，体现奖优罚劣和激励相容导向，有效要安排、低效要压减、无效要问责。</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（4）公开透明。绩效评价结果应依法依规公开，并自觉接受社会监督。</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根据以上原则，绩效评价应遵循如下要求:</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（1）在数据采集时，采取客观数据，主管部门审查、社会中介组织复查，与问卷调查相结合的形式，以保证各项指标的真实性。</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（2）保证评价结果的真实性、公正性，提高评价报告的公信力。</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2.绩效评价指标体系</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3.评价方法</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三级指标分析环节：总体采用比较法，同时辅以文献法、成本效益法、因素分析法以及公众评判法，根据不同三级指标类型进行逐项分析。</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w:t>
      </w:r>
      <w:r>
        <w:rPr>
          <w:rStyle w:val="19"/>
          <w:rFonts w:hint="eastAsia" w:ascii="仿宋_GB2312" w:hAnsi="仿宋_GB2312" w:eastAsia="仿宋_GB2312" w:cs="仿宋_GB2312"/>
          <w:b w:val="0"/>
          <w:bCs w:val="0"/>
          <w:spacing w:val="0"/>
          <w:sz w:val="32"/>
          <w:szCs w:val="32"/>
        </w:rPr>
        <w:t>①</w:t>
      </w:r>
      <w:r>
        <w:rPr>
          <w:rStyle w:val="19"/>
          <w:rFonts w:hint="eastAsia" w:ascii="仿宋_GB2312" w:hAnsi="仿宋_GB2312" w:eastAsia="仿宋_GB2312" w:cs="仿宋_GB2312"/>
          <w:b w:val="0"/>
          <w:bCs w:val="0"/>
          <w:spacing w:val="0"/>
          <w:sz w:val="32"/>
          <w:szCs w:val="32"/>
          <w:lang w:val="en-US" w:eastAsia="zh-CN"/>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w:t>
      </w:r>
      <w:r>
        <w:rPr>
          <w:rStyle w:val="19"/>
          <w:rFonts w:hint="eastAsia" w:ascii="仿宋_GB2312" w:hAnsi="仿宋_GB2312" w:eastAsia="仿宋_GB2312" w:cs="仿宋_GB2312"/>
          <w:b w:val="0"/>
          <w:bCs w:val="0"/>
          <w:spacing w:val="0"/>
          <w:sz w:val="32"/>
          <w:szCs w:val="32"/>
        </w:rPr>
        <w:t>②</w:t>
      </w:r>
      <w:r>
        <w:rPr>
          <w:rStyle w:val="19"/>
          <w:rFonts w:hint="eastAsia" w:ascii="仿宋_GB2312" w:hAnsi="仿宋_GB2312" w:eastAsia="仿宋_GB2312" w:cs="仿宋_GB2312"/>
          <w:b w:val="0"/>
          <w:bCs w:val="0"/>
          <w:spacing w:val="0"/>
          <w:sz w:val="32"/>
          <w:szCs w:val="32"/>
          <w:lang w:val="en-US" w:eastAsia="zh-CN"/>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立项依据充分性：比较法、文献法，查找法律法规政策以及规划，对比实际执行内容和政策支持内容是否匹配。</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立项程序规范性：比较法、文献法，查找相关项目设立的政策和文件要求，对比分析实际执行程序是否按照政策及文件要求执行，分析立项程序的规范性。</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绩效目标合理性：比较法，对比分析年初编制项目支出绩效目标表与项目内容的相关性、资金的匹配性等。</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绩效指标明确性：比较法，比较分析年初编制项目支出绩效目标表是否符合双七原则，是否可衡量。</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预算编制科学性 成本效益分析法 分析在产出一定的情况下，成本取值是否有依据，是否经过询价，是否按照市场最低成本编制。</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资金分配合理性：因素分析法，综合分析资金的分配依据是否充分，分配金额是否与项目实施单位需求金额一致，</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资金到位率：比较法，资金到位率预期指标值应为100%，通过实际计算，分析实际完成值和预期指标值之间的差距和原因。</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预算执行率：比较法，预算执行率预期指标值应为100%，通过实际计算，分析实际完成值和预期指标值之间的差距和原因。</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资金使用合规性：文献法、实地勘察法，一是查找资金管理办法，包括专项资金管理办法和单位自有资金管理办法；二是通过查账了解具体开支情况，是否专用专用，是否按照标准支出。</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管理制度健全性：文献法、比较法，查阅项目实施人员提供的财务和业务管理制度，将已建立的制度与现行的法律法规和政策要求进行对比，分析项目制度的合法性、合规性、完整性。</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制度执行有效性：比较法，结合项目实际实施过程性文件，根据已建设的财务管理制度和项目管理制度综合分析制度执行的有效性。</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62B1D91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val="en-US" w:eastAsia="zh-CN"/>
        </w:rPr>
      </w:pPr>
      <w:r>
        <w:rPr>
          <w:rStyle w:val="19"/>
          <w:rFonts w:hint="eastAsia" w:ascii="仿宋_GB2312" w:hAnsi="仿宋_GB2312" w:eastAsia="仿宋_GB2312" w:cs="仿宋_GB2312"/>
          <w:b w:val="0"/>
          <w:bCs w:val="0"/>
          <w:spacing w:val="0"/>
          <w:sz w:val="32"/>
          <w:szCs w:val="32"/>
          <w:lang w:val="en-US" w:eastAsia="zh-CN"/>
        </w:rPr>
        <w:t>定性指标：公众评判法，通过问卷及抽样调查等方式评价本项目实施后社会公众对于其实施效果的满意程度。</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4.评价标准</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F6697D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楷体_GB2312" w:hAnsi="楷体_GB2312" w:eastAsia="楷体_GB2312" w:cs="楷体_GB2312"/>
          <w:b w:val="0"/>
          <w:bCs w:val="0"/>
          <w:spacing w:val="0"/>
          <w:sz w:val="32"/>
          <w:szCs w:val="32"/>
          <w:lang w:val="en-US" w:eastAsia="zh-CN"/>
        </w:rPr>
      </w:pPr>
      <w:r>
        <w:rPr>
          <w:rStyle w:val="19"/>
          <w:rFonts w:hint="eastAsia" w:ascii="楷体_GB2312" w:hAnsi="楷体_GB2312" w:eastAsia="楷体_GB2312" w:cs="楷体_GB2312"/>
          <w:b w:val="0"/>
          <w:bCs w:val="0"/>
          <w:spacing w:val="0"/>
          <w:sz w:val="32"/>
          <w:szCs w:val="32"/>
          <w:lang w:val="en-US" w:eastAsia="zh-CN"/>
        </w:rPr>
        <w:t>（三）绩效评价工作过程</w:t>
      </w:r>
    </w:p>
    <w:p w14:paraId="42D888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val="en-US" w:eastAsia="zh-CN"/>
        </w:rPr>
      </w:pPr>
      <w:r>
        <w:rPr>
          <w:rStyle w:val="19"/>
          <w:rFonts w:hint="eastAsia" w:ascii="仿宋_GB2312" w:hAnsi="仿宋_GB2312" w:eastAsia="仿宋_GB2312" w:cs="仿宋_GB2312"/>
          <w:b w:val="0"/>
          <w:bCs w:val="0"/>
          <w:spacing w:val="0"/>
          <w:sz w:val="32"/>
          <w:szCs w:val="32"/>
          <w:lang w:val="en-US" w:eastAsia="zh-CN"/>
        </w:rPr>
        <w:t>1.前期准备</w:t>
      </w:r>
    </w:p>
    <w:p w14:paraId="5E1BE81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val="en-US" w:eastAsia="zh-CN"/>
        </w:rPr>
      </w:pPr>
      <w:r>
        <w:rPr>
          <w:rStyle w:val="19"/>
          <w:rFonts w:hint="eastAsia" w:ascii="仿宋_GB2312" w:hAnsi="仿宋_GB2312" w:eastAsia="仿宋_GB2312" w:cs="仿宋_GB2312"/>
          <w:b w:val="0"/>
          <w:bCs w:val="0"/>
          <w:spacing w:val="0"/>
          <w:sz w:val="32"/>
          <w:szCs w:val="32"/>
          <w:lang w:val="en-US" w:eastAsia="zh-CN"/>
        </w:rPr>
        <w:t>我单位于2025年3月18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孙永博（评价小组组长）：主要负责项目管理和资金绩效管理全面工作;</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胡春娟（评价小组组员）：主要负责项目实施、管理工作;</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肖纬（评价小组组员）：主要负责预算支出管理和预算绩效平台工作。</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2.组织实施</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2025年3月19日-3月21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3.分析评价</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2025年3月25日-3月28日，评价小组按照绩效评价的原则和规范，对取得的资料进行审查核实，对采集的数据进行分析，按照绩效评价指标评分表逐项进行打分、分析、汇总各方评价结果。</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4.撰写与提交评价报告</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2025年4月1日-4月4日评价小组撰写绩效评价报告，按照新疆维吾尔自治区财政绩效管理信息系统绩效评价模块中统一格式和文本框架撰写绩效评价报告并提交审核。</w:t>
      </w:r>
    </w:p>
    <w:p w14:paraId="1456F1D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val="en-US" w:eastAsia="zh-CN"/>
        </w:rPr>
      </w:pPr>
      <w:r>
        <w:rPr>
          <w:rStyle w:val="19"/>
          <w:rFonts w:hint="eastAsia" w:ascii="仿宋_GB2312" w:hAnsi="仿宋_GB2312" w:eastAsia="仿宋_GB2312" w:cs="仿宋_GB2312"/>
          <w:b w:val="0"/>
          <w:bCs w:val="0"/>
          <w:spacing w:val="0"/>
          <w:sz w:val="32"/>
          <w:szCs w:val="32"/>
          <w:lang w:val="en-US" w:eastAsia="zh-CN"/>
        </w:rPr>
        <w:t>5.问题整改</w:t>
      </w:r>
    </w:p>
    <w:p w14:paraId="369D468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val="en-US" w:eastAsia="zh-CN"/>
        </w:rPr>
      </w:pPr>
      <w:r>
        <w:rPr>
          <w:rStyle w:val="19"/>
          <w:rFonts w:hint="eastAsia" w:ascii="仿宋_GB2312" w:hAnsi="仿宋_GB2312" w:eastAsia="仿宋_GB2312" w:cs="仿宋_GB2312"/>
          <w:b w:val="0"/>
          <w:bCs w:val="0"/>
          <w:spacing w:val="0"/>
          <w:sz w:val="32"/>
          <w:szCs w:val="32"/>
          <w:lang w:val="en-US" w:eastAsia="zh-CN"/>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452CBDD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val="en-US" w:eastAsia="zh-CN"/>
        </w:rPr>
      </w:pPr>
      <w:r>
        <w:rPr>
          <w:rStyle w:val="19"/>
          <w:rFonts w:hint="eastAsia" w:ascii="仿宋_GB2312" w:hAnsi="仿宋_GB2312" w:eastAsia="仿宋_GB2312" w:cs="仿宋_GB2312"/>
          <w:b w:val="0"/>
          <w:bCs w:val="0"/>
          <w:spacing w:val="0"/>
          <w:sz w:val="32"/>
          <w:szCs w:val="32"/>
          <w:lang w:val="en-US" w:eastAsia="zh-CN"/>
        </w:rPr>
        <w:t>6.档案整理</w:t>
      </w:r>
    </w:p>
    <w:p w14:paraId="79B81CA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val="en-US" w:eastAsia="zh-CN"/>
        </w:rPr>
      </w:pPr>
      <w:r>
        <w:rPr>
          <w:rStyle w:val="19"/>
          <w:rFonts w:hint="eastAsia" w:ascii="仿宋_GB2312" w:hAnsi="仿宋_GB2312" w:eastAsia="仿宋_GB2312" w:cs="仿宋_GB2312"/>
          <w:b w:val="0"/>
          <w:bCs w:val="0"/>
          <w:spacing w:val="0"/>
          <w:sz w:val="32"/>
          <w:szCs w:val="32"/>
          <w:lang w:val="en-US" w:eastAsia="zh-CN"/>
        </w:rPr>
        <w:t>建立和落实档案管理制度，将项目相关资料存档，包括但不限于：评价项目基本情况和相关文件、评价实施方案、项目支付资料等相关档案。</w:t>
      </w:r>
    </w:p>
    <w:p w14:paraId="3C1F728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黑体" w:hAnsi="黑体" w:eastAsia="黑体"/>
          <w:b w:val="0"/>
          <w:spacing w:val="0"/>
          <w:sz w:val="32"/>
          <w:szCs w:val="32"/>
          <w:lang w:val="en-US" w:eastAsia="zh-CN"/>
        </w:rPr>
      </w:pPr>
      <w:r>
        <w:rPr>
          <w:rStyle w:val="19"/>
          <w:rFonts w:hint="eastAsia" w:ascii="黑体" w:hAnsi="黑体" w:eastAsia="黑体"/>
          <w:b w:val="0"/>
          <w:spacing w:val="0"/>
          <w:sz w:val="32"/>
          <w:szCs w:val="32"/>
          <w:lang w:val="en-US" w:eastAsia="zh-CN"/>
        </w:rPr>
        <w:t>三、综合评价情况及评价结论</w:t>
      </w:r>
    </w:p>
    <w:p w14:paraId="6533248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楷体_GB2312" w:hAnsi="楷体_GB2312" w:eastAsia="楷体_GB2312" w:cs="楷体_GB2312"/>
          <w:b w:val="0"/>
          <w:bCs w:val="0"/>
          <w:spacing w:val="0"/>
          <w:sz w:val="32"/>
          <w:szCs w:val="32"/>
          <w:lang w:val="en-US" w:eastAsia="zh-CN"/>
        </w:rPr>
      </w:pPr>
      <w:r>
        <w:rPr>
          <w:rStyle w:val="19"/>
          <w:rFonts w:hint="eastAsia" w:ascii="楷体_GB2312" w:hAnsi="楷体_GB2312" w:eastAsia="楷体_GB2312" w:cs="楷体_GB2312"/>
          <w:b w:val="0"/>
          <w:bCs w:val="0"/>
          <w:spacing w:val="0"/>
          <w:sz w:val="32"/>
          <w:szCs w:val="32"/>
          <w:lang w:val="en-US" w:eastAsia="zh-CN"/>
        </w:rPr>
        <w:t>（一）综合评价情况</w:t>
      </w:r>
    </w:p>
    <w:p w14:paraId="5C443E1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楷体_GB2312" w:hAnsi="楷体_GB2312" w:eastAsia="楷体_GB2312" w:cs="楷体_GB2312"/>
          <w:b w:val="0"/>
          <w:bCs w:val="0"/>
          <w:spacing w:val="0"/>
          <w:sz w:val="32"/>
          <w:szCs w:val="32"/>
          <w:lang w:val="en-US" w:eastAsia="zh-CN"/>
        </w:rPr>
      </w:pPr>
      <w:r>
        <w:rPr>
          <w:rStyle w:val="19"/>
          <w:rFonts w:hint="eastAsia" w:ascii="仿宋_GB2312" w:hAnsi="仿宋_GB2312" w:eastAsia="仿宋_GB2312" w:cs="仿宋_GB2312"/>
          <w:b w:val="0"/>
          <w:bCs w:val="0"/>
          <w:spacing w:val="0"/>
          <w:sz w:val="32"/>
          <w:szCs w:val="32"/>
          <w:lang w:val="en-US" w:eastAsia="zh-CN"/>
        </w:rPr>
        <w:t>经评价，本项目达成100%，实际完成值与预期指标值一致；年初设立的绩效目标，在实施过程中取得了良好的成效，具体表现在以下三方面：</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一是：强化履职担当，压实党组“主体责任”。</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二是：聚焦主责主业，推动生态环境高质量发展。1.主要指标完成100%，2.持续打好污染防治攻坚战，3.优化营商环境，助推经济高质量发展，4.履行生态职责，强化生态环境监管执法，5.开展生态环保宣传教育，提升公众参与度，6.扎实推进生态环境保护督察反馈问题整改荛，巩固环保督察成果，7.开展生态环境领域隐患排查，确保生态安全。</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w:t>
      </w:r>
      <w:r>
        <w:rPr>
          <w:rStyle w:val="19"/>
          <w:rFonts w:hint="eastAsia" w:ascii="楷体_GB2312" w:hAnsi="楷体_GB2312" w:eastAsia="楷体_GB2312" w:cs="楷体_GB2312"/>
          <w:b w:val="0"/>
          <w:bCs w:val="0"/>
          <w:spacing w:val="0"/>
          <w:sz w:val="32"/>
          <w:szCs w:val="32"/>
          <w:lang w:val="en-US" w:eastAsia="zh-CN"/>
        </w:rPr>
        <w:t>（二）评价结论</w:t>
      </w:r>
    </w:p>
    <w:p w14:paraId="3BDEB6C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val="en-US" w:eastAsia="zh-CN"/>
        </w:rPr>
      </w:pPr>
      <w:r>
        <w:rPr>
          <w:rStyle w:val="19"/>
          <w:rFonts w:hint="eastAsia" w:ascii="仿宋_GB2312" w:hAnsi="仿宋_GB2312" w:eastAsia="仿宋_GB2312" w:cs="仿宋_GB2312"/>
          <w:b w:val="0"/>
          <w:bCs w:val="0"/>
          <w:spacing w:val="0"/>
          <w:sz w:val="32"/>
          <w:szCs w:val="32"/>
          <w:lang w:val="en-US" w:eastAsia="zh-CN"/>
        </w:rPr>
        <w:t>此次绩效评价通过绩效评价小组论证的评价指标体系及评分标准，采用因素分析法和比较法对本项目绩效进行客观评价，最终评分结果：总分为100分，绩效评级为“优”。综合评价结论如下：本项目共设置三级指标数量30个，实现三级指标数量30个，总体完成率为100%。</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过程管理类指标共设置6个，满分指标6个，权重分21分，得分21分，得分率100%；</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项目产出类指标共设置5个，满分指标5个，权重分19分，得分19分，得分率100%；</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项目效益类指标共设置16个，满分指标16个，权重分20分，得分20分，得分率98.35%；</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满意度指标共设置3个，满分指标3个，权重分40分，得分40分，得分率100%。</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详细情况见“附件2：项目综合得分表”。</w:t>
      </w:r>
    </w:p>
    <w:p w14:paraId="55E534AD">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val="en-US" w:eastAsia="zh-CN"/>
        </w:rPr>
      </w:pPr>
      <w:r>
        <w:rPr>
          <w:rStyle w:val="19"/>
          <w:rFonts w:hint="eastAsia" w:ascii="黑体" w:hAnsi="黑体" w:eastAsia="黑体"/>
          <w:b w:val="0"/>
          <w:spacing w:val="0"/>
          <w:sz w:val="32"/>
          <w:szCs w:val="32"/>
          <w:lang w:val="en-US" w:eastAsia="zh-CN"/>
        </w:rPr>
        <w:t>绩效评价指标分析</w:t>
      </w:r>
      <w:r>
        <w:rPr>
          <w:rStyle w:val="19"/>
          <w:rFonts w:hint="eastAsia" w:ascii="仿宋_GB2312" w:hAnsi="仿宋_GB2312" w:eastAsia="仿宋_GB2312" w:cs="仿宋_GB2312"/>
          <w:b w:val="0"/>
          <w:bCs w:val="0"/>
          <w:spacing w:val="0"/>
          <w:sz w:val="32"/>
          <w:szCs w:val="32"/>
          <w:lang w:val="en-US" w:eastAsia="zh-CN"/>
        </w:rPr>
        <w:t xml:space="preserve"> </w:t>
      </w:r>
    </w:p>
    <w:p w14:paraId="5071036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val="en-US" w:eastAsia="zh-CN"/>
        </w:rPr>
      </w:pPr>
      <w:r>
        <w:rPr>
          <w:rStyle w:val="19"/>
          <w:rFonts w:hint="eastAsia" w:ascii="楷体_GB2312" w:hAnsi="楷体_GB2312" w:eastAsia="楷体_GB2312" w:cs="楷体_GB2312"/>
          <w:b w:val="0"/>
          <w:bCs/>
          <w:spacing w:val="0"/>
          <w:sz w:val="32"/>
          <w:szCs w:val="32"/>
          <w:lang w:val="en-US" w:eastAsia="zh-CN"/>
        </w:rPr>
        <w:t>（一）项目决策情况</w:t>
      </w:r>
    </w:p>
    <w:p w14:paraId="5DBC3E3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val="en-US" w:eastAsia="zh-CN"/>
        </w:rPr>
      </w:pPr>
      <w:r>
        <w:rPr>
          <w:rStyle w:val="19"/>
          <w:rFonts w:hint="eastAsia" w:ascii="仿宋_GB2312" w:hAnsi="仿宋_GB2312" w:eastAsia="仿宋_GB2312" w:cs="仿宋_GB2312"/>
          <w:b w:val="0"/>
          <w:bCs w:val="0"/>
          <w:spacing w:val="0"/>
          <w:sz w:val="32"/>
          <w:szCs w:val="32"/>
          <w:lang w:val="en-US" w:eastAsia="zh-CN"/>
        </w:rPr>
        <w:t>项目决策类指标由3个二级指标和6个三级指标构成，权重分21分，实际得分21分。</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1.项目立项情况分析</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（1）立项依据充分性</w:t>
      </w:r>
    </w:p>
    <w:p w14:paraId="4EF4912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val="en-US" w:eastAsia="zh-CN"/>
        </w:rPr>
      </w:pPr>
      <w:r>
        <w:rPr>
          <w:rStyle w:val="19"/>
          <w:rFonts w:hint="eastAsia" w:ascii="仿宋_GB2312" w:hAnsi="仿宋_GB2312" w:eastAsia="仿宋_GB2312" w:cs="仿宋_GB2312"/>
          <w:b w:val="0"/>
          <w:bCs w:val="0"/>
          <w:spacing w:val="0"/>
          <w:sz w:val="32"/>
          <w:szCs w:val="32"/>
          <w:lang w:val="en-US" w:eastAsia="zh-CN"/>
        </w:rPr>
        <w:t>本项目立项依据《关于加强污染源监督性检测数据在环境执法中应用的通知》（环办[2011]123号；2.《国务院办公厅关于全面推行行政执法全过程记录制度重大执法决定法制审核制度的指导意见》（国办发[2018]118号）；3.《建设项目环境保护管理条例》；4.《中华人民共和国水污染防治法》；5.《关于地区保障第二轮中央生态环境保护督察协调联络工作组下设六个工作组的方案》；6.《关于加强排污许可执法监管的指导意见》。属于我单位履职所需；根据《财政资金直接支付申请书》，本项目资金性质为“公共财政预算”功能分类为“2110199”经济分类为“50201办公费、50205委托业务费、50209维修（护）费”等属于公共财政支持范围，符合中央、地方事权支出责任划分原则；经检查我单位财政应用平台指标，本项目不存在重复。</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综上所述，本指标满分为5分，根据评分标准得5分，本项目立项依据充分。</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（2）立项程序规范性</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和地财预[2024]1号文件要求实施项目。</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综上所述，本指标满分为3分，根据评分标准得3分，本项目立项程序规范。</w:t>
      </w:r>
    </w:p>
    <w:p w14:paraId="733F8F2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val="en-US" w:eastAsia="zh-CN"/>
        </w:rPr>
      </w:pPr>
      <w:r>
        <w:rPr>
          <w:rStyle w:val="19"/>
          <w:rFonts w:hint="eastAsia" w:ascii="仿宋_GB2312" w:hAnsi="仿宋_GB2312" w:eastAsia="仿宋_GB2312" w:cs="仿宋_GB2312"/>
          <w:b w:val="0"/>
          <w:bCs w:val="0"/>
          <w:spacing w:val="0"/>
          <w:sz w:val="32"/>
          <w:szCs w:val="32"/>
          <w:lang w:val="en-US" w:eastAsia="zh-CN"/>
        </w:rPr>
        <w:t>2.绩效目标情况分析</w:t>
      </w:r>
    </w:p>
    <w:p w14:paraId="1CF87DB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val="en-US" w:eastAsia="zh-CN"/>
        </w:rPr>
      </w:pPr>
      <w:r>
        <w:rPr>
          <w:rStyle w:val="19"/>
          <w:rFonts w:hint="eastAsia" w:ascii="仿宋_GB2312" w:hAnsi="仿宋_GB2312" w:eastAsia="仿宋_GB2312" w:cs="仿宋_GB2312"/>
          <w:b w:val="0"/>
          <w:bCs w:val="0"/>
          <w:spacing w:val="0"/>
          <w:sz w:val="32"/>
          <w:szCs w:val="32"/>
          <w:lang w:val="en-US" w:eastAsia="zh-CN"/>
        </w:rPr>
        <w:t>（1）绩效目标合理性</w:t>
      </w:r>
    </w:p>
    <w:p w14:paraId="4E72815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val="en-US" w:eastAsia="zh-CN"/>
        </w:rPr>
      </w:pPr>
      <w:r>
        <w:rPr>
          <w:rStyle w:val="19"/>
          <w:rFonts w:hint="eastAsia" w:ascii="仿宋_GB2312" w:hAnsi="仿宋_GB2312" w:eastAsia="仿宋_GB2312" w:cs="仿宋_GB2312"/>
          <w:b w:val="0"/>
          <w:bCs w:val="0"/>
          <w:spacing w:val="0"/>
          <w:sz w:val="32"/>
          <w:szCs w:val="32"/>
          <w:lang w:val="en-US" w:eastAsia="zh-CN"/>
        </w:rPr>
        <w:t>本项目已设置年度绩效目标，具体内容为“2024年度专用设备购置预期指标值为&gt;=2套；生态环境人员出差次数预期指标值为&gt;=3次；网络运行维护预期指标值为&gt;=10次；保障办公经费预期指标值为&gt;=5次；环境应急调度系统建设（一期）预期指标值为=1年；环保各类宣传活动举办次数（个）预期指标值为&gt;=5次；环保大练兵次数（次）预期指标值为&gt;=5次；2024年度环境监察执法达标率（%）&gt;=90%；网络运行稳定率率（%），预期指标值为&gt;=90%；办公用品保障预期指标值为&lt;=50000元；设备保障预期指标值为&lt;=20000元；大练兵业务提升&lt;=10000元；保障网络运行维护预期指标值为&lt;=20000元；环境应急调度系统建设预期指标值为&lt;=20000元；环保各类宣传活动举办次数预期指标值为&lt;=20000元；人员差费预期指标值为&lt;=10000元；对重点污染源管控能力提高程度，预期指标值为&gt;=90%；对生态环境稳定的有效保障程度，预期指标值为&gt;=90%；群众对生态环境工作的满意度达100%”。</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本项目实际工作为：2024年度专用设备购置值为=2套，完成率达到100%；生态环境人员出差次数值为=3次，完成率达到100%；网络运行维护值为=10次，完成率达到100%；保障办公经费值为=5次，完成率达到100%；环境应急调度系统建设（一期）值为=1年，完成率达到100%；环保各类宣传活动举办次数（个）值为=5次，完成率达到100%；环保大练兵次数（次）值为=5次，完成率达到100%；2024年度环境监察执法达标率（%）=90%，完成率达到100%；网络运行稳定率率（%）值为=90%，完成率达到100%；办公用品保障预期指标值为=50000元，完成率达到100%；设备保障值为=20000元，完成率达到100%；大练兵业务提升=10000元，完成率达到100%；保障网络运行维护值为=20000元，完成率达到100%；环境应急调度系统建设值为=20000元，完成率达到100%；环保各类宣传活动举办次数金额值为=20000元，完成率达到100%；执法人员差费值为=10000元，完成率达到100%；对重点污染源管控能力提高程度值为=90%，完成率达到100%；对生态环境稳定的有效保障程度值为=90%，完成率达到100%；群众对生态环境工作的满意度达100%，完成率达到100%”</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2024年度执法业务成本费用等于15万元。绩效目标与实际工作内容一致，两者具有相关性;本项目按照绩效目标完成数量指标、质量指标、时效指标、成本指标，有效保障了环境应急调度系统安全运行一年，保障环境工作正常开展；设备安全运行一年；提升群众的环保意识。杜绝了出现各种设备问题，有效提高了对保护环境管控能力及社会效益，为上级决策提供技术支持和数据保障，有效保障了生态环境的稳定，达到项目预期目标。2024年度绩效目标完成，预期产出效益和效果符合正常的业绩水平。</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综上所述，本指标满分为4分，根据评分标准得4分，本项目绩效目标设置合理。</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（2）绩效指标明确性</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经检查我单位年初设置的《项目支出绩效目标表》，得出如下结论：本项目已将年度绩效目标进行细化为绩效指标体系，共设置一级指标4个，二级指标7个，三级指标19个。</w:t>
      </w:r>
    </w:p>
    <w:p w14:paraId="3222790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val="en-US" w:eastAsia="zh-CN"/>
        </w:rPr>
      </w:pPr>
      <w:r>
        <w:rPr>
          <w:rStyle w:val="19"/>
          <w:rFonts w:hint="eastAsia" w:ascii="仿宋_GB2312" w:hAnsi="仿宋_GB2312" w:eastAsia="仿宋_GB2312" w:cs="仿宋_GB2312"/>
          <w:b w:val="0"/>
          <w:bCs w:val="0"/>
          <w:spacing w:val="0"/>
          <w:sz w:val="32"/>
          <w:szCs w:val="32"/>
          <w:lang w:val="en-US" w:eastAsia="zh-CN"/>
        </w:rPr>
        <w:t>综上所述，本指标满分为3分，根据评分标准得3分，本项目所设置绩效指标明确。</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3.资金投入情况分析</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（1）预算编制科学性</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预算申请内容为办公用品保障5万元，设备保障2万元，大练兵业务提升1万元，保障网络运行维护2万元，环境应急调度系统建设2万元，环保各类宣传活动2万元，人员差费1万元，项目实际内容与预算申请内容一致，预算申请与《2024年环境业务执法经费（和田市分局）项目实施方案》中涉及的项目内容匹配；本项目预算申请资金15万元，我单位在预算申请中严格按照单位标准和数量进行核算，本项目预算额度测算依据充分，严格按照标准编制，预算确定资金量与实际工作任务相匹配。</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综上所述，本指标满分为4分，根据评分标准得4分，本项目预算编制科学。</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（2）资金分配合理性</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本项目实际分配资金以《关于申请2024年环境业务执法经费（和田市分局）项目资金的请示》和《2024年环境业务执法经费（和田市分局）项目实施方案》为依据进行资金分配，预算资金分配依据充分。根据和地财预[2024]1号文件显示，本项目实际到位资金15万元，实际分配资金与我单位提交申请的资金额度一致，资金分配额度合理，与我单位实际需求相适应。</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综上所述，本指标满分为2分，根据评分标准得2分，本项目资金分配合理。</w:t>
      </w:r>
      <w:r>
        <w:rPr>
          <w:rStyle w:val="19"/>
          <w:rFonts w:hint="eastAsia" w:ascii="仿宋_GB2312" w:hAnsi="仿宋_GB2312" w:eastAsia="仿宋_GB2312" w:cs="仿宋_GB2312"/>
          <w:b w:val="0"/>
          <w:bCs w:val="0"/>
          <w:spacing w:val="0"/>
          <w:sz w:val="32"/>
          <w:szCs w:val="32"/>
          <w:lang w:val="en-US" w:eastAsia="zh-CN"/>
        </w:rPr>
        <w:tab/>
      </w:r>
    </w:p>
    <w:p w14:paraId="17BE587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楷体_GB2312" w:hAnsi="楷体_GB2312" w:eastAsia="楷体_GB2312" w:cs="楷体_GB2312"/>
          <w:b w:val="0"/>
          <w:bCs/>
          <w:spacing w:val="0"/>
          <w:sz w:val="32"/>
          <w:szCs w:val="32"/>
          <w:lang w:val="en-US" w:eastAsia="zh-CN"/>
        </w:rPr>
      </w:pPr>
      <w:r>
        <w:rPr>
          <w:rStyle w:val="19"/>
          <w:rFonts w:hint="eastAsia" w:ascii="楷体_GB2312" w:hAnsi="楷体_GB2312" w:eastAsia="楷体_GB2312" w:cs="楷体_GB2312"/>
          <w:b w:val="0"/>
          <w:bCs/>
          <w:spacing w:val="0"/>
          <w:sz w:val="32"/>
          <w:szCs w:val="32"/>
          <w:lang w:val="en-US" w:eastAsia="zh-CN"/>
        </w:rPr>
        <w:t>（二）项目过程情况</w:t>
      </w:r>
    </w:p>
    <w:p w14:paraId="7539CF4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val="en-US" w:eastAsia="zh-CN"/>
        </w:rPr>
      </w:pPr>
      <w:r>
        <w:rPr>
          <w:rStyle w:val="19"/>
          <w:rFonts w:hint="eastAsia" w:ascii="仿宋_GB2312" w:hAnsi="仿宋_GB2312" w:eastAsia="仿宋_GB2312" w:cs="仿宋_GB2312"/>
          <w:b w:val="0"/>
          <w:bCs w:val="0"/>
          <w:spacing w:val="0"/>
          <w:sz w:val="32"/>
          <w:szCs w:val="32"/>
          <w:lang w:val="en-US" w:eastAsia="zh-CN"/>
        </w:rPr>
        <w:t>项目过程管理类指标由2个二级指标和5个三级指标构成，权重分19分，实际得分19分。</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1.资金管理情况分析</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（1）资金到位率</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本项目预算资金为15万元，其中：本级财政安排资金15万元，其他资金0万元，实际到位资金15万元，资金到位率=（实际到位资金/预算资金）×100%=（15/15）*100%=100%。得分=资金到位率*分值=100%*4=4分。</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综上所述，本指标满分为4分，根据评分标准得4分，本项目资金分配合理。</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（2）预算执行率</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本项目实际支出资金15万元，预算执行率=（实际支出资金/实际到位资金）×100%=（15/15）*100%=100%。得分=预算执行率*分值=100%*5=5分。</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综上所述，本指标满分为5分，根据评分标准得5分，本项目资金分配合理。</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（3）资金使用合规性</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通过检查本项目签订的合同、资金申请文件、发票等财务付款凭证，得出本项目资金支出符合国家财经法规、《政府会计制度》以及《和田地区生态环境局和田市分局资金管理办法》《和田地区生态环境局和田市分局专项资金管理办法》，资金的拨付有完整的审批程序和手续，资金实际使用方向与预算批复用途一致，不存在截留、挤占、挪用、虚列支出的情况。</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综上所述，本指标满分为4分，根据评分标准得4分，资金支出符合我单位财务管理制度规定。</w:t>
      </w:r>
    </w:p>
    <w:p w14:paraId="703B115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val="en-US" w:eastAsia="zh-CN"/>
        </w:rPr>
      </w:pPr>
      <w:r>
        <w:rPr>
          <w:rStyle w:val="19"/>
          <w:rFonts w:hint="eastAsia" w:ascii="仿宋_GB2312" w:hAnsi="仿宋_GB2312" w:eastAsia="仿宋_GB2312" w:cs="仿宋_GB2312"/>
          <w:b w:val="0"/>
          <w:bCs w:val="0"/>
          <w:spacing w:val="0"/>
          <w:sz w:val="32"/>
          <w:szCs w:val="32"/>
          <w:lang w:val="en-US" w:eastAsia="zh-CN"/>
        </w:rPr>
        <w:t>2.组织实施情况分析</w:t>
      </w:r>
    </w:p>
    <w:p w14:paraId="23B9AFD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val="en-US" w:eastAsia="zh-CN"/>
        </w:rPr>
      </w:pPr>
      <w:r>
        <w:rPr>
          <w:rStyle w:val="19"/>
          <w:rFonts w:hint="eastAsia" w:ascii="仿宋_GB2312" w:hAnsi="仿宋_GB2312" w:eastAsia="仿宋_GB2312" w:cs="仿宋_GB2312"/>
          <w:b w:val="0"/>
          <w:bCs w:val="0"/>
          <w:spacing w:val="0"/>
          <w:sz w:val="32"/>
          <w:szCs w:val="32"/>
          <w:lang w:val="en-US" w:eastAsia="zh-CN"/>
        </w:rPr>
        <w:t>（1）管理制度健全性</w:t>
      </w:r>
    </w:p>
    <w:p w14:paraId="535BF94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val="en-US" w:eastAsia="zh-CN"/>
        </w:rPr>
      </w:pPr>
      <w:r>
        <w:rPr>
          <w:rStyle w:val="19"/>
          <w:rFonts w:hint="eastAsia" w:ascii="仿宋_GB2312" w:hAnsi="仿宋_GB2312" w:eastAsia="仿宋_GB2312" w:cs="仿宋_GB2312"/>
          <w:b w:val="0"/>
          <w:bCs w:val="0"/>
          <w:spacing w:val="0"/>
          <w:sz w:val="32"/>
          <w:szCs w:val="32"/>
          <w:lang w:val="en-US" w:eastAsia="zh-CN"/>
        </w:rPr>
        <w:t>我单位已制定《和田地区生态环境局和田市分局资金管理办法》、《和田地区生态环境局和田市分局政府采购业务管理制度》、《和田地区生态环境局和田市分局合同管理制度》，上述已建立的制度均符合行政事业单位内控管理要求，财务和业务管理制度合法、合规、完整，本项目执行符合上述制度规定。</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综上所述，本指标满分为2分，根据评分标准得2分，项目制度建设健全。</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（2）制度执行有效性</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2024年度执法业务工作专项项目工作领导小组，由局长金凤杰组长，负责项目的组织工作；胡春娟任副组长，负责项目的实施工作；组员包括：肖纬、舒澜，主要负责项目监督管理、验收以及资金核拨等工作。</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综上所述，本指标满分为4分，根据评分标准得4分，本项目所建立制度执行有效。</w:t>
      </w:r>
    </w:p>
    <w:p w14:paraId="4E2B51D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val="en-US" w:eastAsia="zh-CN"/>
        </w:rPr>
      </w:pPr>
      <w:r>
        <w:rPr>
          <w:rStyle w:val="19"/>
          <w:rFonts w:hint="eastAsia" w:ascii="仿宋_GB2312" w:hAnsi="仿宋_GB2312" w:eastAsia="仿宋_GB2312" w:cs="仿宋_GB2312"/>
          <w:b w:val="0"/>
          <w:bCs w:val="0"/>
          <w:spacing w:val="0"/>
          <w:sz w:val="32"/>
          <w:szCs w:val="32"/>
          <w:lang w:val="en-US" w:eastAsia="zh-CN"/>
        </w:rPr>
        <w:t>（三）项目产出情况</w:t>
      </w:r>
    </w:p>
    <w:p w14:paraId="73E7700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val="en-US" w:eastAsia="zh-CN"/>
        </w:rPr>
      </w:pPr>
      <w:r>
        <w:rPr>
          <w:rStyle w:val="19"/>
          <w:rFonts w:hint="eastAsia" w:ascii="仿宋_GB2312" w:hAnsi="仿宋_GB2312" w:eastAsia="仿宋_GB2312" w:cs="仿宋_GB2312"/>
          <w:b w:val="0"/>
          <w:bCs w:val="0"/>
          <w:spacing w:val="0"/>
          <w:sz w:val="32"/>
          <w:szCs w:val="32"/>
          <w:lang w:val="en-US" w:eastAsia="zh-CN"/>
        </w:rPr>
        <w:t>项目产出类指标由4个二级指标和16个三级指标构成，权重分20分，实际得分20分。</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1.数量指标完成情况分析</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“专用设备购置”指标：预期指标值为≥2套，实际完成值为2套,指标完成率为100%。</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“生态环境人员出差次数”指标：预期指标值为≥3次，实际完成值为3次,指标完成率为100%。</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“网络运行维护”指标：预期指标值为≥10次，实际完成值为10次,指标完成率为100%。</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“保障办公经费”指标：预期指标值为≥5次，实际完成值为5次,指标完成率为100%。</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“环境应急调度系统建设”指标：预期指标值为=1年，实际完成值为1年,指标完成率为100%。</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“环保各类宣传活动举办次数”指标：预期指标值为≥5次，实际完成值为5次,指标完成率为100%。</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“环保大练兵次数”指标：预期指标值为≥5次，实际完成值为5次,指标完成率为100%。</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2.质量指标完成情况分析</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“环境监察执法达标率”指标：预期指标值为≥90%，实际完成值为100%,指标完成率为100%。</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3.时效指标完成情况分析</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“网络运行稳定率”指标：预期指标值为≥90%，实际完成值为100%,指标完成率为100%。</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4.成本指标完成情况分析</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“办公用品保障”指标：预期指标值为≤50000元，实际完成值为50000元,指标完成率为100%。</w:t>
      </w:r>
    </w:p>
    <w:p w14:paraId="7B6D3C2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val="en-US" w:eastAsia="zh-CN"/>
        </w:rPr>
      </w:pPr>
      <w:r>
        <w:rPr>
          <w:rStyle w:val="19"/>
          <w:rFonts w:hint="eastAsia" w:ascii="仿宋_GB2312" w:hAnsi="仿宋_GB2312" w:eastAsia="仿宋_GB2312" w:cs="仿宋_GB2312"/>
          <w:b w:val="0"/>
          <w:bCs w:val="0"/>
          <w:spacing w:val="0"/>
          <w:sz w:val="32"/>
          <w:szCs w:val="32"/>
          <w:lang w:val="en-US" w:eastAsia="zh-CN"/>
        </w:rPr>
        <w:t>“设备保障”指标：预期指标值为≤20000元，实际完成值为20000元,指标完成率为100%。</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“大练兵业务提升”指标：预期指标值为≤10000元，实际完成值为10000元,指标完成率为100%。</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“保障网络运行维护”指标：预期指标值为≤20000元，实际完成值为20000元,指标完成率为100%。</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“环境应急调度系统建设”指标：预期指标值为≤20000元，实际完成值为20000元,指标完成率为100%。</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“环保各类宣传活动举办次数”指标：预期指标值为≤20000元，实际完成值为20000元,指标完成率为100%。</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w:t>
      </w:r>
      <w:bookmarkStart w:id="0" w:name="_GoBack"/>
      <w:bookmarkEnd w:id="0"/>
      <w:r>
        <w:rPr>
          <w:rStyle w:val="19"/>
          <w:rFonts w:hint="eastAsia" w:ascii="仿宋_GB2312" w:hAnsi="仿宋_GB2312" w:eastAsia="仿宋_GB2312" w:cs="仿宋_GB2312"/>
          <w:b w:val="0"/>
          <w:bCs w:val="0"/>
          <w:spacing w:val="0"/>
          <w:sz w:val="32"/>
          <w:szCs w:val="32"/>
          <w:lang w:val="en-US" w:eastAsia="zh-CN"/>
        </w:rPr>
        <w:t>人员差费”指标：预期指标值为≤10000元，实际完成值为10000元,指标完成率为100%。</w:t>
      </w:r>
    </w:p>
    <w:p w14:paraId="58C4F34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val="en-US" w:eastAsia="zh-CN"/>
        </w:rPr>
      </w:pPr>
      <w:r>
        <w:rPr>
          <w:rStyle w:val="19"/>
          <w:rFonts w:hint="eastAsia" w:ascii="仿宋_GB2312" w:hAnsi="仿宋_GB2312" w:eastAsia="仿宋_GB2312" w:cs="仿宋_GB2312"/>
          <w:b w:val="0"/>
          <w:bCs w:val="0"/>
          <w:spacing w:val="0"/>
          <w:sz w:val="32"/>
          <w:szCs w:val="32"/>
          <w:lang w:val="en-US" w:eastAsia="zh-CN"/>
        </w:rPr>
        <w:t>（四）项目效益情况</w:t>
      </w:r>
    </w:p>
    <w:p w14:paraId="7F2A131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val="en-US" w:eastAsia="zh-CN"/>
        </w:rPr>
      </w:pPr>
      <w:r>
        <w:rPr>
          <w:rStyle w:val="19"/>
          <w:rFonts w:hint="eastAsia" w:ascii="仿宋_GB2312" w:hAnsi="仿宋_GB2312" w:eastAsia="仿宋_GB2312" w:cs="仿宋_GB2312"/>
          <w:b w:val="0"/>
          <w:bCs w:val="0"/>
          <w:spacing w:val="0"/>
          <w:sz w:val="32"/>
          <w:szCs w:val="32"/>
          <w:lang w:val="en-US" w:eastAsia="zh-CN"/>
        </w:rPr>
        <w:t>项目效益类指标由2个二级指标和2个三级指标构成，权重分40分，实际得分40分。</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1.经济效益完成情况分析</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无。</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2.社会效益完成情况分析</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“对重点污染源管控能力提高程度”指标：预期指标值为≥90%，实际完成值为100%,指标完成率为100%。</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3.生态效益完成情况分析</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“对生态环境稳定的有效保障程度”指标：预期指标值为≥90%，实际完成值为100%,指标完成率为100%。</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4.可持续影响完成情况分析</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无。</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5.满意度指标完成情况分析</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“环保受众满意度”指标：预期指标值为≥90%，实际完成值为100%,指标完成率为100%。</w:t>
      </w:r>
    </w:p>
    <w:p w14:paraId="1DD80E1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黑体" w:hAnsi="黑体" w:eastAsia="黑体"/>
          <w:b w:val="0"/>
          <w:spacing w:val="0"/>
          <w:sz w:val="32"/>
          <w:szCs w:val="32"/>
          <w:lang w:val="en-US" w:eastAsia="zh-CN"/>
        </w:rPr>
      </w:pPr>
      <w:r>
        <w:rPr>
          <w:rStyle w:val="19"/>
          <w:rFonts w:hint="eastAsia" w:ascii="黑体" w:hAnsi="黑体" w:eastAsia="黑体"/>
          <w:b w:val="0"/>
          <w:spacing w:val="0"/>
          <w:sz w:val="32"/>
          <w:szCs w:val="32"/>
          <w:lang w:val="en-US" w:eastAsia="zh-CN"/>
        </w:rPr>
        <w:t>五、预算执行进度与绩效指标偏差</w:t>
      </w:r>
    </w:p>
    <w:p w14:paraId="5E943CC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val="en-US" w:eastAsia="zh-CN"/>
        </w:rPr>
      </w:pPr>
      <w:r>
        <w:rPr>
          <w:rStyle w:val="19"/>
          <w:rFonts w:hint="eastAsia" w:ascii="仿宋_GB2312" w:hAnsi="仿宋_GB2312" w:eastAsia="仿宋_GB2312" w:cs="仿宋_GB2312"/>
          <w:b w:val="0"/>
          <w:bCs w:val="0"/>
          <w:spacing w:val="0"/>
          <w:sz w:val="32"/>
          <w:szCs w:val="32"/>
          <w:lang w:val="en-US" w:eastAsia="zh-CN"/>
        </w:rPr>
        <w:t>本项目年初预算资金总额为15万元，全年预算数为15万元，全年执行数为15万元，预算执行率为100%。</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本项目共设置三级指标数量19个，满分指标数量19个，扣分指标数量0个，经分析计算所有三级指标完成率得出，本项目总体完成率为100%。</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综上所述本项目预算执行率与总体完成率之间的偏差为0%。</w:t>
      </w:r>
    </w:p>
    <w:p w14:paraId="628D6D4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黑体" w:hAnsi="黑体" w:eastAsia="黑体"/>
          <w:b w:val="0"/>
          <w:spacing w:val="0"/>
          <w:sz w:val="32"/>
          <w:szCs w:val="32"/>
          <w:lang w:val="en-US" w:eastAsia="zh-CN"/>
        </w:rPr>
      </w:pPr>
      <w:r>
        <w:rPr>
          <w:rStyle w:val="19"/>
          <w:rFonts w:hint="eastAsia" w:ascii="黑体" w:hAnsi="黑体" w:eastAsia="黑体"/>
          <w:b w:val="0"/>
          <w:spacing w:val="0"/>
          <w:sz w:val="32"/>
          <w:szCs w:val="32"/>
          <w:lang w:val="en-US" w:eastAsia="zh-CN"/>
        </w:rPr>
        <w:t>六、主要经验及做法、存在的问题及原因分析</w:t>
      </w:r>
    </w:p>
    <w:p w14:paraId="718BB91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楷体" w:hAnsi="楷体" w:eastAsia="楷体" w:cs="楷体"/>
          <w:b w:val="0"/>
          <w:bCs w:val="0"/>
          <w:spacing w:val="0"/>
          <w:sz w:val="32"/>
          <w:szCs w:val="32"/>
          <w:lang w:val="en-US" w:eastAsia="zh-CN"/>
        </w:rPr>
      </w:pPr>
      <w:r>
        <w:rPr>
          <w:rStyle w:val="19"/>
          <w:rFonts w:hint="eastAsia" w:ascii="楷体" w:hAnsi="楷体" w:eastAsia="楷体" w:cs="楷体"/>
          <w:b w:val="0"/>
          <w:bCs w:val="0"/>
          <w:spacing w:val="0"/>
          <w:sz w:val="32"/>
          <w:szCs w:val="32"/>
          <w:lang w:val="en-US" w:eastAsia="zh-CN"/>
        </w:rPr>
        <w:t>（一）主要经验及做法</w:t>
      </w:r>
    </w:p>
    <w:p w14:paraId="32452BD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val="en-US" w:eastAsia="zh-CN"/>
        </w:rPr>
      </w:pPr>
      <w:r>
        <w:rPr>
          <w:rStyle w:val="19"/>
          <w:rFonts w:hint="eastAsia" w:ascii="仿宋_GB2312" w:hAnsi="仿宋_GB2312" w:eastAsia="仿宋_GB2312" w:cs="仿宋_GB2312"/>
          <w:b w:val="0"/>
          <w:bCs w:val="0"/>
          <w:spacing w:val="0"/>
          <w:sz w:val="32"/>
          <w:szCs w:val="32"/>
          <w:lang w:val="en-US" w:eastAsia="zh-CN"/>
        </w:rPr>
        <w:t>1.保障生态环境基础建设是环保工作中最有效、最直接的重要手段。随着广大群众对生态环境质量不断改善的要求，我县生态环境综合执法水平也在持续提高，先进的现代化执法设备逐步在执法工作中得以应用，对执法人员的技能水平的要求也在不断提高，加强执法队伍的教育培训必不可少。</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2.加强资金管理，确保资金使用规范、合理、专款专用。强化项目实施过程的管理和监督，才能使项目顺利进行和保证质量。</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w:t>
      </w:r>
      <w:r>
        <w:rPr>
          <w:rStyle w:val="19"/>
          <w:rFonts w:hint="eastAsia" w:ascii="楷体" w:hAnsi="楷体" w:eastAsia="楷体" w:cs="楷体"/>
          <w:b w:val="0"/>
          <w:bCs w:val="0"/>
          <w:spacing w:val="0"/>
          <w:sz w:val="32"/>
          <w:szCs w:val="32"/>
          <w:lang w:val="en-US" w:eastAsia="zh-CN"/>
        </w:rPr>
        <w:t>（二）存在的问题及原因分析</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1.在实施过程中成本节约方面欠缺，没有将资金使用效益最大化；自评报告的格式不规范，内容结构过于混乱，分指标评估衡量方式比较简单，评价内容不够全面；部门沟通协调不足，监督责任不明确。</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2.项目指标设定不够科学，数据收集不够全面，影响评价的客观性。</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3.项目在实施过程中，缺乏动态跟踪，仅在特定的时间进行跟踪，对经费使用的全过程跟踪不足，无法及时发现和解决问题，各部门之间关于绩效评价的信息交流不充分，沟通反馈不畅，影响改进措施的落实。</w:t>
      </w:r>
    </w:p>
    <w:p w14:paraId="779CE72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黑体" w:hAnsi="黑体" w:eastAsia="黑体"/>
          <w:b w:val="0"/>
          <w:spacing w:val="0"/>
          <w:sz w:val="32"/>
          <w:szCs w:val="32"/>
          <w:lang w:val="en-US" w:eastAsia="zh-CN"/>
        </w:rPr>
      </w:pPr>
      <w:r>
        <w:rPr>
          <w:rStyle w:val="19"/>
          <w:rFonts w:hint="eastAsia" w:ascii="黑体" w:hAnsi="黑体" w:eastAsia="黑体"/>
          <w:b w:val="0"/>
          <w:spacing w:val="0"/>
          <w:sz w:val="32"/>
          <w:szCs w:val="32"/>
          <w:lang w:val="en-US" w:eastAsia="zh-CN"/>
        </w:rPr>
        <w:t>七、有关建议</w:t>
      </w:r>
    </w:p>
    <w:p w14:paraId="4825D4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val="en-US" w:eastAsia="zh-CN"/>
        </w:rPr>
      </w:pPr>
      <w:r>
        <w:rPr>
          <w:rStyle w:val="19"/>
          <w:rFonts w:hint="eastAsia" w:ascii="仿宋_GB2312" w:hAnsi="仿宋_GB2312" w:eastAsia="仿宋_GB2312" w:cs="仿宋_GB2312"/>
          <w:b w:val="0"/>
          <w:bCs w:val="0"/>
          <w:spacing w:val="0"/>
          <w:sz w:val="32"/>
          <w:szCs w:val="32"/>
          <w:lang w:val="en-US" w:eastAsia="zh-CN"/>
        </w:rPr>
        <w:t>（一）加强管理，及时掌握与之相关的各类信息，减少成本，使资金效益最大化；自评报告遵循统一的格式规范编写报告，是内容条例清晰，通过绩效管理，发现实施中存在漏洞；加强沟通协作，促进各部门在绩效评级过程中的沟通协作，及时共享信息和反馈意见。</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二）邀请专业人员或相关领域专家参与指标设计，确保其科学性和合理性，在项目实施决策中，建立科学的预算绩效评估体系；确保项目决策基于科学的绩效评估，避免浪费资源或无效支出，同时考虑项目规模和范围；项目启动时同步做好档案的归纳与整理，及时整理、收集、汇总，健全档案资料，建立健全数据收集和审核制度，保证数据质量。</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三）实施全程监控，进行实施动态监控跟踪，对实施中发现的一些问题随时调整策略，改进措施进行持续跟踪，确保落实到位。加强项目相关人员的培训，提高绩效评价工资的专业水平和能力。在决策过程中，要提高员工对预算绩效的认识和执行力，项目决策规划要准备充分，全过程检查监督项目资金的运行，确保项目资金有效使用，项目得以顺利实施。</w:t>
      </w:r>
    </w:p>
    <w:p w14:paraId="64A15C8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黑体" w:hAnsi="黑体" w:eastAsia="黑体"/>
          <w:b w:val="0"/>
          <w:spacing w:val="0"/>
          <w:sz w:val="32"/>
          <w:szCs w:val="32"/>
          <w:lang w:val="en-US" w:eastAsia="zh-CN"/>
        </w:rPr>
      </w:pPr>
      <w:r>
        <w:rPr>
          <w:rStyle w:val="19"/>
          <w:rFonts w:hint="eastAsia" w:ascii="黑体" w:hAnsi="黑体" w:eastAsia="黑体"/>
          <w:b w:val="0"/>
          <w:spacing w:val="0"/>
          <w:sz w:val="32"/>
          <w:szCs w:val="32"/>
          <w:lang w:val="en-US" w:eastAsia="zh-CN"/>
        </w:rPr>
        <w:t>八、其他需要说明的问题</w:t>
      </w:r>
    </w:p>
    <w:p w14:paraId="1CC995E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val="en-US" w:eastAsia="zh-CN"/>
        </w:rPr>
      </w:pPr>
      <w:r>
        <w:rPr>
          <w:rStyle w:val="19"/>
          <w:rFonts w:hint="eastAsia" w:ascii="仿宋_GB2312" w:hAnsi="仿宋_GB2312" w:eastAsia="仿宋_GB2312" w:cs="仿宋_GB2312"/>
          <w:b w:val="0"/>
          <w:bCs w:val="0"/>
          <w:spacing w:val="0"/>
          <w:sz w:val="32"/>
          <w:szCs w:val="32"/>
          <w:lang w:val="en-US" w:eastAsia="zh-CN"/>
        </w:rPr>
        <w:t>（一）评价结果作为安排政府预算、完善政策和改进管理的重要依据。原则上，对评价等级为优、良的，根据情况予以支持；对评价等级为中、差的，要完善政策、改进管理，根据情况核减预算。</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（二）评价结果分别编入政府决算和部门预算，报送本级人民代表大会常务委员会，并依法予以公开。</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Style w:val="19"/>
          <w:rFonts w:hint="eastAsia" w:ascii="仿宋_GB2312" w:hAnsi="仿宋_GB2312" w:eastAsia="仿宋_GB2312" w:cs="仿宋_GB2312"/>
          <w:b w:val="0"/>
          <w:bCs w:val="0"/>
          <w:spacing w:val="0"/>
          <w:sz w:val="32"/>
          <w:szCs w:val="32"/>
          <w:lang w:val="en-US" w:eastAsia="zh-CN"/>
        </w:rPr>
        <w:br w:type="textWrapping"/>
      </w:r>
      <w:r>
        <w:rPr>
          <w:rStyle w:val="19"/>
          <w:rFonts w:hint="eastAsia" w:ascii="仿宋_GB2312" w:hAnsi="仿宋_GB2312" w:eastAsia="仿宋_GB2312" w:cs="仿宋_GB2312"/>
          <w:b w:val="0"/>
          <w:bCs w:val="0"/>
          <w:spacing w:val="0"/>
          <w:sz w:val="32"/>
          <w:szCs w:val="32"/>
          <w:lang w:val="en-US" w:eastAsia="zh-CN"/>
        </w:rPr>
        <w:t xml:space="preserve">   （四）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6C84DC9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0"/>
          <w:sz w:val="32"/>
          <w:szCs w:val="32"/>
          <w:lang w:val="en-US" w:eastAsia="zh-CN"/>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61EC4305">
        <w:pPr>
          <w:pStyle w:val="12"/>
          <w:jc w:val="center"/>
        </w:pPr>
        <w:r>
          <w:fldChar w:fldCharType="begin"/>
        </w:r>
        <w:r>
          <w:instrText xml:space="preserve">PAGE   \* MERGEFORMAT</w:instrText>
        </w:r>
        <w:r>
          <w:fldChar w:fldCharType="separate"/>
        </w:r>
        <w:r>
          <w:rPr>
            <w:lang w:val="zh-CN"/>
          </w:rPr>
          <w:t>1</w:t>
        </w:r>
        <w:r>
          <w:fldChar w:fldCharType="end"/>
        </w:r>
      </w:p>
    </w:sdtContent>
  </w:sdt>
  <w:p w14:paraId="5E485688">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FF6D48"/>
    <w:multiLevelType w:val="singleLevel"/>
    <w:tmpl w:val="BEFF6D48"/>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4MzI4OTE4NTU0MzY0NDllNzg5Yjk5OWRkMGYyMjkifQ=="/>
  </w:docVars>
  <w:rsids>
    <w:rsidRoot w:val="00000000"/>
    <w:rsid w:val="061E4FC1"/>
    <w:rsid w:val="19A80013"/>
    <w:rsid w:val="2FF1B9AC"/>
    <w:rsid w:val="31AF06A1"/>
    <w:rsid w:val="5F7FBAE8"/>
    <w:rsid w:val="DF77B855"/>
    <w:rsid w:val="FFBE2EC2"/>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273</Words>
  <Characters>581</Characters>
  <Lines>5</Lines>
  <Paragraphs>1</Paragraphs>
  <TotalTime>40</TotalTime>
  <ScaleCrop>false</ScaleCrop>
  <LinksUpToDate>false</LinksUpToDate>
  <CharactersWithSpaces>595</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2018-08-16T02:06:00Z</dcterms:created>
  <dc:creator>赵 恺_xFF08_预算处_xFF09_</dc:creator>
  <cp:lastModifiedBy>sugon</cp:lastModifiedBy>
  <cp:lastPrinted>2025-10-13T19:22:18Z</cp:lastPrinted>
  <dcterms:modified xsi:type="dcterms:W3CDTF">2025-10-13T19:22:51Z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C734C92AAAF24344A0E4232D8EB3359B</vt:lpwstr>
  </property>
</Properties>
</file>