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71FA6D5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和田地区生态环境局策勒县分局2024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EC076D">
      <w:r>
        <w:br w:type="page"/>
      </w:r>
    </w:p>
    <w:p w14:paraId="624A8CB9">
      <w:pPr>
        <w:spacing w:line="640" w:lineRule="exact"/>
        <w:jc w:val="center"/>
        <w:outlineLvl w:val="1"/>
      </w:pPr>
      <w:r>
        <w:rPr>
          <w:rFonts w:ascii="黑体" w:hAnsi="黑体" w:eastAsia="黑体"/>
          <w:sz w:val="32"/>
        </w:rPr>
        <w:t>第一部分 单位概况</w:t>
      </w:r>
    </w:p>
    <w:p w14:paraId="1A6F20C6">
      <w:pPr>
        <w:spacing w:line="640" w:lineRule="exact"/>
        <w:ind w:firstLine="640"/>
        <w:jc w:val="both"/>
        <w:outlineLvl w:val="2"/>
      </w:pPr>
      <w:r>
        <w:rPr>
          <w:rFonts w:ascii="黑体" w:hAnsi="黑体" w:eastAsia="黑体"/>
          <w:sz w:val="32"/>
        </w:rPr>
        <w:t>一、主要职能</w:t>
      </w:r>
    </w:p>
    <w:p w14:paraId="2F9CAFE0">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贯彻落实国家环境保护基本制度为</w:t>
      </w:r>
      <w:r>
        <w:rPr>
          <w:rFonts w:hint="eastAsia" w:ascii="仿宋_GB2312" w:hAnsi="仿宋_GB2312" w:eastAsia="仿宋_GB2312"/>
          <w:sz w:val="32"/>
          <w:lang w:val="en-US" w:eastAsia="zh-CN"/>
        </w:rPr>
        <w:t>策勒县</w:t>
      </w:r>
      <w:r>
        <w:rPr>
          <w:rFonts w:ascii="仿宋_GB2312" w:hAnsi="仿宋_GB2312" w:eastAsia="仿宋_GB2312"/>
          <w:sz w:val="32"/>
        </w:rPr>
        <w:t>生态环境工作服务。</w:t>
      </w:r>
    </w:p>
    <w:p w14:paraId="3E58ADC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负责重大生态环境问题的统筹协调和监督管理。</w:t>
      </w:r>
    </w:p>
    <w:p w14:paraId="10921832">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负责监督管理地区减排目标的落实。</w:t>
      </w:r>
    </w:p>
    <w:p w14:paraId="2A03EF0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负责环境污染防治的监督管理。</w:t>
      </w:r>
    </w:p>
    <w:p w14:paraId="25A87DCD">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指导协调和监督生态保护修复工作。</w:t>
      </w:r>
    </w:p>
    <w:p w14:paraId="62BD24DD">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负责实用功能辐射安全的监督管理。</w:t>
      </w:r>
    </w:p>
    <w:p w14:paraId="3E30FE7C">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负责生态环境监测工作。</w:t>
      </w:r>
    </w:p>
    <w:p w14:paraId="6B44838D">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负责应对气候变化工作。</w:t>
      </w:r>
    </w:p>
    <w:p w14:paraId="350D09EE">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组织指导和协调生态环境保护宣传教育工作。</w:t>
      </w:r>
    </w:p>
    <w:p w14:paraId="7056F8AE">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完成</w:t>
      </w:r>
      <w:r>
        <w:rPr>
          <w:rFonts w:hint="eastAsia" w:ascii="仿宋_GB2312" w:hAnsi="仿宋_GB2312" w:eastAsia="仿宋_GB2312"/>
          <w:sz w:val="32"/>
          <w:lang w:val="en-US" w:eastAsia="zh-CN"/>
        </w:rPr>
        <w:t>县</w:t>
      </w:r>
      <w:r>
        <w:rPr>
          <w:rFonts w:ascii="仿宋_GB2312" w:hAnsi="仿宋_GB2312" w:eastAsia="仿宋_GB2312"/>
          <w:sz w:val="32"/>
        </w:rPr>
        <w:t>委、政府交办的其他任务。</w:t>
      </w:r>
    </w:p>
    <w:p w14:paraId="17EE1792">
      <w:pPr>
        <w:spacing w:line="640" w:lineRule="exact"/>
        <w:ind w:firstLine="640"/>
        <w:jc w:val="both"/>
        <w:outlineLvl w:val="2"/>
      </w:pPr>
      <w:r>
        <w:rPr>
          <w:rFonts w:ascii="黑体" w:hAnsi="黑体" w:eastAsia="黑体"/>
          <w:sz w:val="32"/>
        </w:rPr>
        <w:t>二、机构设置及人员情况</w:t>
      </w:r>
    </w:p>
    <w:p w14:paraId="44D770A8">
      <w:pPr>
        <w:spacing w:line="580" w:lineRule="exact"/>
        <w:ind w:firstLine="640"/>
        <w:jc w:val="both"/>
      </w:pPr>
      <w:r>
        <w:rPr>
          <w:rFonts w:ascii="仿宋_GB2312" w:hAnsi="仿宋_GB2312" w:eastAsia="仿宋_GB2312"/>
          <w:sz w:val="32"/>
        </w:rPr>
        <w:t>和田地区生态环境局策勒县分局2024年度，实有人数18人，其中：在职人员14人，增加14人；离休人员0人，增加0人；退休人员4人,增加4人。</w:t>
      </w:r>
    </w:p>
    <w:p w14:paraId="50BF9F0B">
      <w:pPr>
        <w:spacing w:line="580" w:lineRule="exact"/>
        <w:ind w:firstLine="640"/>
        <w:jc w:val="both"/>
      </w:pPr>
      <w:r>
        <w:rPr>
          <w:rFonts w:ascii="仿宋_GB2312" w:hAnsi="仿宋_GB2312" w:eastAsia="仿宋_GB2312"/>
          <w:sz w:val="32"/>
        </w:rPr>
        <w:t>和田地区生态环境局策勒县分局无下属预算单位，下设3个科室，分别是：财务室、办公室、环境执法大队。</w:t>
      </w:r>
    </w:p>
    <w:p w14:paraId="489EA2A4">
      <w:r>
        <w:br w:type="page"/>
      </w:r>
    </w:p>
    <w:p w14:paraId="0CCA40B8">
      <w:pPr>
        <w:spacing w:line="240" w:lineRule="auto"/>
        <w:jc w:val="center"/>
        <w:outlineLvl w:val="1"/>
      </w:pPr>
      <w:r>
        <w:rPr>
          <w:rFonts w:ascii="黑体" w:hAnsi="黑体" w:eastAsia="黑体"/>
          <w:sz w:val="32"/>
        </w:rPr>
        <w:t>第二部分 部门决算情况说明</w:t>
      </w:r>
    </w:p>
    <w:p w14:paraId="59BBF5A3">
      <w:pPr>
        <w:spacing w:line="640" w:lineRule="exact"/>
        <w:ind w:firstLine="640"/>
        <w:jc w:val="both"/>
        <w:outlineLvl w:val="2"/>
      </w:pPr>
      <w:r>
        <w:rPr>
          <w:rFonts w:ascii="黑体" w:hAnsi="黑体" w:eastAsia="黑体"/>
          <w:sz w:val="32"/>
        </w:rPr>
        <w:t>一、收入支出决算总体情况说明</w:t>
      </w:r>
    </w:p>
    <w:p w14:paraId="4B4C2A3B">
      <w:pPr>
        <w:spacing w:line="580" w:lineRule="exact"/>
        <w:ind w:firstLine="640"/>
        <w:jc w:val="both"/>
      </w:pPr>
      <w:r>
        <w:rPr>
          <w:rFonts w:ascii="仿宋_GB2312" w:hAnsi="仿宋_GB2312" w:eastAsia="仿宋_GB2312"/>
          <w:b/>
          <w:sz w:val="32"/>
        </w:rPr>
        <w:t>2024年度收入总计318.10万元，</w:t>
      </w:r>
      <w:r>
        <w:rPr>
          <w:rFonts w:ascii="仿宋_GB2312" w:hAnsi="仿宋_GB2312" w:eastAsia="仿宋_GB2312"/>
          <w:b w:val="0"/>
          <w:sz w:val="32"/>
        </w:rPr>
        <w:t>其中：本年收入合计318.10万元，使用非财政拨款结余（含专用结余）0.00万元，年初结转和结余0.00万元。</w:t>
      </w:r>
    </w:p>
    <w:p w14:paraId="5F7A1D24">
      <w:pPr>
        <w:spacing w:line="580" w:lineRule="exact"/>
        <w:ind w:firstLine="640"/>
        <w:jc w:val="both"/>
      </w:pPr>
      <w:r>
        <w:rPr>
          <w:rFonts w:ascii="仿宋_GB2312" w:hAnsi="仿宋_GB2312" w:eastAsia="仿宋_GB2312"/>
          <w:b/>
          <w:sz w:val="32"/>
        </w:rPr>
        <w:t>2024年度支出总计318.10万元，</w:t>
      </w:r>
      <w:r>
        <w:rPr>
          <w:rFonts w:ascii="仿宋_GB2312" w:hAnsi="仿宋_GB2312" w:eastAsia="仿宋_GB2312"/>
          <w:b w:val="0"/>
          <w:sz w:val="32"/>
        </w:rPr>
        <w:t>其中：本年支出合计318.10万元，结余分配0.00万元，年末结转和结余0.00万元。</w:t>
      </w:r>
    </w:p>
    <w:p w14:paraId="05DF65F9">
      <w:pPr>
        <w:spacing w:line="580" w:lineRule="exact"/>
        <w:ind w:firstLine="640"/>
        <w:jc w:val="both"/>
      </w:pPr>
      <w:r>
        <w:rPr>
          <w:rFonts w:ascii="仿宋_GB2312" w:hAnsi="仿宋_GB2312" w:eastAsia="仿宋_GB2312"/>
          <w:b w:val="0"/>
          <w:sz w:val="32"/>
        </w:rPr>
        <w:t>收入支出总体与上年相比，增加318.10万元，增长100.00%，主要原因是：本单位为2024年1月新增单位，无上年对比数据。</w:t>
      </w:r>
    </w:p>
    <w:p w14:paraId="0992DBCA">
      <w:pPr>
        <w:spacing w:line="640" w:lineRule="exact"/>
        <w:ind w:firstLine="640"/>
        <w:jc w:val="both"/>
        <w:outlineLvl w:val="2"/>
      </w:pPr>
      <w:r>
        <w:rPr>
          <w:rFonts w:ascii="黑体" w:hAnsi="黑体" w:eastAsia="黑体"/>
          <w:sz w:val="32"/>
        </w:rPr>
        <w:t>二、收入决算情况说明</w:t>
      </w:r>
    </w:p>
    <w:p w14:paraId="2ECFB69F">
      <w:pPr>
        <w:spacing w:line="580" w:lineRule="exact"/>
        <w:ind w:firstLine="640"/>
        <w:jc w:val="both"/>
      </w:pPr>
      <w:r>
        <w:rPr>
          <w:rFonts w:ascii="仿宋_GB2312" w:hAnsi="仿宋_GB2312" w:eastAsia="仿宋_GB2312"/>
          <w:b/>
          <w:sz w:val="32"/>
        </w:rPr>
        <w:t>本年收入318.10万元，</w:t>
      </w:r>
      <w:r>
        <w:rPr>
          <w:rFonts w:ascii="仿宋_GB2312" w:hAnsi="仿宋_GB2312" w:eastAsia="仿宋_GB2312"/>
          <w:b w:val="0"/>
          <w:sz w:val="32"/>
        </w:rPr>
        <w:t>其中：财政拨款收入318.10万元，占100.00%；上级补助收入0.00万元，占0.00%；事业收入0.00万元，占0.00%；经营收入0.00万元，占0.00%；附属单位上缴收入0.00万元，占0.00%；其他收入0.00万元，占0.00%。</w:t>
      </w:r>
    </w:p>
    <w:p w14:paraId="3A79E1EF">
      <w:pPr>
        <w:spacing w:line="640" w:lineRule="exact"/>
        <w:ind w:firstLine="640"/>
        <w:jc w:val="both"/>
        <w:outlineLvl w:val="2"/>
      </w:pPr>
      <w:r>
        <w:rPr>
          <w:rFonts w:ascii="黑体" w:hAnsi="黑体" w:eastAsia="黑体"/>
          <w:sz w:val="32"/>
        </w:rPr>
        <w:t>三、支出决算情况说明</w:t>
      </w:r>
    </w:p>
    <w:p w14:paraId="16054BB1">
      <w:pPr>
        <w:spacing w:line="580" w:lineRule="exact"/>
        <w:ind w:firstLine="640"/>
        <w:jc w:val="both"/>
      </w:pPr>
      <w:r>
        <w:rPr>
          <w:rFonts w:ascii="仿宋_GB2312" w:hAnsi="仿宋_GB2312" w:eastAsia="仿宋_GB2312"/>
          <w:b/>
          <w:sz w:val="32"/>
        </w:rPr>
        <w:t>本年支出318.10万元，</w:t>
      </w:r>
      <w:r>
        <w:rPr>
          <w:rFonts w:ascii="仿宋_GB2312" w:hAnsi="仿宋_GB2312" w:eastAsia="仿宋_GB2312"/>
          <w:b w:val="0"/>
          <w:sz w:val="32"/>
        </w:rPr>
        <w:t>其中：基本支出303.10万元，占95.28%；项目支出15.00万元，占4.72%；上缴上级支出0.00万元，占0.00%；经营支出0.00万元，占0.00%；对附属单位补助支出0.00万元，占0.00%。</w:t>
      </w:r>
    </w:p>
    <w:p w14:paraId="54123D16">
      <w:pPr>
        <w:spacing w:line="640" w:lineRule="exact"/>
        <w:ind w:firstLine="640"/>
        <w:jc w:val="both"/>
        <w:outlineLvl w:val="2"/>
      </w:pPr>
      <w:r>
        <w:rPr>
          <w:rFonts w:ascii="黑体" w:hAnsi="黑体" w:eastAsia="黑体"/>
          <w:sz w:val="32"/>
        </w:rPr>
        <w:t>四、财政拨款收入支出决算总体情况说明</w:t>
      </w:r>
    </w:p>
    <w:p w14:paraId="12E1197D">
      <w:pPr>
        <w:spacing w:line="580" w:lineRule="exact"/>
        <w:ind w:firstLine="640"/>
        <w:jc w:val="both"/>
      </w:pPr>
      <w:r>
        <w:rPr>
          <w:rFonts w:ascii="仿宋_GB2312" w:hAnsi="仿宋_GB2312" w:eastAsia="仿宋_GB2312"/>
          <w:b/>
          <w:sz w:val="32"/>
        </w:rPr>
        <w:t>2024年度财政拨款收入总计318.10万元，</w:t>
      </w:r>
      <w:r>
        <w:rPr>
          <w:rFonts w:ascii="仿宋_GB2312" w:hAnsi="仿宋_GB2312" w:eastAsia="仿宋_GB2312"/>
          <w:b w:val="0"/>
          <w:sz w:val="32"/>
        </w:rPr>
        <w:t>其中：年初财政拨款结转和结余0.00万元，本年财政拨款收入318.10万元。</w:t>
      </w:r>
      <w:r>
        <w:rPr>
          <w:rFonts w:ascii="仿宋_GB2312" w:hAnsi="仿宋_GB2312" w:eastAsia="仿宋_GB2312"/>
          <w:b/>
          <w:sz w:val="32"/>
        </w:rPr>
        <w:t>财政拨款支出总计318.10万元，</w:t>
      </w:r>
      <w:r>
        <w:rPr>
          <w:rFonts w:ascii="仿宋_GB2312" w:hAnsi="仿宋_GB2312" w:eastAsia="仿宋_GB2312"/>
          <w:b w:val="0"/>
          <w:sz w:val="32"/>
        </w:rPr>
        <w:t>其中：年末财政拨款结转和结余0.00万元，本年财政拨款支出318.10万元。</w:t>
      </w:r>
    </w:p>
    <w:p w14:paraId="1683A84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增加318.10万元，增长100.00%，主要原因是：本单位为2024年1月新增单位，无上年对比数据。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年初预算数305.19万元，决算数318.10万元，预决算差异率4.23%，主要原因是：年中追加人员经费及人员工资、社保、公积金基数调增部分资金，导致预决算存在差异。</w:t>
      </w:r>
    </w:p>
    <w:p w14:paraId="465AAD2D">
      <w:pPr>
        <w:spacing w:line="640" w:lineRule="exact"/>
        <w:ind w:firstLine="640"/>
        <w:jc w:val="both"/>
        <w:outlineLvl w:val="2"/>
      </w:pPr>
      <w:r>
        <w:rPr>
          <w:rFonts w:ascii="黑体" w:hAnsi="黑体" w:eastAsia="黑体"/>
          <w:sz w:val="32"/>
        </w:rPr>
        <w:t>五、一般公共预算财政拨款支出决算情况说明</w:t>
      </w:r>
    </w:p>
    <w:p w14:paraId="4E3BD76F">
      <w:pPr>
        <w:spacing w:line="640" w:lineRule="exact"/>
        <w:ind w:firstLine="640"/>
        <w:jc w:val="both"/>
        <w:outlineLvl w:val="3"/>
      </w:pPr>
      <w:r>
        <w:rPr>
          <w:rFonts w:ascii="楷体_GB2312" w:hAnsi="楷体_GB2312" w:eastAsia="楷体_GB2312"/>
          <w:b/>
          <w:sz w:val="32"/>
        </w:rPr>
        <w:t>（一）一般公共预算财政拨款支出决算总体情况</w:t>
      </w:r>
    </w:p>
    <w:p w14:paraId="6F39C7C0">
      <w:pPr>
        <w:spacing w:line="580" w:lineRule="exact"/>
        <w:ind w:firstLine="640"/>
        <w:jc w:val="both"/>
      </w:pPr>
      <w:r>
        <w:rPr>
          <w:rFonts w:ascii="仿宋_GB2312" w:hAnsi="仿宋_GB2312" w:eastAsia="仿宋_GB2312"/>
          <w:b/>
          <w:sz w:val="32"/>
        </w:rPr>
        <w:t>2024年度一般公共预算财政拨款支出318.10万元，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增加318.10万元，增长100.00%，主要原因是：本单位为2024年1月新增单位，无上年对比数据。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年初预算数305.19万元，决算数318.10万元，预决算差异率4.23%，主要原因是：年中追加人员经费及人员工资、社保、公积金基数调增部分资金，导致预决算存在差异。</w:t>
      </w:r>
    </w:p>
    <w:p w14:paraId="4F7771FA">
      <w:pPr>
        <w:spacing w:line="640" w:lineRule="exact"/>
        <w:ind w:firstLine="640"/>
        <w:jc w:val="both"/>
        <w:outlineLvl w:val="3"/>
      </w:pPr>
      <w:r>
        <w:rPr>
          <w:rFonts w:ascii="楷体_GB2312" w:hAnsi="楷体_GB2312" w:eastAsia="楷体_GB2312"/>
          <w:b/>
          <w:sz w:val="32"/>
        </w:rPr>
        <w:t>（二）一般公共预算财政拨款支出决算结构情况</w:t>
      </w:r>
    </w:p>
    <w:p w14:paraId="613F5F02">
      <w:pPr>
        <w:spacing w:line="580" w:lineRule="exact"/>
        <w:ind w:firstLine="640"/>
        <w:jc w:val="both"/>
      </w:pPr>
      <w:r>
        <w:rPr>
          <w:rFonts w:ascii="仿宋_GB2312" w:hAnsi="仿宋_GB2312" w:eastAsia="仿宋_GB2312"/>
          <w:b w:val="0"/>
          <w:sz w:val="32"/>
        </w:rPr>
        <w:t>1.社会保障和就业支出(类)35.80万元,占11.25%。</w:t>
      </w:r>
    </w:p>
    <w:p w14:paraId="791CEFCF">
      <w:pPr>
        <w:spacing w:line="580" w:lineRule="exact"/>
        <w:ind w:firstLine="640"/>
        <w:jc w:val="both"/>
      </w:pPr>
      <w:r>
        <w:rPr>
          <w:rFonts w:ascii="仿宋_GB2312" w:hAnsi="仿宋_GB2312" w:eastAsia="仿宋_GB2312"/>
          <w:b w:val="0"/>
          <w:sz w:val="32"/>
        </w:rPr>
        <w:t>2.卫生健康支出(类)18.03万元,占5.67%。</w:t>
      </w:r>
    </w:p>
    <w:p w14:paraId="011BBC37">
      <w:pPr>
        <w:spacing w:line="580" w:lineRule="exact"/>
        <w:ind w:firstLine="640"/>
        <w:jc w:val="both"/>
      </w:pPr>
      <w:r>
        <w:rPr>
          <w:rFonts w:ascii="仿宋_GB2312" w:hAnsi="仿宋_GB2312" w:eastAsia="仿宋_GB2312"/>
          <w:b w:val="0"/>
          <w:sz w:val="32"/>
        </w:rPr>
        <w:t>3.节能环保支出(类)236.31万元,占74.29%。</w:t>
      </w:r>
    </w:p>
    <w:p w14:paraId="425EA14C">
      <w:pPr>
        <w:spacing w:line="580" w:lineRule="exact"/>
        <w:ind w:firstLine="640"/>
        <w:jc w:val="both"/>
      </w:pPr>
      <w:r>
        <w:rPr>
          <w:rFonts w:ascii="仿宋_GB2312" w:hAnsi="仿宋_GB2312" w:eastAsia="仿宋_GB2312"/>
          <w:b w:val="0"/>
          <w:sz w:val="32"/>
        </w:rPr>
        <w:t>4.住房保障支出(类)20.96万元,占6.59%。</w:t>
      </w:r>
    </w:p>
    <w:p w14:paraId="769EA973">
      <w:pPr>
        <w:spacing w:line="580" w:lineRule="exact"/>
        <w:ind w:firstLine="640"/>
        <w:jc w:val="both"/>
      </w:pPr>
      <w:r>
        <w:rPr>
          <w:rFonts w:ascii="仿宋_GB2312" w:hAnsi="仿宋_GB2312" w:eastAsia="仿宋_GB2312"/>
          <w:b w:val="0"/>
          <w:sz w:val="32"/>
        </w:rPr>
        <w:t>5.其他支出(类)7.00万元,占2.20%。</w:t>
      </w:r>
    </w:p>
    <w:p w14:paraId="6942862E">
      <w:pPr>
        <w:spacing w:line="640" w:lineRule="exact"/>
        <w:ind w:firstLine="640"/>
        <w:jc w:val="both"/>
        <w:outlineLvl w:val="3"/>
      </w:pPr>
      <w:r>
        <w:rPr>
          <w:rFonts w:ascii="楷体_GB2312" w:hAnsi="楷体_GB2312" w:eastAsia="楷体_GB2312"/>
          <w:b/>
          <w:sz w:val="32"/>
        </w:rPr>
        <w:t>（三）一般公共预算财政拨款支出决算具体情况</w:t>
      </w:r>
    </w:p>
    <w:p w14:paraId="504BF02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1.社会保障和就业支出(类)行政事业单位养老支出(款)行政单位离退休(项):支出决算数为5.39万元，比上年决算增加5.39万元，增长100.00%,主要原因是：本单位为2024年1月新增单位，无上年对比数据。</w:t>
      </w:r>
    </w:p>
    <w:p w14:paraId="537836B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27.48万元，比上年决算增加27.48万元，增长100.00%,主要原因是：本单位为2024年1月新增单位，无上年对比数据。</w:t>
      </w:r>
    </w:p>
    <w:p w14:paraId="11735F84">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3.社会保障和就业支出(类)行政事业单位养老支出(款)机关事业单位职业年金缴费支出(项):支出决算数为2.92万元，比上年决算增加2.92万元，增长100.00%,主要原因是：本单位为2024年1月新增单位，无上年对比数据。</w:t>
      </w:r>
    </w:p>
    <w:p w14:paraId="666C3C26">
      <w:pPr>
        <w:spacing w:line="580" w:lineRule="exact"/>
        <w:ind w:firstLine="640"/>
        <w:jc w:val="both"/>
      </w:pPr>
      <w:r>
        <w:rPr>
          <w:rFonts w:ascii="仿宋_GB2312" w:hAnsi="仿宋_GB2312" w:eastAsia="仿宋_GB2312"/>
          <w:b w:val="0"/>
          <w:sz w:val="32"/>
        </w:rPr>
        <w:t>4.卫生健康支出(类)行政事业单位医疗(款)行政单位医疗(项):支出决算数为11.16万元，比上年决算增加11.16万元，增长100.00%,主要原因是：本单位为2024年1月新增单位，无上年对比数据。</w:t>
      </w:r>
    </w:p>
    <w:p w14:paraId="47B0F359">
      <w:pPr>
        <w:spacing w:line="580" w:lineRule="exact"/>
        <w:ind w:firstLine="640"/>
        <w:jc w:val="both"/>
      </w:pPr>
      <w:r>
        <w:rPr>
          <w:rFonts w:ascii="仿宋_GB2312" w:hAnsi="仿宋_GB2312" w:eastAsia="仿宋_GB2312"/>
          <w:b w:val="0"/>
          <w:sz w:val="32"/>
        </w:rPr>
        <w:t>5.卫生健康支出(类)行政事业单位医疗(款)公务员医疗补助(项):支出决算数为6.87万元，比上年决算增加6.87万元，增长100.00%,主要原因是：本单位为2024年1月新增单位，无上年对比数据。</w:t>
      </w:r>
    </w:p>
    <w:p w14:paraId="22622A29">
      <w:pPr>
        <w:spacing w:line="580" w:lineRule="exact"/>
        <w:ind w:firstLine="640"/>
        <w:jc w:val="both"/>
      </w:pPr>
      <w:r>
        <w:rPr>
          <w:rFonts w:ascii="仿宋_GB2312" w:hAnsi="仿宋_GB2312" w:eastAsia="仿宋_GB2312"/>
          <w:b w:val="0"/>
          <w:sz w:val="32"/>
        </w:rPr>
        <w:t>6.节能环保支出(类)环境保护管理事务(款)行政运行(项):支出决算数为228.31万元，比上年决算增加228.31万元，增长100.00%,主要原因是：本单位为2024年1月新增单位，无上年对比数据。</w:t>
      </w:r>
    </w:p>
    <w:p w14:paraId="37E007E4">
      <w:pPr>
        <w:spacing w:line="580" w:lineRule="exact"/>
        <w:ind w:firstLine="640"/>
        <w:jc w:val="both"/>
      </w:pPr>
      <w:r>
        <w:rPr>
          <w:rFonts w:ascii="仿宋_GB2312" w:hAnsi="仿宋_GB2312" w:eastAsia="仿宋_GB2312"/>
          <w:b w:val="0"/>
          <w:sz w:val="32"/>
        </w:rPr>
        <w:t>7.节能环保支出(类)环境保护管理事务(款)其他环境保护管理事务支出(项):支出决算数为8.00万元，比上年决算增加8.00万元，增长100.00%,主要原因是：本单位为2024年1月新增单位，无上年对比数据。</w:t>
      </w:r>
    </w:p>
    <w:p w14:paraId="05AE5818">
      <w:pPr>
        <w:spacing w:line="580" w:lineRule="exact"/>
        <w:ind w:firstLine="640"/>
        <w:jc w:val="both"/>
      </w:pPr>
      <w:r>
        <w:rPr>
          <w:rFonts w:ascii="仿宋_GB2312" w:hAnsi="仿宋_GB2312" w:eastAsia="仿宋_GB2312"/>
          <w:b w:val="0"/>
          <w:sz w:val="32"/>
        </w:rPr>
        <w:t>8.住房保障支出(类)住房改革支出(款)住房公积金(项):支出决算数为20.96万元，比上年决算增加20.96万元，增长100.00%,主要原因是：本单位为2024年1月新增单位，无上年对比数据。</w:t>
      </w:r>
    </w:p>
    <w:p w14:paraId="1D89F344">
      <w:pPr>
        <w:spacing w:line="580" w:lineRule="exact"/>
        <w:ind w:firstLine="640"/>
        <w:jc w:val="both"/>
      </w:pPr>
      <w:r>
        <w:rPr>
          <w:rFonts w:ascii="仿宋_GB2312" w:hAnsi="仿宋_GB2312" w:eastAsia="仿宋_GB2312"/>
          <w:b w:val="0"/>
          <w:sz w:val="32"/>
        </w:rPr>
        <w:t>9.其他支出(类)其他支出(款)其他支出(项):支出决算数为7.00万元，比上年决算增加7.00万元，增长100.00%,主要原因是：本单位为2024年1月新增单位，无上年对比数据。</w:t>
      </w:r>
    </w:p>
    <w:p w14:paraId="4C8E910B">
      <w:pPr>
        <w:spacing w:line="640" w:lineRule="exact"/>
        <w:ind w:firstLine="640"/>
        <w:jc w:val="both"/>
        <w:outlineLvl w:val="2"/>
      </w:pPr>
      <w:r>
        <w:rPr>
          <w:rFonts w:ascii="黑体" w:hAnsi="黑体" w:eastAsia="黑体"/>
          <w:sz w:val="32"/>
        </w:rPr>
        <w:t>六、一般公共预算财政拨款基本支出决算情况说明</w:t>
      </w:r>
    </w:p>
    <w:p w14:paraId="08F33923">
      <w:pPr>
        <w:spacing w:line="580" w:lineRule="exact"/>
        <w:ind w:firstLine="640"/>
        <w:jc w:val="both"/>
      </w:pPr>
      <w:r>
        <w:rPr>
          <w:rFonts w:ascii="仿宋_GB2312" w:hAnsi="仿宋_GB2312" w:eastAsia="仿宋_GB2312"/>
          <w:b w:val="0"/>
          <w:sz w:val="32"/>
        </w:rPr>
        <w:t>2024年度一般公共预算财政拨款基本支出303.10万元，其中：</w:t>
      </w:r>
      <w:r>
        <w:rPr>
          <w:rFonts w:ascii="仿宋_GB2312" w:hAnsi="仿宋_GB2312" w:eastAsia="仿宋_GB2312"/>
          <w:b/>
          <w:sz w:val="32"/>
        </w:rPr>
        <w:t>人员经费283.13万元，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包括：基本工资、津贴补贴、奖金、机关事业单位基本养老保险缴费、职业年金缴费、职工基本医疗保险缴费、公务员医疗补助缴费、其他社会保障缴费、住房公积金、退休费、生活补助。</w:t>
      </w:r>
    </w:p>
    <w:p w14:paraId="39BBD1EB">
      <w:pPr>
        <w:spacing w:line="580" w:lineRule="exact"/>
        <w:ind w:firstLine="640"/>
        <w:jc w:val="both"/>
      </w:pPr>
      <w:r>
        <w:rPr>
          <w:rFonts w:ascii="仿宋_GB2312" w:hAnsi="仿宋_GB2312" w:eastAsia="仿宋_GB2312"/>
          <w:b/>
          <w:sz w:val="32"/>
        </w:rPr>
        <w:t>公用经费19.97万元，</w:t>
      </w:r>
      <w:r>
        <w:rPr>
          <w:rFonts w:ascii="仿宋_GB2312" w:hAnsi="仿宋_GB2312" w:eastAsia="仿宋_GB2312"/>
          <w:b w:val="0"/>
          <w:sz w:val="32"/>
        </w:rPr>
        <w:t>包括：办公费、电费、差旅费、工会经费、福利费、公务用车运行维护费。</w:t>
      </w:r>
    </w:p>
    <w:p w14:paraId="2290AF08">
      <w:pPr>
        <w:spacing w:line="640" w:lineRule="exact"/>
        <w:ind w:firstLine="640"/>
        <w:jc w:val="both"/>
        <w:outlineLvl w:val="2"/>
      </w:pPr>
      <w:r>
        <w:rPr>
          <w:rFonts w:ascii="黑体" w:hAnsi="黑体" w:eastAsia="黑体"/>
          <w:sz w:val="32"/>
        </w:rPr>
        <w:t>七、政府性基金预算财政拨款收入支出决算情况说明</w:t>
      </w:r>
    </w:p>
    <w:p w14:paraId="37D894F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CAE3378">
      <w:pPr>
        <w:spacing w:line="640" w:lineRule="exact"/>
        <w:ind w:firstLine="640"/>
        <w:jc w:val="both"/>
        <w:outlineLvl w:val="2"/>
      </w:pPr>
      <w:r>
        <w:rPr>
          <w:rFonts w:ascii="黑体" w:hAnsi="黑体" w:eastAsia="黑体"/>
          <w:sz w:val="32"/>
        </w:rPr>
        <w:t>八、国有资本经营预算财政拨款收入支出决算情况说明</w:t>
      </w:r>
    </w:p>
    <w:p w14:paraId="594E46D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3BED210">
      <w:pPr>
        <w:spacing w:line="640" w:lineRule="exact"/>
        <w:ind w:firstLine="640"/>
        <w:jc w:val="both"/>
        <w:outlineLvl w:val="2"/>
      </w:pPr>
      <w:r>
        <w:rPr>
          <w:rFonts w:ascii="黑体" w:hAnsi="黑体" w:eastAsia="黑体"/>
          <w:sz w:val="32"/>
        </w:rPr>
        <w:t>九、财政拨款“三公”经费支出决算情况说明</w:t>
      </w:r>
    </w:p>
    <w:p w14:paraId="59FA86FE">
      <w:pPr>
        <w:spacing w:line="580" w:lineRule="exact"/>
        <w:ind w:firstLine="640"/>
        <w:jc w:val="both"/>
      </w:pPr>
      <w:r>
        <w:rPr>
          <w:rFonts w:ascii="仿宋_GB2312" w:hAnsi="仿宋_GB2312" w:eastAsia="仿宋_GB2312"/>
          <w:b/>
          <w:sz w:val="32"/>
        </w:rPr>
        <w:t>2024年度财政拨款“三公”经费支出4.50万元，</w:t>
      </w:r>
      <w:r>
        <w:rPr>
          <w:rFonts w:ascii="仿宋_GB2312" w:hAnsi="仿宋_GB2312" w:eastAsia="仿宋_GB2312"/>
          <w:b w:val="0"/>
          <w:sz w:val="32"/>
        </w:rPr>
        <w:t>比上年增加4.50万元，增长100.00%，主要原因是：本单位为2024年1月新增单位，无上年对比数据。其中：因公出国（境）费支出0.00万元，占0.00%，比上年增加0.00万元，增长0.00%，主要原因是：2023年与2024年均未安排因公出国（境）费支出。公务用车购置及运行维护费支出4.50万元，占100.00%，比上年增加4.50万元，增长100.00%，主要原因是：本单位为2024年1月新增单位，无上年对比数据。公务接待费支出0.00万元，占0.00%，比上年增加0.00万元，增长0.00%，主要原因是：2023年与2024年均未安排公务接待费支出。</w:t>
      </w:r>
    </w:p>
    <w:p w14:paraId="5A1DBB11">
      <w:pPr>
        <w:spacing w:line="580" w:lineRule="exact"/>
        <w:ind w:firstLine="640"/>
        <w:jc w:val="both"/>
      </w:pPr>
      <w:r>
        <w:rPr>
          <w:rFonts w:ascii="仿宋_GB2312" w:hAnsi="仿宋_GB2312" w:eastAsia="仿宋_GB2312"/>
          <w:b/>
          <w:sz w:val="32"/>
        </w:rPr>
        <w:t>具体情况如下：</w:t>
      </w:r>
    </w:p>
    <w:p w14:paraId="7969B57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CE85BE">
      <w:pPr>
        <w:spacing w:line="580" w:lineRule="exact"/>
        <w:ind w:firstLine="640"/>
        <w:jc w:val="both"/>
      </w:pPr>
      <w:r>
        <w:rPr>
          <w:rFonts w:ascii="仿宋_GB2312" w:hAnsi="仿宋_GB2312" w:eastAsia="仿宋_GB2312"/>
          <w:b w:val="0"/>
          <w:sz w:val="32"/>
        </w:rPr>
        <w:t>公务用车购置及运行维护费4.50万元，其中：公务用车购置费0.00万元，公务用车运行维护费4.50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35B1B87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2EE84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4.50万元，决算数4.50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4.50万元，决算数4.50万元，预决算差异率0.00%，主要原因是：严格按照预算执行，预决算无差异。公务接待费全年预算数0.00万元，决算数0.00万元，预决算差异率0.00%，主要原因是：本单位无公务接待费。</w:t>
      </w:r>
    </w:p>
    <w:p w14:paraId="4D5E2A31">
      <w:pPr>
        <w:spacing w:line="640" w:lineRule="exact"/>
        <w:ind w:firstLine="640"/>
        <w:jc w:val="both"/>
        <w:outlineLvl w:val="2"/>
      </w:pPr>
      <w:r>
        <w:rPr>
          <w:rFonts w:ascii="黑体" w:hAnsi="黑体" w:eastAsia="黑体"/>
          <w:sz w:val="32"/>
        </w:rPr>
        <w:t>十、其他重要事项的情况说明</w:t>
      </w:r>
    </w:p>
    <w:p w14:paraId="1FCEDC04">
      <w:pPr>
        <w:spacing w:line="640" w:lineRule="exact"/>
        <w:ind w:firstLine="640"/>
        <w:jc w:val="both"/>
        <w:outlineLvl w:val="3"/>
      </w:pPr>
      <w:r>
        <w:rPr>
          <w:rFonts w:ascii="楷体_GB2312" w:hAnsi="楷体_GB2312" w:eastAsia="楷体_GB2312"/>
          <w:b/>
          <w:sz w:val="32"/>
        </w:rPr>
        <w:t>（一）机关运行经费及公用经费支出情况</w:t>
      </w:r>
    </w:p>
    <w:p w14:paraId="3558F430">
      <w:pPr>
        <w:spacing w:line="580" w:lineRule="exact"/>
        <w:ind w:firstLine="640"/>
        <w:jc w:val="both"/>
      </w:pPr>
      <w:r>
        <w:rPr>
          <w:rFonts w:ascii="仿宋_GB2312" w:hAnsi="仿宋_GB2312" w:eastAsia="仿宋_GB2312"/>
          <w:b w:val="0"/>
          <w:sz w:val="32"/>
        </w:rPr>
        <w:t>2024年度和田地区生态环境局策勒县分局（行政单位和参照公务员法管理事业单位）机关运行经费支出19.97万元，比上年增加19.97万元，增长100.00%，主要原因是：本单位为2024年1月新增单位，无上年对比数据。</w:t>
      </w:r>
    </w:p>
    <w:p w14:paraId="5EB02830">
      <w:pPr>
        <w:spacing w:line="640" w:lineRule="exact"/>
        <w:ind w:firstLine="640"/>
        <w:jc w:val="both"/>
        <w:outlineLvl w:val="3"/>
      </w:pPr>
      <w:r>
        <w:rPr>
          <w:rFonts w:ascii="楷体_GB2312" w:hAnsi="楷体_GB2312" w:eastAsia="楷体_GB2312"/>
          <w:b/>
          <w:sz w:val="32"/>
        </w:rPr>
        <w:t>（二）政府采购情况</w:t>
      </w:r>
    </w:p>
    <w:p w14:paraId="6A24A26B">
      <w:pPr>
        <w:spacing w:line="580" w:lineRule="exact"/>
        <w:ind w:firstLine="640"/>
        <w:jc w:val="both"/>
      </w:pPr>
      <w:r>
        <w:rPr>
          <w:rFonts w:ascii="仿宋_GB2312" w:hAnsi="仿宋_GB2312" w:eastAsia="仿宋_GB2312"/>
          <w:b w:val="0"/>
          <w:sz w:val="32"/>
        </w:rPr>
        <w:t>2024年度政府采购支出总额5.30万元，其中：政府采购货物支出1.99万元、政府采购工程支出0.00万元、政府采购服务支出3.31万元。</w:t>
      </w:r>
    </w:p>
    <w:p w14:paraId="6FBB5CFF">
      <w:pPr>
        <w:spacing w:line="580" w:lineRule="exact"/>
        <w:ind w:firstLine="640"/>
        <w:jc w:val="both"/>
      </w:pPr>
      <w:r>
        <w:rPr>
          <w:rFonts w:ascii="仿宋_GB2312" w:hAnsi="仿宋_GB2312" w:eastAsia="仿宋_GB2312"/>
          <w:b w:val="0"/>
          <w:sz w:val="32"/>
        </w:rPr>
        <w:t>授予中小企业合同金额3.86万元，占政府采购支出总额的72.83%，其中：授予小微企业合同金额3.86万元，占政府采购支出总额的72.83%。</w:t>
      </w:r>
    </w:p>
    <w:p w14:paraId="2C60CD60">
      <w:pPr>
        <w:spacing w:line="640" w:lineRule="exact"/>
        <w:ind w:firstLine="640"/>
        <w:jc w:val="both"/>
        <w:outlineLvl w:val="3"/>
      </w:pPr>
      <w:r>
        <w:rPr>
          <w:rFonts w:ascii="楷体_GB2312" w:hAnsi="楷体_GB2312" w:eastAsia="楷体_GB2312"/>
          <w:b/>
          <w:sz w:val="32"/>
        </w:rPr>
        <w:t>（三）国有资产占用情况说明</w:t>
      </w:r>
    </w:p>
    <w:p w14:paraId="0A1C7B4A">
      <w:pPr>
        <w:spacing w:line="580" w:lineRule="exact"/>
        <w:ind w:firstLine="640"/>
        <w:jc w:val="both"/>
      </w:pPr>
      <w:r>
        <w:rPr>
          <w:rFonts w:ascii="仿宋_GB2312" w:hAnsi="仿宋_GB2312" w:eastAsia="仿宋_GB2312"/>
          <w:b w:val="0"/>
          <w:sz w:val="32"/>
        </w:rPr>
        <w:t>截至2024年12月31日，房屋513.00平方米，价值40.00万元。车辆1辆，价值18.63万元，其中：副部（省）级及以上领导用车0辆、主要负责人用车0辆、机要通信用车0辆、应急保障用车0辆、执法执勤用车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1</w:t>
      </w:r>
      <w:bookmarkStart w:id="0" w:name="_GoBack"/>
      <w:bookmarkEnd w:id="0"/>
      <w:r>
        <w:rPr>
          <w:rFonts w:ascii="仿宋_GB2312" w:hAnsi="仿宋_GB2312" w:eastAsia="仿宋_GB2312"/>
          <w:b w:val="0"/>
          <w:sz w:val="32"/>
        </w:rPr>
        <w:t>辆，其他用车主要是：本单位无其他用车。单价100万元（含）以上设备（不含车辆）0台（套）。</w:t>
      </w:r>
    </w:p>
    <w:p w14:paraId="42205F32">
      <w:pPr>
        <w:spacing w:line="640" w:lineRule="exact"/>
        <w:ind w:firstLine="640"/>
        <w:jc w:val="both"/>
        <w:outlineLvl w:val="2"/>
      </w:pPr>
      <w:r>
        <w:rPr>
          <w:rFonts w:ascii="黑体" w:hAnsi="黑体" w:eastAsia="黑体"/>
          <w:sz w:val="32"/>
        </w:rPr>
        <w:t>十一、预算绩效的情况说明</w:t>
      </w:r>
    </w:p>
    <w:p w14:paraId="4E4BCD2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318.10万元，实际执行总额318.10万元；预算绩效评价项目2个，全年预算数15.00万元，全年执行数15.00万元。预算绩效管理取得的成效：一是对发现的问题采取措施，及时纠正，认真处理，强化管理，有效杜绝了专项资金在分配使用过程中的违纪现象的发生，保证了专项资金的使用安全；二是抓制度建设，夯实绩效管理基础。发现的问题及原因：一是绩效评价指标体系不够完善；二是加强对资金拨付、使用环节的监管。按照“权、责、利”相统一的原则，确保财政资金的安全有效运行。下一步改进措施：一是今后将切实提高财政资源配置效率和资金使用效益。定期对专项资金的使用情况进行自查，资金落实情况，对发现的问题采取措施，及时纠正，认真处理，强化管理；二是对发现的问题采取措施，及时纠正，认真处理，强化管理，有效杜绝了专项资金在分配使用过程中的违纪现象的发生，保证了专项资金的使用安全。具体项目自评情况附绩效自评表及自评报告。具体附整体支出绩效自评表，项目支出绩效自评表和评价报告。</w:t>
      </w:r>
    </w:p>
    <w:p w14:paraId="3540B3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B53007E">
        <w:tblPrEx>
          <w:tblCellMar>
            <w:top w:w="0" w:type="dxa"/>
            <w:left w:w="108" w:type="dxa"/>
            <w:bottom w:w="0" w:type="dxa"/>
            <w:right w:w="108" w:type="dxa"/>
          </w:tblCellMar>
        </w:tblPrEx>
        <w:tc>
          <w:tcPr>
            <w:tcW w:w="8847" w:type="dxa"/>
            <w:gridSpan w:val="9"/>
            <w:vAlign w:val="center"/>
          </w:tcPr>
          <w:p w14:paraId="2F688586">
            <w:pPr>
              <w:jc w:val="center"/>
            </w:pPr>
            <w:r>
              <w:rPr>
                <w:rFonts w:ascii="宋体" w:hAnsi="宋体" w:eastAsia="宋体"/>
                <w:sz w:val="24"/>
              </w:rPr>
              <w:t>单位整体支出绩效自评表</w:t>
            </w:r>
          </w:p>
        </w:tc>
      </w:tr>
      <w:tr w14:paraId="617943EA">
        <w:tblPrEx>
          <w:tblCellMar>
            <w:top w:w="0" w:type="dxa"/>
            <w:left w:w="108" w:type="dxa"/>
            <w:bottom w:w="0" w:type="dxa"/>
            <w:right w:w="108" w:type="dxa"/>
          </w:tblCellMar>
        </w:tblPrEx>
        <w:tc>
          <w:tcPr>
            <w:tcW w:w="8847" w:type="dxa"/>
            <w:gridSpan w:val="9"/>
            <w:vAlign w:val="center"/>
          </w:tcPr>
          <w:p w14:paraId="5F8E976F">
            <w:pPr>
              <w:jc w:val="center"/>
            </w:pPr>
            <w:r>
              <w:rPr>
                <w:rFonts w:ascii="宋体" w:hAnsi="宋体" w:eastAsia="宋体"/>
                <w:sz w:val="24"/>
              </w:rPr>
              <w:t>（2024年度）</w:t>
            </w:r>
          </w:p>
        </w:tc>
      </w:tr>
      <w:tr w14:paraId="493B2A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8F01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94CF391">
            <w:pPr>
              <w:jc w:val="center"/>
            </w:pPr>
            <w:r>
              <w:rPr>
                <w:rFonts w:ascii="宋体" w:hAnsi="宋体" w:eastAsia="宋体"/>
                <w:sz w:val="16"/>
              </w:rPr>
              <w:t>和田地区生态环境局策勒县分局</w:t>
            </w:r>
          </w:p>
        </w:tc>
      </w:tr>
      <w:tr w14:paraId="78822D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320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C53E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F4CC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B2B59">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2B61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5688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EC07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CF36">
            <w:pPr>
              <w:jc w:val="center"/>
            </w:pPr>
            <w:r>
              <w:rPr>
                <w:rFonts w:ascii="宋体" w:hAnsi="宋体" w:eastAsia="宋体"/>
                <w:sz w:val="16"/>
              </w:rPr>
              <w:t>得分</w:t>
            </w:r>
          </w:p>
        </w:tc>
      </w:tr>
      <w:tr w14:paraId="15BA38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CAB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A3F7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A169F">
            <w:pPr>
              <w:jc w:val="center"/>
            </w:pPr>
            <w:r>
              <w:rPr>
                <w:rFonts w:ascii="宋体" w:hAnsi="宋体" w:eastAsia="宋体"/>
                <w:sz w:val="16"/>
              </w:rPr>
              <w:t>305.19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F6D5">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BB670">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BC3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BAEF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3F11">
            <w:pPr>
              <w:jc w:val="center"/>
            </w:pPr>
            <w:r>
              <w:rPr>
                <w:rFonts w:ascii="宋体" w:hAnsi="宋体" w:eastAsia="宋体"/>
                <w:sz w:val="16"/>
              </w:rPr>
              <w:t>10</w:t>
            </w:r>
          </w:p>
        </w:tc>
      </w:tr>
      <w:tr w14:paraId="21CE8F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A82D3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7772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BF3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174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B1E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726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C830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D43A0">
            <w:pPr>
              <w:jc w:val="center"/>
            </w:pPr>
            <w:r>
              <w:rPr>
                <w:rFonts w:ascii="宋体" w:hAnsi="宋体" w:eastAsia="宋体"/>
                <w:sz w:val="16"/>
              </w:rPr>
              <w:t>—</w:t>
            </w:r>
          </w:p>
        </w:tc>
      </w:tr>
      <w:tr w14:paraId="4BC07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22C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F6D2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1455B">
            <w:pPr>
              <w:jc w:val="center"/>
            </w:pPr>
            <w:r>
              <w:rPr>
                <w:rFonts w:ascii="宋体" w:hAnsi="宋体" w:eastAsia="宋体"/>
                <w:sz w:val="16"/>
              </w:rPr>
              <w:t>305.19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7936">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C94C0">
            <w:pPr>
              <w:jc w:val="center"/>
            </w:pPr>
            <w:r>
              <w:rPr>
                <w:rFonts w:ascii="宋体" w:hAnsi="宋体" w:eastAsia="宋体"/>
                <w:sz w:val="16"/>
              </w:rPr>
              <w:t>318.10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E95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53C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0C4E">
            <w:pPr>
              <w:jc w:val="center"/>
            </w:pPr>
            <w:r>
              <w:rPr>
                <w:rFonts w:ascii="宋体" w:hAnsi="宋体" w:eastAsia="宋体"/>
                <w:sz w:val="16"/>
              </w:rPr>
              <w:t>—</w:t>
            </w:r>
          </w:p>
        </w:tc>
      </w:tr>
      <w:tr w14:paraId="3C6405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3F279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BD8AE">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B09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7F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25AB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A42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753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2942A">
            <w:pPr>
              <w:jc w:val="center"/>
            </w:pPr>
            <w:r>
              <w:rPr>
                <w:rFonts w:ascii="宋体" w:hAnsi="宋体" w:eastAsia="宋体"/>
                <w:sz w:val="16"/>
              </w:rPr>
              <w:t>—</w:t>
            </w:r>
          </w:p>
        </w:tc>
      </w:tr>
      <w:tr w14:paraId="7C8553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218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E38EB0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79063F">
            <w:pPr>
              <w:jc w:val="center"/>
            </w:pPr>
            <w:r>
              <w:rPr>
                <w:rFonts w:ascii="宋体" w:hAnsi="宋体" w:eastAsia="宋体"/>
                <w:sz w:val="16"/>
              </w:rPr>
              <w:t>实际完成目标</w:t>
            </w:r>
          </w:p>
        </w:tc>
      </w:tr>
      <w:tr w14:paraId="4B4465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EAB34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684CAF">
            <w:pPr>
              <w:jc w:val="both"/>
            </w:pPr>
            <w:r>
              <w:rPr>
                <w:rFonts w:ascii="宋体" w:hAnsi="宋体" w:eastAsia="宋体"/>
                <w:sz w:val="16"/>
              </w:rPr>
              <w:t>1.和田地区生态环境局策勒县分局2024年保障13名工作人员基本支出，保障单位3辆公务用车燃油、保险、维修，污染企业执法检查、污染企业污染物监测、县域生态环境质量监测等内容。部门整体支出305.19万元。其中人员经费277.21万元，公用经费19.98万元，2024年环境业务执法经费（策勒县分局）8万元。通过保障部门正常运转，提升干部自身素质建设，提升社会服务能力，持续做好洛浦生态环境向好发展。争取使受益群众及受益在职人员满意度达到90%以上。</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持续深入打好污染防治攻坚战，强化生态保护修复监管，防范和化解生态环境领域风险，促进经济社会发展绿色转型，加快构建现代化环境治理体系，持续开展生态环境保护铁军建设，以生态环境高水平保护推动经济高质量发展完成以下目标1：全区地表水好于Ⅲ类水体监测点位完成率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目标2：全区优良天数比例（%）</w:t>
            </w:r>
            <w:r>
              <w:rPr>
                <w:rFonts w:hint="eastAsia" w:ascii="宋体" w:hAnsi="宋体"/>
                <w:sz w:val="16"/>
                <w:lang w:val="en-US" w:eastAsia="zh-CN"/>
              </w:rPr>
              <w:t>≥</w:t>
            </w:r>
            <w:r>
              <w:rPr>
                <w:rFonts w:ascii="宋体" w:hAnsi="宋体" w:eastAsia="宋体"/>
                <w:sz w:val="16"/>
              </w:rPr>
              <w:t>24.70%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目标3：全区PM2.5(空气中细颗粒物)全年平均浓度，≤50微克/立方米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目标4：全区全年重污染平均天数，</w:t>
            </w:r>
            <w:r>
              <w:rPr>
                <w:rFonts w:hint="eastAsia" w:ascii="宋体" w:hAnsi="宋体"/>
                <w:sz w:val="16"/>
                <w:lang w:val="en-US" w:eastAsia="zh-CN"/>
              </w:rPr>
              <w:t>≤</w:t>
            </w:r>
            <w:r>
              <w:rPr>
                <w:rFonts w:ascii="宋体" w:hAnsi="宋体" w:eastAsia="宋体"/>
                <w:sz w:val="16"/>
              </w:rPr>
              <w:t>0天</w:t>
            </w:r>
            <w:r>
              <w:rPr>
                <w:rFonts w:ascii="宋体" w:hAnsi="宋体" w:eastAsia="宋体"/>
                <w:sz w:val="16"/>
              </w:rPr>
              <w:br w:type="textWrapping"/>
            </w:r>
            <w:r>
              <w:rPr>
                <w:rFonts w:ascii="宋体" w:hAnsi="宋体" w:eastAsia="宋体"/>
                <w:sz w:val="16"/>
              </w:rPr>
              <w:t>目标5：全区地表水Ⅴ类水质监测点位数</w:t>
            </w:r>
            <w:r>
              <w:rPr>
                <w:rFonts w:hint="eastAsia" w:ascii="宋体" w:hAnsi="宋体"/>
                <w:sz w:val="16"/>
                <w:lang w:val="en-US" w:eastAsia="zh-CN"/>
              </w:rPr>
              <w:t>≤</w:t>
            </w:r>
            <w:r>
              <w:rPr>
                <w:rFonts w:ascii="宋体" w:hAnsi="宋体" w:eastAsia="宋体"/>
                <w:sz w:val="16"/>
              </w:rPr>
              <w:t>0个</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9151F5">
            <w:pPr>
              <w:jc w:val="both"/>
            </w:pPr>
            <w:r>
              <w:rPr>
                <w:rFonts w:hint="eastAsia" w:ascii="宋体" w:hAnsi="宋体"/>
                <w:sz w:val="16"/>
                <w:lang w:eastAsia="zh-CN"/>
              </w:rPr>
              <w:t>截至2024</w:t>
            </w:r>
            <w:r>
              <w:rPr>
                <w:rFonts w:ascii="宋体" w:hAnsi="宋体" w:eastAsia="宋体"/>
                <w:sz w:val="16"/>
              </w:rPr>
              <w:t>年12月31日，本单位实际完成保障全区优良天数比例达到38.3%，全区PM2.5全年平均浓度控制在50微克/立方米，全区地表水V类水质监测点位0个，全区全年重污染平均天数0天，全区地表水好于Ⅲ类水体监测点位率达到100%，实际形成支出318.10万元，通过完成以上工作，持续深入打好污染防治攻坚战，促进经济社会发展绿色转型，加快构建现代化环境治理体系，持续开展生态环境保护铁军建设，以生态环境高水平保护推动经济高质量发展的效益。</w:t>
            </w:r>
          </w:p>
        </w:tc>
      </w:tr>
      <w:tr w14:paraId="0C3E30D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C63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D63B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4B3E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5E7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0894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EB0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BAB6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5BB990">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BE9C7">
            <w:pPr>
              <w:jc w:val="center"/>
            </w:pPr>
            <w:r>
              <w:rPr>
                <w:rFonts w:ascii="宋体" w:hAnsi="宋体" w:eastAsia="宋体"/>
                <w:sz w:val="16"/>
              </w:rPr>
              <w:t>得分</w:t>
            </w:r>
          </w:p>
        </w:tc>
      </w:tr>
      <w:tr w14:paraId="15654CE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F50FE">
            <w:pPr>
              <w:jc w:val="center"/>
            </w:pPr>
            <w:r>
              <w:rPr>
                <w:rFonts w:ascii="宋体" w:hAnsi="宋体" w:eastAsia="宋体"/>
                <w:sz w:val="16"/>
              </w:rPr>
              <w:t>管理效率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459D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06EF6C">
            <w:pPr>
              <w:jc w:val="center"/>
            </w:pPr>
            <w:r>
              <w:rPr>
                <w:rFonts w:ascii="宋体" w:hAnsi="宋体" w:eastAsia="宋体"/>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21F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39C9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E5E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73D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30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993EB">
            <w:pPr>
              <w:jc w:val="center"/>
            </w:pPr>
            <w:r>
              <w:rPr>
                <w:rFonts w:ascii="宋体" w:hAnsi="宋体" w:eastAsia="宋体"/>
                <w:sz w:val="16"/>
              </w:rPr>
              <w:t>12</w:t>
            </w:r>
          </w:p>
        </w:tc>
      </w:tr>
      <w:tr w14:paraId="5BB0A8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E64A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40C6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C0E21">
            <w:pPr>
              <w:jc w:val="center"/>
            </w:pPr>
            <w:r>
              <w:rPr>
                <w:rFonts w:ascii="宋体" w:hAnsi="宋体" w:eastAsia="宋体"/>
                <w:sz w:val="16"/>
              </w:rPr>
              <w:t>全区优良天数比例（%）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B5189">
            <w:pPr>
              <w:jc w:val="center"/>
            </w:pPr>
            <w:r>
              <w:rPr>
                <w:rFonts w:ascii="宋体" w:hAnsi="宋体" w:eastAsia="宋体"/>
                <w:sz w:val="16"/>
              </w:rPr>
              <w:t>≥24.70%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E090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8A11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4EFAD">
            <w:pPr>
              <w:jc w:val="center"/>
            </w:pPr>
            <w:r>
              <w:rPr>
                <w:rFonts w:ascii="宋体" w:hAnsi="宋体" w:eastAsia="宋体"/>
                <w:sz w:val="16"/>
              </w:rPr>
              <w:t>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3EBF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2CE04">
            <w:pPr>
              <w:jc w:val="center"/>
            </w:pPr>
            <w:r>
              <w:rPr>
                <w:rFonts w:ascii="宋体" w:hAnsi="宋体" w:eastAsia="宋体"/>
                <w:sz w:val="16"/>
              </w:rPr>
              <w:t>12</w:t>
            </w:r>
          </w:p>
        </w:tc>
      </w:tr>
      <w:tr w14:paraId="1AB0E6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5A1F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4DB11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8E41A">
            <w:pPr>
              <w:jc w:val="center"/>
            </w:pPr>
            <w:r>
              <w:rPr>
                <w:rFonts w:ascii="宋体" w:hAnsi="宋体" w:eastAsia="宋体"/>
                <w:sz w:val="16"/>
              </w:rPr>
              <w:t>全区PM2.5(空气中细颗粒物)全年平均浓度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FC06E">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72A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EB3AB">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412C">
            <w:pPr>
              <w:jc w:val="center"/>
            </w:pPr>
            <w:r>
              <w:rPr>
                <w:rFonts w:ascii="宋体" w:hAnsi="宋体" w:eastAsia="宋体"/>
                <w:sz w:val="16"/>
              </w:rPr>
              <w:t>50微克/立方米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C351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C863D">
            <w:pPr>
              <w:jc w:val="center"/>
            </w:pPr>
            <w:r>
              <w:rPr>
                <w:rFonts w:ascii="宋体" w:hAnsi="宋体" w:eastAsia="宋体"/>
                <w:sz w:val="16"/>
              </w:rPr>
              <w:t>12</w:t>
            </w:r>
          </w:p>
        </w:tc>
      </w:tr>
      <w:tr w14:paraId="1208EC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2382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78485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F4C1">
            <w:pPr>
              <w:jc w:val="center"/>
            </w:pPr>
            <w:r>
              <w:rPr>
                <w:rFonts w:ascii="宋体" w:hAnsi="宋体" w:eastAsia="宋体"/>
                <w:sz w:val="16"/>
              </w:rPr>
              <w:t>全区地表水Ⅴ类水质监测点位数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3C01C">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773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C3F44">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9F6BF">
            <w:pPr>
              <w:jc w:val="center"/>
            </w:pPr>
            <w:r>
              <w:rPr>
                <w:rFonts w:ascii="宋体" w:hAnsi="宋体" w:eastAsia="宋体"/>
                <w:sz w:val="16"/>
              </w:rPr>
              <w:t>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75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83E3B">
            <w:pPr>
              <w:jc w:val="center"/>
            </w:pPr>
            <w:r>
              <w:rPr>
                <w:rFonts w:ascii="宋体" w:hAnsi="宋体" w:eastAsia="宋体"/>
                <w:sz w:val="16"/>
              </w:rPr>
              <w:t>12</w:t>
            </w:r>
          </w:p>
        </w:tc>
      </w:tr>
      <w:tr w14:paraId="699CD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4F4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3D9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0D5AA">
            <w:pPr>
              <w:jc w:val="center"/>
            </w:pPr>
            <w:r>
              <w:rPr>
                <w:rFonts w:ascii="宋体" w:hAnsi="宋体" w:eastAsia="宋体"/>
                <w:sz w:val="16"/>
              </w:rPr>
              <w:t>全区全年重污染平均天数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7304E">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739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1289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F6AB7">
            <w:pPr>
              <w:jc w:val="center"/>
            </w:pPr>
            <w:r>
              <w:rPr>
                <w:rFonts w:ascii="宋体" w:hAnsi="宋体" w:eastAsia="宋体"/>
                <w:sz w:val="16"/>
              </w:rPr>
              <w:t>0天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FCB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D8DBB">
            <w:pPr>
              <w:jc w:val="center"/>
            </w:pPr>
            <w:r>
              <w:rPr>
                <w:rFonts w:ascii="宋体" w:hAnsi="宋体" w:eastAsia="宋体"/>
                <w:sz w:val="16"/>
              </w:rPr>
              <w:t>15</w:t>
            </w:r>
          </w:p>
        </w:tc>
      </w:tr>
      <w:tr w14:paraId="49DC65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4EBB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7D89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6968F">
            <w:pPr>
              <w:jc w:val="center"/>
            </w:pPr>
            <w:r>
              <w:rPr>
                <w:rFonts w:ascii="宋体" w:hAnsi="宋体" w:eastAsia="宋体"/>
                <w:sz w:val="16"/>
              </w:rPr>
              <w:t>全区地表水好于Ⅲ类水体监测点位率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5481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4EB7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A613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9C7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07C2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C29D">
            <w:pPr>
              <w:jc w:val="center"/>
            </w:pPr>
            <w:r>
              <w:rPr>
                <w:rFonts w:ascii="宋体" w:hAnsi="宋体" w:eastAsia="宋体"/>
                <w:sz w:val="16"/>
              </w:rPr>
              <w:t>12</w:t>
            </w:r>
          </w:p>
        </w:tc>
      </w:tr>
      <w:tr w14:paraId="6E7CB72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5995">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49C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7A889">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631F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511E8">
            <w:pPr>
              <w:jc w:val="center"/>
            </w:pPr>
            <w:r>
              <w:rPr>
                <w:rFonts w:ascii="宋体" w:hAnsi="宋体" w:eastAsia="宋体"/>
                <w:sz w:val="16"/>
              </w:rPr>
              <w:t>根据年初工作安排计划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D898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3CA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5988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7A477">
            <w:pPr>
              <w:jc w:val="center"/>
            </w:pPr>
            <w:r>
              <w:rPr>
                <w:rFonts w:ascii="宋体" w:hAnsi="宋体" w:eastAsia="宋体"/>
                <w:sz w:val="16"/>
              </w:rPr>
              <w:t>15</w:t>
            </w:r>
          </w:p>
        </w:tc>
      </w:tr>
    </w:tbl>
    <w:p w14:paraId="63D6B77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89837A0">
        <w:tblPrEx>
          <w:tblCellMar>
            <w:top w:w="0" w:type="dxa"/>
            <w:left w:w="108" w:type="dxa"/>
            <w:bottom w:w="0" w:type="dxa"/>
            <w:right w:w="108" w:type="dxa"/>
          </w:tblCellMar>
        </w:tblPrEx>
        <w:tc>
          <w:tcPr>
            <w:tcW w:w="8847" w:type="dxa"/>
            <w:gridSpan w:val="9"/>
            <w:vAlign w:val="center"/>
          </w:tcPr>
          <w:p w14:paraId="470C2C49">
            <w:pPr>
              <w:jc w:val="center"/>
            </w:pPr>
            <w:r>
              <w:rPr>
                <w:rFonts w:ascii="宋体" w:hAnsi="宋体" w:eastAsia="宋体"/>
                <w:sz w:val="24"/>
              </w:rPr>
              <w:t>项目支出绩效自评表</w:t>
            </w:r>
          </w:p>
        </w:tc>
      </w:tr>
      <w:tr w14:paraId="62E207D9">
        <w:tblPrEx>
          <w:tblCellMar>
            <w:top w:w="0" w:type="dxa"/>
            <w:left w:w="108" w:type="dxa"/>
            <w:bottom w:w="0" w:type="dxa"/>
            <w:right w:w="108" w:type="dxa"/>
          </w:tblCellMar>
        </w:tblPrEx>
        <w:tc>
          <w:tcPr>
            <w:tcW w:w="8847" w:type="dxa"/>
            <w:gridSpan w:val="9"/>
            <w:vAlign w:val="center"/>
          </w:tcPr>
          <w:p w14:paraId="37A1141E">
            <w:pPr>
              <w:jc w:val="center"/>
            </w:pPr>
            <w:r>
              <w:rPr>
                <w:rFonts w:ascii="宋体" w:hAnsi="宋体" w:eastAsia="宋体"/>
                <w:sz w:val="24"/>
              </w:rPr>
              <w:t>(2024年度)</w:t>
            </w:r>
          </w:p>
        </w:tc>
      </w:tr>
      <w:tr w14:paraId="3019C14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E9B2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ACD122E">
            <w:pPr>
              <w:jc w:val="center"/>
            </w:pPr>
            <w:r>
              <w:rPr>
                <w:rFonts w:ascii="宋体" w:hAnsi="宋体" w:eastAsia="宋体"/>
                <w:sz w:val="16"/>
              </w:rPr>
              <w:t>2024年上半年自治区驻村工作专项项目</w:t>
            </w:r>
          </w:p>
        </w:tc>
      </w:tr>
      <w:tr w14:paraId="786CF8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57B67">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06CC11">
            <w:pPr>
              <w:jc w:val="center"/>
            </w:pPr>
            <w:r>
              <w:rPr>
                <w:rFonts w:ascii="宋体" w:hAnsi="宋体" w:eastAsia="宋体"/>
                <w:sz w:val="16"/>
              </w:rPr>
              <w:t>和田地区生态环境局策勒县分局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F4F8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E64EE">
            <w:pPr>
              <w:jc w:val="center"/>
            </w:pPr>
            <w:r>
              <w:rPr>
                <w:rFonts w:ascii="宋体" w:hAnsi="宋体" w:eastAsia="宋体"/>
                <w:sz w:val="16"/>
              </w:rPr>
              <w:t>和田地区生态环境局策勒县分局</w:t>
            </w:r>
          </w:p>
        </w:tc>
      </w:tr>
      <w:tr w14:paraId="6BD3FA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CCB5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EA98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FE96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C3AB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593C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50ED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8606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3100A">
            <w:pPr>
              <w:jc w:val="center"/>
            </w:pPr>
            <w:r>
              <w:rPr>
                <w:rFonts w:ascii="宋体" w:hAnsi="宋体" w:eastAsia="宋体"/>
                <w:sz w:val="16"/>
              </w:rPr>
              <w:t>得分</w:t>
            </w:r>
          </w:p>
        </w:tc>
      </w:tr>
      <w:tr w14:paraId="65C6AFE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A80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63D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5F10C">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266DF">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BE3FE">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E60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2E01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085D7">
            <w:pPr>
              <w:jc w:val="center"/>
            </w:pPr>
            <w:r>
              <w:rPr>
                <w:rFonts w:ascii="宋体" w:hAnsi="宋体" w:eastAsia="宋体"/>
                <w:sz w:val="16"/>
              </w:rPr>
              <w:t>10.00分</w:t>
            </w:r>
          </w:p>
        </w:tc>
      </w:tr>
      <w:tr w14:paraId="4174DA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5B15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EF84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76962">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EBC4A">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925F5">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0EE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519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AD57F">
            <w:pPr>
              <w:jc w:val="center"/>
            </w:pPr>
            <w:r>
              <w:rPr>
                <w:rFonts w:ascii="宋体" w:hAnsi="宋体" w:eastAsia="宋体"/>
                <w:sz w:val="16"/>
              </w:rPr>
              <w:t>—</w:t>
            </w:r>
          </w:p>
        </w:tc>
      </w:tr>
      <w:tr w14:paraId="129F72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83A9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CE57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B05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D5C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F9B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859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B2A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6D38">
            <w:pPr>
              <w:jc w:val="center"/>
            </w:pPr>
            <w:r>
              <w:rPr>
                <w:rFonts w:ascii="宋体" w:hAnsi="宋体" w:eastAsia="宋体"/>
                <w:sz w:val="16"/>
              </w:rPr>
              <w:t>—</w:t>
            </w:r>
          </w:p>
        </w:tc>
      </w:tr>
      <w:tr w14:paraId="44AABB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60E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D4F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EA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E3F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5BB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45C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D28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BDC1E">
            <w:pPr>
              <w:jc w:val="center"/>
            </w:pPr>
            <w:r>
              <w:rPr>
                <w:rFonts w:ascii="宋体" w:hAnsi="宋体" w:eastAsia="宋体"/>
                <w:sz w:val="16"/>
              </w:rPr>
              <w:t>—</w:t>
            </w:r>
          </w:p>
        </w:tc>
      </w:tr>
      <w:tr w14:paraId="62E9F9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EBD6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7E875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1A8563">
            <w:pPr>
              <w:jc w:val="center"/>
            </w:pPr>
            <w:r>
              <w:rPr>
                <w:rFonts w:ascii="宋体" w:hAnsi="宋体" w:eastAsia="宋体"/>
                <w:sz w:val="16"/>
              </w:rPr>
              <w:t>实际完成情况</w:t>
            </w:r>
          </w:p>
        </w:tc>
      </w:tr>
      <w:tr w14:paraId="1B04DA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8F726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B184AB">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1件，采购办公用品7次，保障工作队指标3人，项目总投资为7万元，项目计划于2024年12月完成。通过本项目的实施，可有效做好群众工作，改善群众生活，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30B9F2">
            <w:pPr>
              <w:jc w:val="both"/>
            </w:pPr>
            <w:r>
              <w:rPr>
                <w:rFonts w:hint="eastAsia" w:ascii="宋体" w:hAnsi="宋体"/>
                <w:sz w:val="16"/>
                <w:lang w:eastAsia="zh-CN"/>
              </w:rPr>
              <w:t>截至</w:t>
            </w:r>
            <w:r>
              <w:rPr>
                <w:rFonts w:ascii="宋体" w:hAnsi="宋体" w:eastAsia="宋体"/>
                <w:sz w:val="16"/>
              </w:rPr>
              <w:t>2024年12月31日，本项目实际形成支出7万元，已完成</w:t>
            </w:r>
            <w:r>
              <w:rPr>
                <w:rFonts w:hint="eastAsia" w:ascii="宋体" w:hAnsi="宋体"/>
                <w:sz w:val="16"/>
                <w:lang w:eastAsia="zh-CN"/>
              </w:rPr>
              <w:t>为民办实事</w:t>
            </w:r>
            <w:r>
              <w:rPr>
                <w:rFonts w:ascii="宋体" w:hAnsi="宋体" w:eastAsia="宋体"/>
                <w:sz w:val="16"/>
              </w:rPr>
              <w:t>工作队为民办实事1件，采购办公用品7次，保障工作队指标3人的任务，达到了有效做好群众工作，改善群众生活的效益，受益服务对象满意度达到100%。</w:t>
            </w:r>
          </w:p>
        </w:tc>
      </w:tr>
      <w:tr w14:paraId="630A78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025B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4E05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B04C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BAD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B463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BCC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BA9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1B20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7BF8D">
            <w:pPr>
              <w:jc w:val="center"/>
            </w:pPr>
            <w:r>
              <w:rPr>
                <w:rFonts w:ascii="宋体" w:hAnsi="宋体" w:eastAsia="宋体"/>
                <w:sz w:val="16"/>
              </w:rPr>
              <w:t>偏差原因分析及改进措施</w:t>
            </w:r>
          </w:p>
        </w:tc>
      </w:tr>
      <w:tr w14:paraId="1B7709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A5AC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9545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320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4F629">
            <w:pPr>
              <w:jc w:val="center"/>
            </w:pPr>
            <w:r>
              <w:rPr>
                <w:rFonts w:hint="eastAsia" w:ascii="宋体" w:hAnsi="宋体"/>
                <w:sz w:val="16"/>
                <w:lang w:eastAsia="zh-CN"/>
              </w:rPr>
              <w:t>为民办实事</w:t>
            </w:r>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26E1">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2D7FD">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5C6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225C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9608">
            <w:pPr>
              <w:jc w:val="center"/>
            </w:pPr>
          </w:p>
        </w:tc>
      </w:tr>
      <w:tr w14:paraId="520912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E1D4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91CD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B26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BBF27">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0B816">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19D2D">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85DF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E50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EB4AF">
            <w:pPr>
              <w:jc w:val="center"/>
            </w:pPr>
          </w:p>
        </w:tc>
      </w:tr>
      <w:tr w14:paraId="333B16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FB42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079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94B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419AB">
            <w:pPr>
              <w:jc w:val="center"/>
            </w:pPr>
            <w:r>
              <w:rPr>
                <w:rFonts w:ascii="宋体" w:hAnsi="宋体" w:eastAsia="宋体"/>
                <w:sz w:val="16"/>
              </w:rPr>
              <w:t>保障工作队指标人数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B0609">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3EED9">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C2C8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1CD9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83E69">
            <w:pPr>
              <w:jc w:val="center"/>
            </w:pPr>
          </w:p>
        </w:tc>
      </w:tr>
      <w:tr w14:paraId="7BECB3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10E2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CA2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A10D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633A1">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535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FF5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605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94A3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77BE6">
            <w:pPr>
              <w:jc w:val="center"/>
            </w:pPr>
          </w:p>
        </w:tc>
      </w:tr>
      <w:tr w14:paraId="7C06E8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D57F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241B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E00B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EC43F">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3EB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4AC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89C9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BDEA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AD3E3">
            <w:pPr>
              <w:jc w:val="center"/>
            </w:pPr>
          </w:p>
        </w:tc>
      </w:tr>
      <w:tr w14:paraId="6618F5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A8D7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157C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EC6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A8C36">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087E8">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8424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DBE5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007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202F4">
            <w:pPr>
              <w:jc w:val="center"/>
            </w:pPr>
          </w:p>
        </w:tc>
      </w:tr>
      <w:tr w14:paraId="7C6CF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1398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0BFD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C903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A1F67">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52DF1">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B2EDF">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35C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E9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88EB5">
            <w:pPr>
              <w:jc w:val="center"/>
            </w:pPr>
          </w:p>
        </w:tc>
      </w:tr>
      <w:tr w14:paraId="593B0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B8C1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759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6B34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72530">
            <w:pPr>
              <w:jc w:val="center"/>
            </w:pPr>
            <w:r>
              <w:rPr>
                <w:rFonts w:ascii="宋体" w:hAnsi="宋体" w:eastAsia="宋体"/>
                <w:sz w:val="16"/>
              </w:rPr>
              <w:t>做好群众工作，改善群众生活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7BC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36B8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0B4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5844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9F22">
            <w:pPr>
              <w:jc w:val="center"/>
            </w:pPr>
          </w:p>
        </w:tc>
      </w:tr>
      <w:tr w14:paraId="3C0DDA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4326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29E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9B7D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3D62E">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E808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6CAE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E127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556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F9279">
            <w:pPr>
              <w:jc w:val="center"/>
            </w:pPr>
          </w:p>
        </w:tc>
      </w:tr>
      <w:tr w14:paraId="1B34418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630F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BF4E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C09E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118B35">
            <w:pPr>
              <w:jc w:val="center"/>
            </w:pPr>
            <w:r>
              <w:rPr>
                <w:rFonts w:ascii="宋体" w:hAnsi="宋体" w:eastAsia="宋体"/>
                <w:sz w:val="16"/>
              </w:rPr>
              <w:t>100分</w:t>
            </w:r>
          </w:p>
        </w:tc>
      </w:tr>
    </w:tbl>
    <w:p w14:paraId="067CD70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A2FEB8">
        <w:tblPrEx>
          <w:tblCellMar>
            <w:top w:w="0" w:type="dxa"/>
            <w:left w:w="108" w:type="dxa"/>
            <w:bottom w:w="0" w:type="dxa"/>
            <w:right w:w="108" w:type="dxa"/>
          </w:tblCellMar>
        </w:tblPrEx>
        <w:tc>
          <w:tcPr>
            <w:tcW w:w="8847" w:type="dxa"/>
            <w:gridSpan w:val="9"/>
            <w:vAlign w:val="center"/>
          </w:tcPr>
          <w:p w14:paraId="4053879D">
            <w:pPr>
              <w:jc w:val="center"/>
            </w:pPr>
            <w:r>
              <w:rPr>
                <w:rFonts w:ascii="宋体" w:hAnsi="宋体" w:eastAsia="宋体"/>
                <w:sz w:val="24"/>
              </w:rPr>
              <w:t>项目支出绩效自评表</w:t>
            </w:r>
          </w:p>
        </w:tc>
      </w:tr>
      <w:tr w14:paraId="47120DC4">
        <w:tblPrEx>
          <w:tblCellMar>
            <w:top w:w="0" w:type="dxa"/>
            <w:left w:w="108" w:type="dxa"/>
            <w:bottom w:w="0" w:type="dxa"/>
            <w:right w:w="108" w:type="dxa"/>
          </w:tblCellMar>
        </w:tblPrEx>
        <w:tc>
          <w:tcPr>
            <w:tcW w:w="8847" w:type="dxa"/>
            <w:gridSpan w:val="9"/>
            <w:vAlign w:val="center"/>
          </w:tcPr>
          <w:p w14:paraId="402C82F3">
            <w:pPr>
              <w:jc w:val="center"/>
            </w:pPr>
            <w:r>
              <w:rPr>
                <w:rFonts w:ascii="宋体" w:hAnsi="宋体" w:eastAsia="宋体"/>
                <w:sz w:val="24"/>
              </w:rPr>
              <w:t>(2024年度)</w:t>
            </w:r>
          </w:p>
        </w:tc>
      </w:tr>
      <w:tr w14:paraId="140893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999F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CD5C866">
            <w:pPr>
              <w:jc w:val="center"/>
            </w:pPr>
            <w:r>
              <w:rPr>
                <w:rFonts w:ascii="宋体" w:hAnsi="宋体" w:eastAsia="宋体"/>
                <w:sz w:val="16"/>
              </w:rPr>
              <w:t>2024年环境业务执法经费</w:t>
            </w:r>
          </w:p>
        </w:tc>
      </w:tr>
      <w:tr w14:paraId="59D1EC4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5B5B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D061E9">
            <w:pPr>
              <w:jc w:val="center"/>
            </w:pPr>
            <w:r>
              <w:rPr>
                <w:rFonts w:ascii="宋体" w:hAnsi="宋体" w:eastAsia="宋体"/>
                <w:sz w:val="16"/>
              </w:rPr>
              <w:t>和田地区生态环境局策勒县分局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75B3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EA2B46">
            <w:pPr>
              <w:jc w:val="center"/>
            </w:pPr>
            <w:r>
              <w:rPr>
                <w:rFonts w:ascii="宋体" w:hAnsi="宋体" w:eastAsia="宋体"/>
                <w:sz w:val="16"/>
              </w:rPr>
              <w:t>和田地区生态环境局策勒县分局</w:t>
            </w:r>
          </w:p>
        </w:tc>
      </w:tr>
      <w:tr w14:paraId="10C13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842F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D889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B34A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7443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A566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738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EF8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1B095">
            <w:pPr>
              <w:jc w:val="center"/>
            </w:pPr>
            <w:r>
              <w:rPr>
                <w:rFonts w:ascii="宋体" w:hAnsi="宋体" w:eastAsia="宋体"/>
                <w:sz w:val="16"/>
              </w:rPr>
              <w:t>得分</w:t>
            </w:r>
          </w:p>
        </w:tc>
      </w:tr>
      <w:tr w14:paraId="5574C0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5DC8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E3D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2F23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4003B">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6FB6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351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5EA5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4A3EB">
            <w:pPr>
              <w:jc w:val="center"/>
            </w:pPr>
            <w:r>
              <w:rPr>
                <w:rFonts w:ascii="宋体" w:hAnsi="宋体" w:eastAsia="宋体"/>
                <w:sz w:val="16"/>
              </w:rPr>
              <w:t>10.00分</w:t>
            </w:r>
          </w:p>
        </w:tc>
      </w:tr>
      <w:tr w14:paraId="0AAC7D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44BC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5B40">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C53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8331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B68D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72EB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C01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A8F9A">
            <w:pPr>
              <w:jc w:val="center"/>
            </w:pPr>
            <w:r>
              <w:rPr>
                <w:rFonts w:ascii="宋体" w:hAnsi="宋体" w:eastAsia="宋体"/>
                <w:sz w:val="16"/>
              </w:rPr>
              <w:t>—</w:t>
            </w:r>
          </w:p>
        </w:tc>
      </w:tr>
      <w:tr w14:paraId="548194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D42D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DEB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9A23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BA4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96C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579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C0D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4A321">
            <w:pPr>
              <w:jc w:val="center"/>
            </w:pPr>
            <w:r>
              <w:rPr>
                <w:rFonts w:ascii="宋体" w:hAnsi="宋体" w:eastAsia="宋体"/>
                <w:sz w:val="16"/>
              </w:rPr>
              <w:t>—</w:t>
            </w:r>
          </w:p>
        </w:tc>
      </w:tr>
      <w:tr w14:paraId="5454F1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9EEB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1F8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954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36B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DB9F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707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5B5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30D97">
            <w:pPr>
              <w:jc w:val="center"/>
            </w:pPr>
            <w:r>
              <w:rPr>
                <w:rFonts w:ascii="宋体" w:hAnsi="宋体" w:eastAsia="宋体"/>
                <w:sz w:val="16"/>
              </w:rPr>
              <w:t>—</w:t>
            </w:r>
          </w:p>
        </w:tc>
      </w:tr>
      <w:tr w14:paraId="6FBB9E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A25A5F">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28AAA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902C1">
            <w:pPr>
              <w:jc w:val="center"/>
            </w:pPr>
            <w:r>
              <w:rPr>
                <w:rFonts w:ascii="宋体" w:hAnsi="宋体" w:eastAsia="宋体"/>
                <w:sz w:val="16"/>
              </w:rPr>
              <w:t>实际完成情况</w:t>
            </w:r>
          </w:p>
        </w:tc>
      </w:tr>
      <w:tr w14:paraId="4AB962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BA3A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7B4437">
            <w:pPr>
              <w:jc w:val="both"/>
            </w:pPr>
            <w:r>
              <w:rPr>
                <w:rFonts w:ascii="宋体" w:hAnsi="宋体" w:eastAsia="宋体"/>
                <w:sz w:val="16"/>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1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255A35">
            <w:pPr>
              <w:jc w:val="both"/>
            </w:pPr>
            <w:r>
              <w:rPr>
                <w:rFonts w:hint="eastAsia" w:ascii="宋体" w:hAnsi="宋体"/>
                <w:sz w:val="16"/>
                <w:lang w:eastAsia="zh-CN"/>
              </w:rPr>
              <w:t>截至</w:t>
            </w:r>
            <w:r>
              <w:rPr>
                <w:rFonts w:ascii="宋体" w:hAnsi="宋体" w:eastAsia="宋体"/>
                <w:sz w:val="16"/>
              </w:rPr>
              <w:t>2024年12月31日，本项目实际形成支出8万元，已完成2024年度开展执法次数10次，2024年度办理行政执法案件数量1件的任务，达到了提升群众的环保意识的效益，群众对生态环境工作的满意度达到100%。</w:t>
            </w:r>
          </w:p>
        </w:tc>
      </w:tr>
      <w:tr w14:paraId="6A0247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4183D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A500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7299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443E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189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9D2A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DB1F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9C9D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70FA7">
            <w:pPr>
              <w:jc w:val="center"/>
            </w:pPr>
            <w:r>
              <w:rPr>
                <w:rFonts w:ascii="宋体" w:hAnsi="宋体" w:eastAsia="宋体"/>
                <w:sz w:val="16"/>
              </w:rPr>
              <w:t>偏差原因分析及改进措施</w:t>
            </w:r>
          </w:p>
        </w:tc>
      </w:tr>
      <w:tr w14:paraId="3BF5E0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FA6A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7CE91">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6F84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ED38B">
            <w:pPr>
              <w:jc w:val="center"/>
            </w:pPr>
            <w:r>
              <w:rPr>
                <w:rFonts w:ascii="宋体" w:hAnsi="宋体" w:eastAsia="宋体"/>
                <w:sz w:val="16"/>
              </w:rPr>
              <w:t>2024年度开展执法次数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77758">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D1092D">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2A65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8C7F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00C65">
            <w:pPr>
              <w:jc w:val="center"/>
            </w:pPr>
          </w:p>
        </w:tc>
      </w:tr>
      <w:tr w14:paraId="6935C9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076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66E3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9614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41E5B">
            <w:pPr>
              <w:jc w:val="center"/>
            </w:pPr>
            <w:r>
              <w:rPr>
                <w:rFonts w:ascii="宋体" w:hAnsi="宋体" w:eastAsia="宋体"/>
                <w:sz w:val="16"/>
              </w:rPr>
              <w:t>2024年度办理行政执法案件数量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73035">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73527">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C82C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A2A5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8888">
            <w:pPr>
              <w:jc w:val="center"/>
            </w:pPr>
          </w:p>
        </w:tc>
      </w:tr>
      <w:tr w14:paraId="10492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E6058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897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2FDD3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65E4E">
            <w:pPr>
              <w:jc w:val="center"/>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A34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D2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11A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D69B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2332E">
            <w:pPr>
              <w:jc w:val="center"/>
            </w:pPr>
          </w:p>
        </w:tc>
      </w:tr>
      <w:tr w14:paraId="1B4B6E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484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B950F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71A7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9857">
            <w:pPr>
              <w:jc w:val="center"/>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875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95E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CA26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E53B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621DB">
            <w:pPr>
              <w:jc w:val="center"/>
            </w:pPr>
          </w:p>
        </w:tc>
      </w:tr>
      <w:tr w14:paraId="067A76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F4E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82F3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1D9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02B64">
            <w:pPr>
              <w:jc w:val="center"/>
            </w:pPr>
            <w:r>
              <w:rPr>
                <w:rFonts w:ascii="宋体" w:hAnsi="宋体" w:eastAsia="宋体"/>
                <w:sz w:val="16"/>
              </w:rPr>
              <w:t>环境应急调度系统建设及时率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A28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753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9E4D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9017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42180">
            <w:pPr>
              <w:jc w:val="center"/>
            </w:pPr>
          </w:p>
        </w:tc>
      </w:tr>
      <w:tr w14:paraId="72516C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CCA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AD69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9B8E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BF60E">
            <w:pPr>
              <w:jc w:val="center"/>
            </w:pPr>
            <w:r>
              <w:rPr>
                <w:rFonts w:ascii="宋体" w:hAnsi="宋体" w:eastAsia="宋体"/>
                <w:sz w:val="16"/>
              </w:rPr>
              <w:t>2024年度执法业务成本费用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2E08">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D805C">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54C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AE51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23A3B">
            <w:pPr>
              <w:jc w:val="center"/>
            </w:pPr>
          </w:p>
        </w:tc>
      </w:tr>
      <w:tr w14:paraId="6F120C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44D7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C18A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1B06">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B2DD2">
            <w:pPr>
              <w:jc w:val="center"/>
            </w:pPr>
            <w:r>
              <w:rPr>
                <w:rFonts w:ascii="宋体" w:hAnsi="宋体" w:eastAsia="宋体"/>
                <w:sz w:val="16"/>
              </w:rPr>
              <w:t>有效提高社会对生态环境违法行为的重视度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5ABF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D49B">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BEA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2C0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BA21">
            <w:pPr>
              <w:jc w:val="center"/>
            </w:pPr>
          </w:p>
        </w:tc>
      </w:tr>
      <w:tr w14:paraId="6196DE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4BE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90D68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E3C96">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24AFE">
            <w:pPr>
              <w:jc w:val="center"/>
            </w:pPr>
            <w:r>
              <w:rPr>
                <w:rFonts w:ascii="宋体" w:hAnsi="宋体" w:eastAsia="宋体"/>
                <w:sz w:val="16"/>
              </w:rPr>
              <w:t>2024年度县域生态环境质量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B3827">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FDF2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3773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906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EF511">
            <w:pPr>
              <w:jc w:val="center"/>
            </w:pPr>
          </w:p>
        </w:tc>
      </w:tr>
      <w:tr w14:paraId="1CE15E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37AF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2648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E625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DA24">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7B4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D1F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C19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19B8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801F9">
            <w:pPr>
              <w:jc w:val="center"/>
            </w:pPr>
          </w:p>
        </w:tc>
      </w:tr>
      <w:tr w14:paraId="310BAD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9BBF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DDFF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3860">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5BE027">
            <w:pPr>
              <w:jc w:val="center"/>
            </w:pPr>
            <w:r>
              <w:rPr>
                <w:rFonts w:ascii="宋体" w:hAnsi="宋体" w:eastAsia="宋体"/>
                <w:sz w:val="16"/>
              </w:rPr>
              <w:t>100分</w:t>
            </w:r>
          </w:p>
        </w:tc>
      </w:tr>
    </w:tbl>
    <w:p w14:paraId="3F64A715">
      <w:r>
        <w:br w:type="page"/>
      </w:r>
    </w:p>
    <w:p w14:paraId="1B7859DC">
      <w:pPr>
        <w:spacing w:line="640" w:lineRule="exact"/>
        <w:ind w:firstLine="640"/>
        <w:jc w:val="both"/>
        <w:outlineLvl w:val="2"/>
      </w:pPr>
      <w:r>
        <w:rPr>
          <w:rFonts w:ascii="黑体" w:hAnsi="黑体" w:eastAsia="黑体"/>
          <w:sz w:val="32"/>
        </w:rPr>
        <w:t>十二、其他需说明的事项</w:t>
      </w:r>
    </w:p>
    <w:p w14:paraId="27D6C041">
      <w:pPr>
        <w:spacing w:line="580" w:lineRule="exact"/>
        <w:ind w:firstLine="640"/>
        <w:jc w:val="both"/>
      </w:pPr>
      <w:r>
        <w:rPr>
          <w:rFonts w:ascii="仿宋_GB2312" w:hAnsi="仿宋_GB2312" w:eastAsia="仿宋_GB2312"/>
          <w:b w:val="0"/>
          <w:sz w:val="32"/>
        </w:rPr>
        <w:t>本单位无其他需说明的事项。</w:t>
      </w:r>
    </w:p>
    <w:p w14:paraId="0E59E0F6">
      <w:r>
        <w:br w:type="page"/>
      </w:r>
    </w:p>
    <w:p w14:paraId="507D3E79">
      <w:pPr>
        <w:spacing w:line="240" w:lineRule="auto"/>
        <w:jc w:val="center"/>
        <w:outlineLvl w:val="1"/>
      </w:pPr>
      <w:r>
        <w:rPr>
          <w:rFonts w:ascii="黑体" w:hAnsi="黑体" w:eastAsia="黑体"/>
          <w:sz w:val="32"/>
        </w:rPr>
        <w:t>第三部分 专业名词解释</w:t>
      </w:r>
    </w:p>
    <w:p w14:paraId="5C6A39B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0242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F802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BFC165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CA6246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39ECFC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F4A99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3412C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2A94E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8D2A0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73A65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DAC7CD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EC5FA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819F3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CB110D">
      <w:r>
        <w:br w:type="page"/>
      </w:r>
    </w:p>
    <w:p w14:paraId="5BA56DF3">
      <w:pPr>
        <w:spacing w:line="240" w:lineRule="auto"/>
        <w:jc w:val="center"/>
        <w:outlineLvl w:val="1"/>
      </w:pPr>
      <w:r>
        <w:rPr>
          <w:rFonts w:ascii="黑体" w:hAnsi="黑体" w:eastAsia="黑体"/>
          <w:sz w:val="32"/>
        </w:rPr>
        <w:t>第四部分 部门决算报表（见附表）</w:t>
      </w:r>
    </w:p>
    <w:p w14:paraId="365AE9D1">
      <w:pPr>
        <w:spacing w:line="240" w:lineRule="auto"/>
        <w:ind w:firstLine="640"/>
        <w:jc w:val="both"/>
      </w:pPr>
      <w:r>
        <w:rPr>
          <w:rFonts w:ascii="仿宋_GB2312" w:hAnsi="仿宋_GB2312" w:eastAsia="仿宋_GB2312"/>
          <w:b w:val="0"/>
          <w:sz w:val="32"/>
        </w:rPr>
        <w:t>一、《收入支出决算总表》</w:t>
      </w:r>
    </w:p>
    <w:p w14:paraId="3A44077D">
      <w:pPr>
        <w:spacing w:line="240" w:lineRule="auto"/>
        <w:ind w:firstLine="640"/>
        <w:jc w:val="both"/>
      </w:pPr>
      <w:r>
        <w:rPr>
          <w:rFonts w:ascii="仿宋_GB2312" w:hAnsi="仿宋_GB2312" w:eastAsia="仿宋_GB2312"/>
          <w:b w:val="0"/>
          <w:sz w:val="32"/>
        </w:rPr>
        <w:t>二、《收入决算表》</w:t>
      </w:r>
    </w:p>
    <w:p w14:paraId="43FF4F68">
      <w:pPr>
        <w:spacing w:line="240" w:lineRule="auto"/>
        <w:ind w:firstLine="640"/>
        <w:jc w:val="both"/>
      </w:pPr>
      <w:r>
        <w:rPr>
          <w:rFonts w:ascii="仿宋_GB2312" w:hAnsi="仿宋_GB2312" w:eastAsia="仿宋_GB2312"/>
          <w:b w:val="0"/>
          <w:sz w:val="32"/>
        </w:rPr>
        <w:t>三、《支出决算表》</w:t>
      </w:r>
    </w:p>
    <w:p w14:paraId="75179E9E">
      <w:pPr>
        <w:spacing w:line="240" w:lineRule="auto"/>
        <w:ind w:firstLine="640"/>
        <w:jc w:val="both"/>
      </w:pPr>
      <w:r>
        <w:rPr>
          <w:rFonts w:ascii="仿宋_GB2312" w:hAnsi="仿宋_GB2312" w:eastAsia="仿宋_GB2312"/>
          <w:b w:val="0"/>
          <w:sz w:val="32"/>
        </w:rPr>
        <w:t>四、《财政拨款收入支出决算总表》</w:t>
      </w:r>
    </w:p>
    <w:p w14:paraId="2B7B5700">
      <w:pPr>
        <w:spacing w:line="240" w:lineRule="auto"/>
        <w:ind w:firstLine="640"/>
        <w:jc w:val="both"/>
      </w:pPr>
      <w:r>
        <w:rPr>
          <w:rFonts w:ascii="仿宋_GB2312" w:hAnsi="仿宋_GB2312" w:eastAsia="仿宋_GB2312"/>
          <w:b w:val="0"/>
          <w:sz w:val="32"/>
        </w:rPr>
        <w:t>五、《一般公共预算财政拨款支出决算表》</w:t>
      </w:r>
    </w:p>
    <w:p w14:paraId="77BF9CDB">
      <w:pPr>
        <w:spacing w:line="240" w:lineRule="auto"/>
        <w:ind w:firstLine="640"/>
        <w:jc w:val="both"/>
      </w:pPr>
      <w:r>
        <w:rPr>
          <w:rFonts w:ascii="仿宋_GB2312" w:hAnsi="仿宋_GB2312" w:eastAsia="仿宋_GB2312"/>
          <w:b w:val="0"/>
          <w:sz w:val="32"/>
        </w:rPr>
        <w:t>六、《一般公共预算财政拨款基本支出决算表》</w:t>
      </w:r>
    </w:p>
    <w:p w14:paraId="0B0610DC">
      <w:pPr>
        <w:spacing w:line="240" w:lineRule="auto"/>
        <w:ind w:firstLine="640"/>
        <w:jc w:val="both"/>
      </w:pPr>
      <w:r>
        <w:rPr>
          <w:rFonts w:ascii="仿宋_GB2312" w:hAnsi="仿宋_GB2312" w:eastAsia="仿宋_GB2312"/>
          <w:b w:val="0"/>
          <w:sz w:val="32"/>
        </w:rPr>
        <w:t>七、《政府性基金预算财政拨款收入支出决算表》</w:t>
      </w:r>
    </w:p>
    <w:p w14:paraId="727427D6">
      <w:pPr>
        <w:spacing w:line="240" w:lineRule="auto"/>
        <w:ind w:firstLine="640"/>
        <w:jc w:val="both"/>
      </w:pPr>
      <w:r>
        <w:rPr>
          <w:rFonts w:ascii="仿宋_GB2312" w:hAnsi="仿宋_GB2312" w:eastAsia="仿宋_GB2312"/>
          <w:b w:val="0"/>
          <w:sz w:val="32"/>
        </w:rPr>
        <w:t>八、《国有资本经营预算财政拨款收入支出决算表》</w:t>
      </w:r>
    </w:p>
    <w:p w14:paraId="354998BA">
      <w:pPr>
        <w:spacing w:line="240" w:lineRule="auto"/>
        <w:ind w:firstLine="640"/>
        <w:jc w:val="both"/>
      </w:pPr>
      <w:r>
        <w:rPr>
          <w:rFonts w:ascii="仿宋_GB2312" w:hAnsi="仿宋_GB2312" w:eastAsia="仿宋_GB2312"/>
          <w:b w:val="0"/>
          <w:sz w:val="32"/>
        </w:rPr>
        <w:t>九、《财政拨款“三公”经费支出决算表》</w:t>
      </w:r>
    </w:p>
    <w:p w14:paraId="3613F0F4">
      <w:pPr>
        <w:spacing w:line="240" w:lineRule="auto"/>
        <w:ind w:firstLine="640"/>
        <w:jc w:val="both"/>
      </w:pPr>
    </w:p>
    <w:p w14:paraId="5308320F">
      <w:pPr>
        <w:spacing w:line="240" w:lineRule="auto"/>
        <w:ind w:firstLine="640"/>
        <w:jc w:val="both"/>
      </w:pPr>
    </w:p>
    <w:p w14:paraId="5D2F9B79">
      <w:pPr>
        <w:spacing w:line="240" w:lineRule="auto"/>
        <w:ind w:firstLine="640"/>
        <w:jc w:val="both"/>
      </w:pPr>
    </w:p>
    <w:p w14:paraId="38DD8AE2">
      <w:pPr>
        <w:spacing w:line="240" w:lineRule="auto"/>
        <w:ind w:firstLine="640"/>
        <w:jc w:val="both"/>
      </w:pPr>
    </w:p>
    <w:p w14:paraId="4B75C9A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503050405090304"/>
    <w:charset w:val="86"/>
    <w:family w:val="auto"/>
    <w:pitch w:val="default"/>
    <w:sig w:usb0="00000000" w:usb1="00000000" w:usb2="00000001" w:usb3="00000000" w:csb0="400001BF" w:csb1="DFF7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036A58"/>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FA4A59"/>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EEE4AA"/>
    <w:rsid w:val="6FDE1CD3"/>
    <w:rsid w:val="71473612"/>
    <w:rsid w:val="718F7F65"/>
    <w:rsid w:val="73423603"/>
    <w:rsid w:val="737A5923"/>
    <w:rsid w:val="73DE4104"/>
    <w:rsid w:val="73FB6630"/>
    <w:rsid w:val="74CE04EC"/>
    <w:rsid w:val="74E76DCD"/>
    <w:rsid w:val="76660D7C"/>
    <w:rsid w:val="77ED6F44"/>
    <w:rsid w:val="795A0A34"/>
    <w:rsid w:val="7A0D3BC7"/>
    <w:rsid w:val="7A3A3CDB"/>
    <w:rsid w:val="DDE76089"/>
    <w:rsid w:val="E1C39604"/>
    <w:rsid w:val="F7C5E6F1"/>
    <w:rsid w:val="FA3287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4522</Words>
  <Characters>5258</Characters>
  <Lines>0</Lines>
  <Paragraphs>0</Paragraphs>
  <TotalTime>33</TotalTime>
  <ScaleCrop>false</ScaleCrop>
  <LinksUpToDate>false</LinksUpToDate>
  <CharactersWithSpaces>5266</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sugon</cp:lastModifiedBy>
  <cp:lastPrinted>2025-10-14T17:01:43Z</cp:lastPrinted>
  <dcterms:modified xsi:type="dcterms:W3CDTF">2025-10-14T17:02:27Z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eyJoZGlkIjoiZjZjY2YzNDY3YWM4YThjNjdkZTk2MDAwYjE2OGQzNDQiLCJ1c2VySWQiOiIyNTk4NTcxMjUifQ==</vt:lpwstr>
  </property>
</Properties>
</file>