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21713">
      <w:pPr>
        <w:keepNext w:val="0"/>
        <w:keepLines w:val="0"/>
        <w:pageBreakBefore w:val="0"/>
        <w:widowControl w:val="0"/>
        <w:kinsoku/>
        <w:wordWrap/>
        <w:overflowPunct/>
        <w:topLinePunct w:val="0"/>
        <w:autoSpaceDE/>
        <w:autoSpaceDN/>
        <w:bidi w:val="0"/>
        <w:adjustRightInd/>
        <w:snapToGrid/>
        <w:spacing w:before="625" w:beforeLines="200" w:line="400" w:lineRule="exact"/>
        <w:ind w:left="0" w:firstLine="420" w:firstLineChars="200"/>
        <w:jc w:val="left"/>
        <w:textAlignment w:val="auto"/>
      </w:pPr>
    </w:p>
    <w:p w14:paraId="161E3346">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附件2：</w:t>
      </w:r>
    </w:p>
    <w:p w14:paraId="7FDE40FE">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sz w:val="32"/>
          <w:szCs w:val="32"/>
          <w:highlight w:val="none"/>
          <w:lang w:val="en-US" w:eastAsia="zh-CN"/>
        </w:rPr>
      </w:pPr>
    </w:p>
    <w:p w14:paraId="661ACC01">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4BCCB4C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项目支出绩效自评报告</w:t>
      </w:r>
    </w:p>
    <w:p w14:paraId="71111AEF">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DFF635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（2024年度）</w:t>
      </w:r>
    </w:p>
    <w:p w14:paraId="4F500FD7">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5C3C5914">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r>
        <w:rPr>
          <w:rFonts w:hint="eastAsia" w:ascii="黑体" w:hAnsi="黑体" w:eastAsia="黑体"/>
          <w:sz w:val="32"/>
          <w:szCs w:val="32"/>
          <w:highlight w:val="none"/>
          <w:lang w:val="en-US" w:eastAsia="zh-CN"/>
        </w:rPr>
        <w:t xml:space="preserve">     </w:t>
      </w:r>
    </w:p>
    <w:p w14:paraId="779B18A6">
      <w:pPr>
        <w:spacing w:line="700" w:lineRule="exact"/>
        <w:ind w:firstLine="900" w:firstLineChars="250"/>
        <w:jc w:val="left"/>
        <w:rPr>
          <w:rFonts w:hint="eastAsia" w:ascii="Times New Roman" w:hAnsi="宋体" w:eastAsia="仿宋_GB2312" w:cs="宋体"/>
          <w:kern w:val="0"/>
          <w:sz w:val="36"/>
          <w:szCs w:val="36"/>
          <w:lang w:val="en-US" w:eastAsia="zh-CN"/>
        </w:rPr>
      </w:pPr>
    </w:p>
    <w:p w14:paraId="5252080D">
      <w:pPr>
        <w:spacing w:line="700" w:lineRule="exact"/>
        <w:ind w:firstLine="900" w:firstLineChars="250"/>
        <w:jc w:val="left"/>
        <w:rPr>
          <w:rFonts w:hint="eastAsia" w:ascii="Times New Roman" w:hAnsi="宋体" w:eastAsia="仿宋_GB2312" w:cs="宋体"/>
          <w:kern w:val="0"/>
          <w:sz w:val="36"/>
          <w:szCs w:val="36"/>
          <w:lang w:val="en-US" w:eastAsia="zh-CN"/>
        </w:rPr>
      </w:pPr>
    </w:p>
    <w:p w14:paraId="3F7CF16C">
      <w:pPr>
        <w:spacing w:line="700" w:lineRule="exact"/>
        <w:ind w:firstLine="900" w:firstLineChars="250"/>
        <w:jc w:val="left"/>
        <w:rPr>
          <w:rFonts w:hint="eastAsia" w:ascii="Times New Roman" w:hAnsi="宋体" w:eastAsia="仿宋_GB2312" w:cs="宋体"/>
          <w:kern w:val="0"/>
          <w:sz w:val="36"/>
          <w:szCs w:val="36"/>
          <w:lang w:val="en-US" w:eastAsia="zh-CN"/>
        </w:rPr>
      </w:pPr>
    </w:p>
    <w:p w14:paraId="738EA964">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项目名称：2024年环境质量监测服务项目（重点生态功能区、声功能区及农村生态）-本级</w:t>
      </w:r>
    </w:p>
    <w:p w14:paraId="3F0FD15A">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实施单位（公章）：和田地区生态环境局</w:t>
      </w:r>
    </w:p>
    <w:p w14:paraId="38CD08BF">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主管部门（公章）：和田地区生态环境局</w:t>
      </w:r>
    </w:p>
    <w:p w14:paraId="665375F9">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项目负责人（签章）：张光文</w:t>
      </w:r>
    </w:p>
    <w:p w14:paraId="2562D36D">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填报时间：2025年03月25日</w:t>
      </w:r>
    </w:p>
    <w:p w14:paraId="32B538E8">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sz w:val="32"/>
          <w:szCs w:val="32"/>
          <w:highlight w:val="none"/>
          <w:lang w:val="en-US" w:eastAsia="zh-CN"/>
        </w:rPr>
      </w:pPr>
    </w:p>
    <w:p w14:paraId="7F3AF4EE">
      <w:pPr>
        <w:keepNext w:val="0"/>
        <w:keepLines w:val="0"/>
        <w:pageBreakBefore w:val="0"/>
        <w:widowControl w:val="0"/>
        <w:kinsoku/>
        <w:wordWrap/>
        <w:overflowPunct/>
        <w:topLinePunct w:val="0"/>
        <w:autoSpaceDE/>
        <w:autoSpaceDN/>
        <w:bidi w:val="0"/>
        <w:snapToGrid/>
        <w:spacing w:line="400" w:lineRule="exact"/>
        <w:jc w:val="left"/>
        <w:textAlignment w:val="auto"/>
        <w:outlineLvl w:val="2"/>
        <w:rPr>
          <w:rFonts w:hint="eastAsia" w:ascii="黑体" w:hAnsi="黑体" w:eastAsia="黑体" w:cs="Times New Roman"/>
          <w:sz w:val="32"/>
        </w:rPr>
      </w:pPr>
    </w:p>
    <w:p w14:paraId="07F539A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2888D9B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3D9272C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4CFC342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0619A297">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7FE64903">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ascii="黑体" w:hAnsi="黑体" w:eastAsia="黑体" w:cs="Times New Roman"/>
          <w:sz w:val="32"/>
        </w:rPr>
      </w:pPr>
      <w:r>
        <w:rPr>
          <w:rFonts w:hint="eastAsia" w:ascii="黑体" w:hAnsi="黑体" w:eastAsia="黑体" w:cs="Times New Roman"/>
          <w:sz w:val="32"/>
        </w:rPr>
        <w:t>一、基本情况</w:t>
      </w:r>
    </w:p>
    <w:p w14:paraId="125D4063">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（一）项目概况</w:t>
      </w:r>
    </w:p>
    <w:p w14:paraId="4E1A8C87">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1.项目背景</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政策法规的刚性要求：环境质量监测是衡量政策执行效果的关键手段，通过实时、准确的数据反馈，相关部门能够及时调整环境管理策略，确保政策落地。在地方层面，许多城市和地区依据国家政策，制定了更为细化的环境质量监测计划，要求监测机构不断提升监测能力，扩大监测范围，为地方环保工作提供有力保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公众对环境质量知情权的保障诉求：随着生活水平的提高，公众对环境质量的关注度和要求越来越高，对自身生活环境的质量有了更多期待，渴望及时、准确地了解身边的环境状况。环境质量信息公开不仅是满足公众知情权的重要举措，也是推动公众参与环境保护的基础。</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推动产业绿色转型的必要支撑：环境质量监测数据不仅为环保管理提供依据，也对产业发展具有重要指导作用。在当前绿色发展的大趋势下，企业需要准确了解自身生产活动对环境的影响，以便采取有效的节能减排措施，降低环境风险，实现可持续发展。环境质量监测可以为企业提供周边环境质量数据，帮助企业评估自身生产活动的环境影响，优化生产工艺，改进环保设施。同时，政府可以依据监测数据，制定产业发展政策，引导资源向环保型产业倾斜，推动产业结构调整和绿色转型，实现经济发展与环境保护的良性互动，特此设立该项目。</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2.主要内容</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完成2024年七县一市县域地表水水质监测96次；千吨万人地表水水质监测32次；农村生态环境空气质量监测56次；县域重点污染源监测36次；集中式饮用水水源地监测地下水16次；噪声点位评估报告和噪声监测、县级饮用水水源地监测7次。</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3.实施情况</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实施主体：和田地区生态环境局。实施时间：本项目实施期限为2024年01月—2024年12月。实施情况：确定监测目标</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选择监测指标</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确定监测点位</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规划监测频率</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项目实施阶段：规范采样流程</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开展现场监测</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样品分析</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对分析过程进行监控确保数据的完整性和准确性，为后续的数据分析提供可靠依据</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项目实施效果评估阶段：数据分析</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监测报告编制</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效果评估与反馈。</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4.资金投入和使用情况</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（1）项目资金安排落实、总投入等情况分析</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本项目预算安排总额为250万元，资金来源为本级部门预算（本级财政资金），其中：财政资金250万元，其他资金0万元，2024年实际收到预算资金250万元，预算资金到位率为100%。</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（2）项目资金实际使用情况分析</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本项目实际支付资金223.62万元，预算执行率89.45%，结转资金26.38万元。本项目资金主要用于支付委托业务费用223.62万元。</w:t>
      </w:r>
    </w:p>
    <w:p w14:paraId="4229E52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（二）项目绩效目标</w:t>
      </w:r>
    </w:p>
    <w:p w14:paraId="69C061DB">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仿宋_GB2312" w:hAnsi="Times New Roman" w:eastAsia="仿宋_GB2312" w:cs="Times New Roman"/>
          <w:sz w:val="32"/>
          <w:szCs w:val="32"/>
          <w:lang w:val="en-US" w:eastAsia="zh-CN"/>
        </w:rPr>
        <w:t>1.总体目标：该项目2024年全面完成和田地区七县一市内128个水质检查监测点、农村环境空气质量监测点56个、县域重点污染源监测36个、集中式饮用水水源地监测地下水16个、噪声点位评估报告和噪声监测、县级饮用水水源地监测7个、土壤环境质量监测12个。通过完成以上各项环境监测工作，有效提升了全地区环保监管能力，有效改善全区生态环境质量，有效保障环境安全。</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w:t>
      </w:r>
      <w:r>
        <w:rPr>
          <w:rFonts w:hint="eastAsia" w:ascii="黑体" w:hAnsi="黑体" w:eastAsia="黑体" w:cs="Times New Roman"/>
          <w:sz w:val="32"/>
        </w:rPr>
        <w:t>二、绩效评价工作开展情况</w:t>
      </w:r>
    </w:p>
    <w:p w14:paraId="687FF4C3">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（一）绩效评价目的、对象和范围</w:t>
      </w:r>
    </w:p>
    <w:p w14:paraId="1A6B5EDE">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1.绩效评价的目的</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质量监测服务项目（重点生态功能区、声功能区及农村生态）-本级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2.绩效评价对象</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此次我单位根据《财政支出绩效评价管理暂行办法》（财预〔2020〕10号）文件要求实施评价工作，本次评价对象为2024年环境质量监测服务项目（重点生态功能区、声功能区及农村生态）-本级项目，评价核心为项目的资金投入、产出及效益。</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3.绩效评价范围</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C9F8B10">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（二）绩效评价原则、评价指标体系、评价方法、评价标准</w:t>
      </w:r>
    </w:p>
    <w:p w14:paraId="164F381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1.绩效评价原则</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1）科学公正</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（2）统筹兼顾</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（3）激励约束（4）公开透明</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根据以上原则，绩效评价应遵循如下要求:（1）在数据采集时，采取客观数据，主管部门审查、社会中介组织复查，与问卷调查相结合的形式，以保证各项指标的真实性。（2）保证评价结果的真实性、公正性，提高评价报告的公信力。</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2.绩效评价指标体系</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3.评价方法</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三级指标分析环节：总体采用比较法，同时辅以文献法、成本效益法、因素分析法以及公众评判法，根据不同三级指标类型进行逐项分析。</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立项依据充分性：比较法、文献法，查找法律法规政策以及规划，对比实际执行内容和政策支持内容是否匹配。</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绩效目标合理性：比较法，对比分析年初编制项目支出绩效目标表与项目内容的相关性、资金的匹配性等。</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绩效指标明确性：比较法，比较分析年初编制项目支出绩效目标表是否符合双七原则，是否可衡量。</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预算编制科学性：成本效益分析法，分析在产出一定的情况下，成本取值是否有依据，是否经过询价，是否按照市场最低成本编制。</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资金分配合理性：因素分析法，综合分析资金的分配依据是否充分，分配金额是否与项目实施单位需求金额一致，</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资金到位率：比较法，资金到位率预期指标值应为100%，通过实际计算，分析实际完成值和预期指标值之间的差距和原因。</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预算执行率：比较法，预算执行率预期指标值应为100%，通过实际计算，分析实际完成值和预期指标值之间的差距和原因。</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制度执行有效性：比较法，结合项目实际实施过程性文件，根据已建设的财务管理制度和项目管理制度综合分析制度执行的有效性。</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定性指标：公众评判法，通过问卷及抽样调查等方式评价本项目实施后社会公众对于其实施效果的满意程度。</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4.评价标准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9FB439E">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（三）绩效评价工作过程</w:t>
      </w:r>
    </w:p>
    <w:p w14:paraId="03BC24A2">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1.前期准备</w:t>
      </w:r>
      <w:r>
        <w:rPr>
          <w:rFonts w:hint="eastAsia" w:ascii="仿宋_GB2312" w:hAnsi="Times New Roman" w:eastAsia="仿宋_GB2312" w:cs="Times New Roman"/>
          <w:sz w:val="32"/>
          <w:szCs w:val="32"/>
          <w:lang w:eastAsia="zh-CN"/>
        </w:rPr>
        <w:t>：</w:t>
      </w:r>
    </w:p>
    <w:p w14:paraId="23706BC8">
      <w:pPr>
        <w:keepNext w:val="0"/>
        <w:keepLines w:val="0"/>
        <w:pageBreakBefore w:val="0"/>
        <w:widowControl w:val="0"/>
        <w:kinsoku/>
        <w:wordWrap/>
        <w:overflowPunct/>
        <w:topLinePunct w:val="0"/>
        <w:autoSpaceDE/>
        <w:autoSpaceDN/>
        <w:bidi w:val="0"/>
        <w:adjustRightInd w:val="0"/>
        <w:snapToGrid/>
        <w:spacing w:line="400" w:lineRule="exact"/>
        <w:ind w:left="0" w:firstLine="640" w:firstLineChars="2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艾合买提江·阿布都巴克（评价小组组长）：主要负责绩效评价工作职责为负责全盘工作；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侯世强（评价小组副组长）：主要负责协助制定计划、组织实施评价、审核评价结果、协调沟通工作；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李明（评价小组组员）：主要负责数据收集、资料整理、数据分析、参与实地考察、沟通协调工作。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2.组织实施</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3.分析评价</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4.撰写与提交评价报告</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2025年4月1日—4月4日评价小组撰写绩效评价报告，按照新疆维吾尔自治区财政绩效管理信息系统绩效评价模块中统一格式和文本框架撰写绩效评价报告并提交审核。</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5.问题整改</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6.档案整理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建立和落实档案管理制度，将项目相关资料存档，包括但不限于：评价项目基本情况和相关文件、评价实施方案、项目支付资料等相关档案。</w:t>
      </w:r>
    </w:p>
    <w:p w14:paraId="0E57BD78">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三、综合评价情况及评价结论</w:t>
      </w:r>
    </w:p>
    <w:p w14:paraId="6A52BD5F">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（一）综合评价情况</w:t>
      </w:r>
    </w:p>
    <w:p w14:paraId="66787C5D">
      <w:pPr>
        <w:keepNext w:val="0"/>
        <w:keepLines w:val="0"/>
        <w:pageBreakBefore w:val="0"/>
        <w:widowControl w:val="0"/>
        <w:kinsoku/>
        <w:wordWrap/>
        <w:overflowPunct/>
        <w:topLinePunct w:val="0"/>
        <w:autoSpaceDE/>
        <w:autoSpaceDN/>
        <w:bidi w:val="0"/>
        <w:adjustRightInd/>
        <w:snapToGrid/>
        <w:spacing w:line="400" w:lineRule="exact"/>
        <w:ind w:left="0" w:leftChars="0" w:firstLine="640" w:firstLineChars="200"/>
        <w:jc w:val="left"/>
        <w:textAlignment w:val="auto"/>
        <w:outlineLvl w:val="2"/>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经评价，本项目部分达成年初设立的绩效目标，在实施过程中取得了良好的成效，具体表现在以下方面：</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一是：提升环保监管能力：紧跟《国务院办公厅关于加强环境监管执法的通知》制定的土壤环境保护、大气污染防治等领域的法律法规，提高重点行业环境准入门槛。进一步做好环保监管工作，有效提升政府的治理能力和责任担当，增强了政府在公众心目中的形象和公信力。保障公众健康，增强社会凝聚力。</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二是：改善全区生态环境质量：我单位全力生态环境各项数据的监测工作。通过政府网站、社交媒体等渠道，及时向社会公开环境质量、污染源排放、环境执法等信息。统筹运用环境政策工具，将环境法律法规、标准规范、经济激励政策、行政许可等多种政策工具相结合，形成协同效应。切实改善全区生态环境质量。</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w:t>
      </w:r>
      <w:r>
        <w:rPr>
          <w:rFonts w:hint="eastAsia" w:ascii="黑体" w:hAnsi="黑体" w:eastAsia="黑体" w:cs="Times New Roman"/>
          <w:sz w:val="32"/>
          <w:lang w:val="en-US" w:eastAsia="zh-CN"/>
        </w:rPr>
        <w:t>（二）评价结论</w:t>
      </w:r>
      <w:r>
        <w:rPr>
          <w:rFonts w:hint="eastAsia" w:ascii="黑体" w:hAnsi="黑体" w:eastAsia="黑体" w:cs="Times New Roman"/>
          <w:sz w:val="32"/>
          <w:lang w:val="en-US" w:eastAsia="zh-CN"/>
        </w:rPr>
        <w:br w:type="textWrapping"/>
      </w:r>
      <w:r>
        <w:rPr>
          <w:rFonts w:hint="eastAsia" w:ascii="黑体" w:hAnsi="黑体" w:eastAsia="黑体" w:cs="Times New Roman"/>
          <w:sz w:val="32"/>
          <w:lang w:val="en-US" w:eastAsia="zh-CN"/>
        </w:rPr>
        <w:t xml:space="preserve">   </w:t>
      </w:r>
      <w:r>
        <w:rPr>
          <w:rFonts w:hint="eastAsia" w:ascii="仿宋_GB2312" w:hAnsi="Times New Roman" w:eastAsia="仿宋_GB2312" w:cs="Times New Roman"/>
          <w:sz w:val="32"/>
          <w:szCs w:val="32"/>
          <w:lang w:val="en-US" w:eastAsia="zh-CN"/>
        </w:rPr>
        <w:t>此次绩效评价通过绩效评价小组论证的评价指标体系及评分标准，采用因素分析法和比较法对本项目绩效进行客观评价，最终评分结果：总分为98.94分，绩效评级为“优”。综合评价结论如下：本项目共设置三级指标数量26个，实现三级指标数量24个，总体完成率为98.94%。</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项目决策类指标共设置6个，满分指标6个，权重分21分，得分21分，得分率100%；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过程管理类指标共设置5个，满分指标4个，权重分19分，得分18.47分，得分率97.21%；</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项目产出类指标共设置11个，满分指标10个，权重分20分，得分19.47分，得分率97.35%；</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项目效益类指标共设置4个，满分指标4个，权重分40分，得分40分，得分率100%。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详细情况见“附件2：项目综合得分表”。</w:t>
      </w:r>
    </w:p>
    <w:p w14:paraId="483F545A">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 xml:space="preserve">四、绩效评价指标分析 </w:t>
      </w:r>
    </w:p>
    <w:p w14:paraId="35C6E1B2">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（一）项目决策情况</w:t>
      </w:r>
    </w:p>
    <w:p w14:paraId="640B1920">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项目决策类指标由3个二级指标和6个三级指标构成，权重分21分，实际得分21分。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1.项目立项情况分析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（1）立项依据充分性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立项符合和田地区生态环境局结合环境监测业务工作并根据《关于下达2024年度部门预算批复的通知》(和地财预〔2024〕1号)实施该项目，符合行业发展规划和政策要求；本项目立项符合《和田地区生态环境局单位配置内设机构和人员编制规定》中职责范围中的“建立健全生态环境制度、负责重大生态环境问题的统筹协调和监督管理、监督管理地区减排目标的落实”，属于我单位履职所需；根据《财政资金直接支付申请书》，本项目资金性质为“公共财政预算”功能分类为“2110199其他环境保护管理事务支出”经济分类为“50205委托业务费”属于公共财政支持范围，符合中央、地方事权支出责任划分原则；经检查我单位财政应用平台指标，本项目不存在重复。</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综上所述，本指标满分为5分，根据评分标准得5分，本项目立项依据充分。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（2）立项程序规范性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度部门预算批复的通知》(和地财预〔2024〕1号)文件要求实施项目。</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综上所述，本指标满分为3分，根据评分标准得3分，本项目立项程序规范。</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2.绩效目标情况分析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（1）绩效目标合理性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已设置年度绩效目标，具体内容为“完成2024年七县一市县域地表水水质监测96次；千吨万人地表水水质监测32次；农村生态环境空气质量监测56次；县域重点污染源监测36次；集中式饮用水水源地监测地下水16次；噪声点位评估报告和噪声监测、县级饮用水水源地监测7次。项目投资预算：县域地表水水质监测23.75万元；千吨万人地表水水质监测27.5万元；农村生态环境空气质量监测38.1250万元；县域重点污染源监测41.875万元；集中式饮用水水源地监测地下水23.125万元；噪声点位评估报告和噪声监测、县级饮用水水源地监测75万元；土壤环境质量监测20.625万元”；本项目实际工作内容为：本项目实际形成支出223.62万元，已完成2024年七县一市县域地表水水质监测96次；千吨万人地表水水质监测32次；农村生态环境空气质量监测56次；县域重点污染源监测36次；集中式饮用水水源地监测地下水16次；噪声点位评估报告和噪声监测、县级饮用水水源地监测7次的任务，达到了改善全区生态环境质量的效益，服务对象满意度指标达到100%；绩效目标与实际工作内容一致，两者具有相关性；本项目按照绩效目标完成了数量指标、质量指标、时效指标、成本指标，有效提升环保监管能力，有效改善全区生态环境质量，保障环境安全有效保障，年度绩效目标完成，预期产出效益和效果符合正常的业绩水平。</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综上所述，本指标满分为4分，根据评分标准得4分，本项目绩效目标设置合理。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（2）绩效指标明确性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经检查我单位年初设置的《项目支出绩效目标表》，得出如下结论：本项目已将年度绩效目标进行细化为绩效指标体系，共设置一级指标4个，二级指标7个，三级指标15个，定量指标13个，定性指标2个，指标量化率为86.67%，量化率达70.00%以上。</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综上所述，本指标满分为3分，根据评分标准得3分，本项目所设置绩效指标明确。</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3.资金投入情况分析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（1）预算编制科学性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本项目预算编制根据《关于下达2024年度部门预算批复的通知》(和地财预〔2024〕1号)文件，即预算编制较科学且经过论证；预算申请内容为全区生态环境监测，项目实际内容为全区生态环境监测，预算申请与《2024年环境质量监测服务项目（重点生态功能区、声功能区及农村生态）-本级项目实施方案》中涉及的项目内容匹配；本项目预算申请资金250万元，我单位在预算申请中严格按照单位标准和数量进行核算。本项目预算额度测算依据充分，严格按照标准编制，预算确定资金量与实际工作任务相匹配；</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综上所述，本指标满分为4分，根据评分标准4分，本项目预算编制科学。</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（2）资金分配合理性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实际分配资金以《关于申请2024年环境质量监测服务项目（重点生态功能区、声功能区及农村生态）-本级项目资金的请示》和《2024年环境质量监测服务项目（重点生态功能区、声功能区及农村生态）-本级项目实施方案》为依据进行资金分配，预算资金分配依据充分。根据《和地财预〔2024〕1号》文件显示，本项目实际到位资金250万元，实际分配资金与我单位提交申请的资金额度一致，资金分配额度合理，与我单位实际需求相适应。</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综上所述，本指标满分为2分，根据评分标准得2分，本项目资金分配合理。</w:t>
      </w:r>
      <w:r>
        <w:rPr>
          <w:rFonts w:hint="eastAsia" w:ascii="仿宋_GB2312" w:hAnsi="Times New Roman" w:eastAsia="仿宋_GB2312" w:cs="Times New Roman"/>
          <w:sz w:val="32"/>
          <w:szCs w:val="32"/>
          <w:lang w:val="en-US" w:eastAsia="zh-CN"/>
        </w:rPr>
        <w:tab/>
      </w:r>
    </w:p>
    <w:p w14:paraId="2B4D133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（二）项目过程情况</w:t>
      </w:r>
    </w:p>
    <w:p w14:paraId="5BB612C1">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项目过程管理类指标由2个二级指标和5个三级指标构成，权重分19分，实际得分18.47分。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1.资金管理情况分析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（1）资金到位率</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本项目预算资金为250万元，其中：本级财政安排资金250万元，其他资金0万元，实际到位资金250万元，资金到位率=（实际到位资金/预算资金）×100%=（250/250）*100%=100%。得分=资金到位率*分值=100%*4=4分。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综上所述，本指标满分为4分，根据评分标准得4分，本项目资金分配合理。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（2）预算执行率</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本项目实际支出资金223.62万元，预算执行率=（实际支出资金/实际到位资金）×100%=（223.62/250）*100%=89.45%。得分=预算执行率*分值=89.45%*5=4.47分。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综上所述，本指标满分为5分，根据评分标准得4.47分，本项目资金分配合理。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（3）资金使用合规性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通过检查本项目签订的合同、资金申请文件、发票等财务付款凭证，得出本项目资金支出符合国家财经法规、《政府会计制度》以及《和田地区生态环境局资金管理办法》《和田地区生态环境局项目管理制度》，资金的拨付有完整的审批程序和手续，资金实际使用方向与预算批复用途一致，不存在截留、挤占、挪用、虚列支出的情况。</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综上所述，本指标满分为4分，根据评分标准得4分，资金支出符合我单位财务管理制度规定。</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2.组织实施情况分析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（1）管理制度健全性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我单位已制定《和田地区生态环境局资金管理办法》《和田地区生态环境局收支业务管理制度》《和田地区生态环境局政府采购业务管理制度》《和田地区生态环境局合同管理制度》，上述已建立的制度均符合行政事业单位内控管理要求，财务和业务管理制度合法、合规、完整，本项目执行符合上述制度规定。</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综上所述，本指标满分为2分，根据评分标准得2分，项目制度建设健全。</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（2）制度执行有效性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经对比分析本项目实际执行过程资料和已建立的项目管理制度和财务管理制度，得出本项目严格按照本单位已建立制度执行。项目资金支出严格按照自治区、地区</w:t>
      </w:r>
      <w:bookmarkStart w:id="0" w:name="_GoBack"/>
      <w:bookmarkEnd w:id="0"/>
      <w:r>
        <w:rPr>
          <w:rFonts w:hint="eastAsia" w:ascii="仿宋_GB2312" w:hAnsi="Times New Roman" w:eastAsia="仿宋_GB2312" w:cs="Times New Roman"/>
          <w:sz w:val="32"/>
          <w:szCs w:val="32"/>
          <w:lang w:val="en-US" w:eastAsia="zh-CN"/>
        </w:rPr>
        <w:t>以及本单位资金管理办法执行。</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综上所述，本指标满分为4分，根据评分标准得4分，本项目所建立制度执行有效。</w:t>
      </w:r>
    </w:p>
    <w:p w14:paraId="0000B577">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（三）项目产出情况</w:t>
      </w:r>
    </w:p>
    <w:p w14:paraId="3503D3BC">
      <w:pPr>
        <w:keepNext w:val="0"/>
        <w:keepLines w:val="0"/>
        <w:pageBreakBefore w:val="0"/>
        <w:widowControl w:val="0"/>
        <w:kinsoku/>
        <w:wordWrap/>
        <w:overflowPunct/>
        <w:topLinePunct w:val="0"/>
        <w:autoSpaceDE/>
        <w:autoSpaceDN/>
        <w:bidi w:val="0"/>
        <w:adjustRightInd/>
        <w:snapToGrid/>
        <w:spacing w:line="400" w:lineRule="exact"/>
        <w:ind w:left="0" w:firstLine="960" w:firstLineChars="3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项目产出类指标由4个二级指标和11个三级指标构成，权重分20分，实际得分19.47分。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1.数量指标完成情况分析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“水质检查监测点数量”指标：预期指标值为≤128个，实际完成值为128个,指标完成率为100%。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“农村环境空气质量数量”指标：预期指标值为≤56个，实际完成值为56个,指标完成率为100%。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“县域重点污染源监测”指标：预期指标值为≤36个，实际完成值为36个次,指标完成率为100%。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“集中式饮用水水源地监测地下水”指标：预期指标值为≤16个，实际完成指标值为16个，指标完成率为100%。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“噪声点位评估报告和噪声监测、县级饮用水水源地监测”指标：预期指标值为≤7个，实际完成指标值为7个，指标完成率为100%。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“土壤环境质量监测”指标：预期指标值为≤12个，实际完成指标值为12个，指标完成率为100%。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2.质量指标完成情况分析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“监测数据准确率”指标：预期指标值为≥90%，实际完成指标值为90%，指标完成率为100%。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“资金足额保障率”指标：预期指标值为=100%，实际完成指标值为100%，指标完成率为100%。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3.时效指标完成情况分析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“项目抽查及时率”指标：预期指标值为≥90%，实际完成指标值为90%，指标完成率为100%。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“项目按时完成率”指标：预期指标值为≥90%，实际完成指标值为90%，指标完成率为100%。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4.成本指标完成情况分析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“环境监测成本”指标：预期指标值为≤250万元，实际完成指标值为223.62万元，指标完成率为89.45%。</w:t>
      </w:r>
    </w:p>
    <w:p w14:paraId="2D4705DA">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（四）项目效益情况</w:t>
      </w:r>
    </w:p>
    <w:p w14:paraId="22025211">
      <w:pPr>
        <w:keepNext w:val="0"/>
        <w:keepLines w:val="0"/>
        <w:pageBreakBefore w:val="0"/>
        <w:widowControl w:val="0"/>
        <w:kinsoku/>
        <w:wordWrap/>
        <w:overflowPunct/>
        <w:topLinePunct w:val="0"/>
        <w:autoSpaceDE/>
        <w:autoSpaceDN/>
        <w:bidi w:val="0"/>
        <w:adjustRightInd/>
        <w:snapToGrid/>
        <w:spacing w:line="400" w:lineRule="exact"/>
        <w:ind w:left="0" w:firstLine="960" w:firstLineChars="3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项目效益类指标由3个二级指标和4个三级指标构成，权重分40分，实际得分40分。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1.经济效益完成情况分析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无</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2.社会效益完成情况分析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“提升环保监管能力”指标：预期指标值为≥85%，实际完成指标值为85%，指标完成率为100%。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3.生态效益完成情况分析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“改善全区生态环境质量”指标：预期指标值为有效改善，实际完成指标值为基本达成目标，指标完成率为100%。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“保障环境安全”指标：预期指标值为有效保障，实际完成指标值为基本达成目标，指标完成率为100%。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4.可持续影响完成情况分析：无</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5.满意度指标完成情况分析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“服务对象满意度指标”指标：预期指标值为≥85%，实际完成指标值为85%，指标完成率为100%。</w:t>
      </w:r>
    </w:p>
    <w:p w14:paraId="178D0A5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五、预算执行进度与绩效指标偏差</w:t>
      </w:r>
    </w:p>
    <w:p w14:paraId="3E0A1BF1">
      <w:pPr>
        <w:keepNext w:val="0"/>
        <w:keepLines w:val="0"/>
        <w:pageBreakBefore w:val="0"/>
        <w:widowControl w:val="0"/>
        <w:kinsoku/>
        <w:wordWrap/>
        <w:overflowPunct/>
        <w:topLinePunct w:val="0"/>
        <w:autoSpaceDE/>
        <w:autoSpaceDN/>
        <w:bidi w:val="0"/>
        <w:adjustRightInd/>
        <w:snapToGrid/>
        <w:spacing w:line="400" w:lineRule="exact"/>
        <w:ind w:left="0" w:firstLine="640" w:firstLineChars="2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本项目年初预算资金总额为250万元，全年预算数为250万元，全年执行数为223.62万元，预算执行率为89.45%。</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rPr>
        <w:t>本项目共设置三级指标数量15个，满分指标数量14个，扣分指标数量1个，经分析计算所有三级指标完成率得出，本项目总体完成率为99.30%。</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综上所述本项目预算执行率与总体完成率之间的偏差为9.85%。</w:t>
      </w:r>
    </w:p>
    <w:p w14:paraId="7837F37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六、主要经验及做法、存在的问题及原因分析</w:t>
      </w:r>
    </w:p>
    <w:p w14:paraId="04B17B4E">
      <w:pPr>
        <w:keepNext w:val="0"/>
        <w:keepLines w:val="0"/>
        <w:pageBreakBefore w:val="0"/>
        <w:widowControl w:val="0"/>
        <w:kinsoku/>
        <w:wordWrap/>
        <w:overflowPunct/>
        <w:topLinePunct w:val="0"/>
        <w:autoSpaceDE/>
        <w:autoSpaceDN/>
        <w:bidi w:val="0"/>
        <w:adjustRightInd/>
        <w:snapToGrid/>
        <w:spacing w:line="400" w:lineRule="exact"/>
        <w:ind w:left="0" w:firstLine="320" w:firstLineChars="1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（一）主要经验及做法</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1.本项目能够严格按照《项目实施方案》执行，项目执行情况较好。2.不断完善各项预算管理制度，根据新形势和新要求，结合不断出台的各项制度，制定相应的预算管理制度。强化预算管理，事前必编预算，控制经费使用，使用必问绩效，将绩效管理贯穿于预算编制、执行及决算等环节。3.加强组织领导，本项目绩效评价工作，有县政府主要领导亲自挂帅，分管县领导具体负责，从项目到资金，均能很好地执行。</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（二）存在的问题及原因分析</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1.项目建设程序规范化不足。</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2.绩效目标约束力薄弱反映出目标管理机制的设计缺陷。</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.跨部门协同不足实质是项目管理体系的系统性缺陷。</w:t>
      </w:r>
    </w:p>
    <w:p w14:paraId="738AB14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七、有关建议</w:t>
      </w:r>
    </w:p>
    <w:p w14:paraId="3764E1CE">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（一）项目建设的程序进一步规范。</w:t>
      </w:r>
    </w:p>
    <w:p w14:paraId="0D7BD7C5">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（二）绩效目标设置是预算批复和预算安排的前置条件，是实施绩效监控、开展绩效评价等工作的重要基础和依据，统领预算绩效管理。</w:t>
      </w:r>
    </w:p>
    <w:p w14:paraId="457A111A">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黑体" w:hAnsi="黑体" w:eastAsia="黑体" w:cs="Times New Roman"/>
          <w:sz w:val="32"/>
          <w:lang w:val="en-US" w:eastAsia="zh-CN"/>
        </w:rPr>
      </w:pPr>
      <w:r>
        <w:rPr>
          <w:rFonts w:hint="eastAsia" w:ascii="仿宋_GB2312" w:hAnsi="Times New Roman" w:eastAsia="仿宋_GB2312" w:cs="Times New Roman"/>
          <w:sz w:val="32"/>
          <w:szCs w:val="32"/>
        </w:rPr>
        <w:t>（三）建议预算单位要树立起预算执行主体责任意识和效率意识，强化预算执行管理。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黑体" w:hAnsi="黑体" w:eastAsia="黑体" w:cs="Times New Roman"/>
          <w:sz w:val="32"/>
          <w:lang w:val="en-US" w:eastAsia="zh-CN"/>
        </w:rPr>
        <w:t>八、其他需要说明的问题</w:t>
      </w:r>
    </w:p>
    <w:p w14:paraId="780A6CF2">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（三）评价结果分别编入政府决算和部门预算，报送本级人民代表大会常务委员会，并依法予以公开。</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BE2BF8C">
      <w:pPr>
        <w:keepNext w:val="0"/>
        <w:keepLines w:val="0"/>
        <w:pageBreakBefore w:val="0"/>
        <w:widowControl w:val="0"/>
        <w:kinsoku/>
        <w:wordWrap/>
        <w:overflowPunct/>
        <w:topLinePunct w:val="0"/>
        <w:autoSpaceDE/>
        <w:autoSpaceDN/>
        <w:bidi w:val="0"/>
        <w:adjustRightInd/>
        <w:snapToGrid/>
        <w:spacing w:before="625" w:beforeLines="200" w:line="400" w:lineRule="exact"/>
        <w:ind w:left="0" w:firstLine="0" w:firstLineChars="0"/>
        <w:jc w:val="left"/>
        <w:textAlignment w:val="auto"/>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1AB5DD4">
        <w:pPr>
          <w:pStyle w:val="12"/>
          <w:jc w:val="center"/>
        </w:pPr>
        <w:r>
          <w:fldChar w:fldCharType="begin"/>
        </w:r>
        <w:r>
          <w:instrText xml:space="preserve">PAGE   \* MERGEFORMAT</w:instrText>
        </w:r>
        <w:r>
          <w:fldChar w:fldCharType="separate"/>
        </w:r>
        <w:r>
          <w:rPr>
            <w:lang w:val="zh-CN"/>
          </w:rPr>
          <w:t>1</w:t>
        </w:r>
        <w:r>
          <w:fldChar w:fldCharType="end"/>
        </w:r>
      </w:p>
    </w:sdtContent>
  </w:sdt>
  <w:p w14:paraId="451126B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23706"/>
    <w:rsid w:val="4FF514CA"/>
    <w:rsid w:val="55C82F4A"/>
    <w:rsid w:val="5BE775BC"/>
    <w:rsid w:val="62254213"/>
    <w:rsid w:val="6622379F"/>
    <w:rsid w:val="716159A9"/>
    <w:rsid w:val="79115542"/>
    <w:rsid w:val="7D8B6B0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2052-11.1.0.11365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89199520-ee51-4ef9-978d-11cf6b88e5fc}">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273</Words>
  <Characters>581</Characters>
  <Lines>5</Lines>
  <Paragraphs>1</Paragraphs>
  <TotalTime>8</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2025-10-14T16:32:43Z</cp:lastPrinted>
  <dcterms:modified xsi:type="dcterms:W3CDTF">2025-10-14T16:32:50Z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