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14F6CA5"/>
    <w:p w14:paraId="61CD9F14">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50B8937D">
      <w:pPr>
        <w:spacing w:line="540" w:lineRule="exact"/>
        <w:jc w:val="both"/>
        <w:rPr>
          <w:rFonts w:ascii="华文中宋" w:hAnsi="华文中宋" w:eastAsia="华文中宋" w:cs="宋体"/>
          <w:b/>
          <w:kern w:val="0"/>
          <w:sz w:val="52"/>
          <w:szCs w:val="52"/>
        </w:rPr>
      </w:pPr>
    </w:p>
    <w:p w14:paraId="798326E5">
      <w:pPr>
        <w:spacing w:line="540" w:lineRule="exact"/>
        <w:jc w:val="both"/>
        <w:rPr>
          <w:rFonts w:ascii="华文中宋" w:hAnsi="华文中宋" w:eastAsia="华文中宋" w:cs="宋体"/>
          <w:b/>
          <w:kern w:val="0"/>
          <w:sz w:val="52"/>
          <w:szCs w:val="52"/>
        </w:rPr>
      </w:pPr>
    </w:p>
    <w:p w14:paraId="7BA9D174">
      <w:pPr>
        <w:spacing w:line="540" w:lineRule="exact"/>
        <w:jc w:val="both"/>
        <w:rPr>
          <w:rFonts w:ascii="华文中宋" w:hAnsi="华文中宋" w:eastAsia="华文中宋" w:cs="宋体"/>
          <w:b/>
          <w:kern w:val="0"/>
          <w:sz w:val="52"/>
          <w:szCs w:val="52"/>
        </w:rPr>
      </w:pPr>
    </w:p>
    <w:p w14:paraId="07C0790C">
      <w:pPr>
        <w:spacing w:line="540" w:lineRule="exact"/>
        <w:jc w:val="both"/>
        <w:rPr>
          <w:rFonts w:ascii="华文中宋" w:hAnsi="华文中宋" w:eastAsia="华文中宋" w:cs="宋体"/>
          <w:b/>
          <w:kern w:val="0"/>
          <w:sz w:val="52"/>
          <w:szCs w:val="52"/>
        </w:rPr>
      </w:pPr>
    </w:p>
    <w:p w14:paraId="7EE43F18">
      <w:pPr>
        <w:spacing w:line="540" w:lineRule="exact"/>
        <w:jc w:val="both"/>
        <w:rPr>
          <w:rFonts w:ascii="华文中宋" w:hAnsi="华文中宋" w:eastAsia="华文中宋" w:cs="宋体"/>
          <w:b/>
          <w:kern w:val="0"/>
          <w:sz w:val="52"/>
          <w:szCs w:val="52"/>
        </w:rPr>
      </w:pPr>
    </w:p>
    <w:p w14:paraId="0756F8E4">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7D302FAD">
      <w:pPr>
        <w:spacing w:line="540" w:lineRule="exact"/>
        <w:jc w:val="center"/>
        <w:rPr>
          <w:rFonts w:ascii="华文中宋" w:hAnsi="华文中宋" w:eastAsia="华文中宋" w:cs="宋体"/>
          <w:b/>
          <w:kern w:val="0"/>
          <w:sz w:val="52"/>
          <w:szCs w:val="52"/>
        </w:rPr>
      </w:pPr>
    </w:p>
    <w:p w14:paraId="55D68682">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79EEDCF1">
      <w:pPr>
        <w:spacing w:line="540" w:lineRule="exact"/>
        <w:jc w:val="center"/>
        <w:rPr>
          <w:rFonts w:hAnsi="宋体" w:eastAsia="仿宋_GB2312" w:cs="宋体"/>
          <w:kern w:val="0"/>
          <w:sz w:val="30"/>
          <w:szCs w:val="30"/>
        </w:rPr>
      </w:pPr>
    </w:p>
    <w:p w14:paraId="482A9E42">
      <w:pPr>
        <w:spacing w:line="540" w:lineRule="exact"/>
        <w:jc w:val="center"/>
        <w:rPr>
          <w:rFonts w:hAnsi="宋体" w:eastAsia="仿宋_GB2312" w:cs="宋体"/>
          <w:kern w:val="0"/>
          <w:sz w:val="30"/>
          <w:szCs w:val="30"/>
        </w:rPr>
      </w:pPr>
    </w:p>
    <w:p w14:paraId="32E5EE67">
      <w:pPr>
        <w:spacing w:line="540" w:lineRule="exact"/>
        <w:jc w:val="center"/>
        <w:rPr>
          <w:rFonts w:hAnsi="宋体" w:eastAsia="仿宋_GB2312" w:cs="宋体"/>
          <w:kern w:val="0"/>
          <w:sz w:val="30"/>
          <w:szCs w:val="30"/>
        </w:rPr>
      </w:pPr>
    </w:p>
    <w:p w14:paraId="105D96AC">
      <w:pPr>
        <w:spacing w:line="540" w:lineRule="exact"/>
        <w:jc w:val="center"/>
        <w:rPr>
          <w:rFonts w:hAnsi="宋体" w:eastAsia="仿宋_GB2312" w:cs="宋体"/>
          <w:kern w:val="0"/>
          <w:sz w:val="30"/>
          <w:szCs w:val="30"/>
        </w:rPr>
      </w:pPr>
    </w:p>
    <w:p w14:paraId="1FEA3D3D">
      <w:pPr>
        <w:spacing w:line="540" w:lineRule="exact"/>
        <w:jc w:val="center"/>
        <w:rPr>
          <w:rFonts w:hAnsi="宋体" w:eastAsia="仿宋_GB2312" w:cs="宋体"/>
          <w:kern w:val="0"/>
          <w:sz w:val="30"/>
          <w:szCs w:val="30"/>
        </w:rPr>
      </w:pPr>
      <w:bookmarkStart w:id="0" w:name="_GoBack"/>
      <w:bookmarkEnd w:id="0"/>
    </w:p>
    <w:p w14:paraId="70663377">
      <w:pPr>
        <w:spacing w:line="540" w:lineRule="exact"/>
        <w:jc w:val="center"/>
        <w:rPr>
          <w:rFonts w:hAnsi="宋体" w:eastAsia="仿宋_GB2312" w:cs="宋体"/>
          <w:kern w:val="0"/>
          <w:sz w:val="30"/>
          <w:szCs w:val="30"/>
        </w:rPr>
      </w:pPr>
    </w:p>
    <w:p w14:paraId="5037064F">
      <w:pPr>
        <w:spacing w:line="540" w:lineRule="exact"/>
        <w:rPr>
          <w:rFonts w:hAnsi="宋体" w:eastAsia="仿宋_GB2312" w:cs="宋体"/>
          <w:kern w:val="0"/>
          <w:sz w:val="30"/>
          <w:szCs w:val="30"/>
        </w:rPr>
      </w:pPr>
    </w:p>
    <w:p w14:paraId="07D309B5">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E92FC4B">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2024年环境业务执法经费（民丰县分局）</w:t>
      </w:r>
    </w:p>
    <w:p w14:paraId="1E1E6E53">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和田地区生态环境局民丰县分局</w:t>
      </w:r>
    </w:p>
    <w:p w14:paraId="03EC9F2C">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和田地区生态环境局民丰县分局</w:t>
      </w:r>
    </w:p>
    <w:p w14:paraId="64786F5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苏迪耶·多来提尼亚孜</w:t>
      </w:r>
    </w:p>
    <w:p w14:paraId="0A41AD99">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2025年04月27日</w:t>
      </w:r>
    </w:p>
    <w:p w14:paraId="009B495E">
      <w:pPr>
        <w:spacing w:line="700" w:lineRule="exact"/>
        <w:ind w:firstLine="708" w:firstLineChars="236"/>
        <w:jc w:val="left"/>
        <w:rPr>
          <w:rFonts w:hAnsi="宋体" w:eastAsia="仿宋_GB2312" w:cs="宋体"/>
          <w:kern w:val="0"/>
          <w:sz w:val="30"/>
          <w:szCs w:val="30"/>
        </w:rPr>
      </w:pPr>
    </w:p>
    <w:p w14:paraId="30C1C072">
      <w:pPr>
        <w:spacing w:line="540" w:lineRule="exact"/>
        <w:rPr>
          <w:rStyle w:val="19"/>
          <w:rFonts w:ascii="黑体" w:hAnsi="黑体" w:eastAsia="黑体"/>
          <w:b w:val="0"/>
          <w:spacing w:val="-4"/>
          <w:sz w:val="32"/>
          <w:szCs w:val="32"/>
        </w:rPr>
      </w:pPr>
    </w:p>
    <w:p w14:paraId="267084F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DB3CB41">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4F21F83B">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64258B81">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开展执法72次，办理行政执法案件3件，可有效提高县域生态环境，可有效提高社会对生态环境违法行为的重视度，争取使受益人群满意度不低于95%。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实施主体：和田地区生态环境局县分局。</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实施时间：本项目实施期限为2024年4月—2024年12月。</w:t>
      </w:r>
      <w:r>
        <w:cr/>
      </w:r>
      <w:r>
        <w:rPr>
          <w:rStyle w:val="19"/>
          <w:rFonts w:hint="eastAsia" w:ascii="楷体" w:hAnsi="楷体" w:eastAsia="楷体"/>
          <w:b w:val="0"/>
          <w:bCs w:val="0"/>
          <w:spacing w:val="-4"/>
          <w:sz w:val="32"/>
          <w:szCs w:val="32"/>
        </w:rPr>
        <w:t>实施情况：2024年环境业务执法经费（县分局）经费8万元，主要用于开展执法77次，办理行政执法案件3件，完成1 次我县水土噪声等各项监测、环境执法任务、办理行政执法案件、采购1套环境应急调度系统建设及2套执法人员制服采购。</w:t>
      </w:r>
      <w:r>
        <w:cr/>
      </w:r>
      <w:r>
        <w:rPr>
          <w:rStyle w:val="19"/>
          <w:rFonts w:hint="eastAsia" w:ascii="楷体" w:hAnsi="楷体" w:eastAsia="楷体"/>
          <w:b w:val="0"/>
          <w:bCs w:val="0"/>
          <w:spacing w:val="-4"/>
          <w:sz w:val="32"/>
          <w:szCs w:val="32"/>
        </w:rPr>
        <w:t>经过一年时间该项目资金使用安全，以下各项业务工作有序开展：环境应急调度系统安全运行一年，保障环境执法工作正常开展；提升群众的环保意识。杜绝了出现各种设备问题，有效提高了对保护环境管控能力及社会效益，为上级决策提供技术支持和数据保障，有效保障了生态环境的稳定，达到项目预期目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cr/>
      </w:r>
      <w:r>
        <w:rPr>
          <w:rStyle w:val="19"/>
          <w:rFonts w:hint="eastAsia" w:ascii="楷体" w:hAnsi="楷体" w:eastAsia="楷体"/>
          <w:b w:val="0"/>
          <w:bCs w:val="0"/>
          <w:spacing w:val="-4"/>
          <w:sz w:val="32"/>
          <w:szCs w:val="32"/>
        </w:rPr>
        <w:t>（1）项目资金安排落实、总投入等情况分析</w:t>
      </w:r>
      <w:r>
        <w:cr/>
      </w:r>
      <w:r>
        <w:rPr>
          <w:rStyle w:val="19"/>
          <w:rFonts w:hint="eastAsia" w:ascii="楷体" w:hAnsi="楷体" w:eastAsia="楷体"/>
          <w:b w:val="0"/>
          <w:bCs w:val="0"/>
          <w:spacing w:val="-4"/>
          <w:sz w:val="32"/>
          <w:szCs w:val="32"/>
        </w:rPr>
        <w:t>本项目预算安排总额为8万元，资金来源为本级部门预算，2024年实际收到预算资金8万元，预算资金到位率为100%。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cr/>
      </w:r>
      <w:r>
        <w:rPr>
          <w:rStyle w:val="19"/>
          <w:rFonts w:hint="eastAsia" w:ascii="楷体" w:hAnsi="楷体" w:eastAsia="楷体"/>
          <w:b w:val="0"/>
          <w:bCs w:val="0"/>
          <w:spacing w:val="-4"/>
          <w:sz w:val="32"/>
          <w:szCs w:val="32"/>
        </w:rPr>
        <w:t>本项目实际支付资金8万元，预算执行率100%。本项目资金主要用于支付环保业务专网费等1.2万元;执法业务耗材费用2.67万元;执法人员出差费0.83万元;执法人员制服款1.3万元；环境应急调度系统建设费（一期）2万元。</w:t>
      </w:r>
    </w:p>
    <w:p w14:paraId="4D8612E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04DFDECB">
      <w:pPr>
        <w:spacing w:line="540" w:lineRule="exact"/>
        <w:ind w:left="319" w:leftChars="152" w:firstLine="530" w:firstLineChars="1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cr/>
      </w:r>
      <w:r>
        <w:rPr>
          <w:rStyle w:val="19"/>
          <w:rFonts w:hint="eastAsia" w:ascii="楷体" w:hAnsi="楷体" w:eastAsia="楷体"/>
          <w:b w:val="0"/>
          <w:bCs w:val="0"/>
          <w:spacing w:val="-4"/>
          <w:sz w:val="32"/>
          <w:szCs w:val="32"/>
        </w:rPr>
        <w:t>本项目主要实施内容为：开展执法72次，办理行政执法案件3件，项目总投资为8万元，项目计划于2024年12月完成。通过本项目的实施，可有效提高县域生态环境，可有效提高社会对生态环境违法行为的重视度，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项目前期准备工作：我单位根据历年工作内容，编制《2024年环境业务执法经费项目实施方案》，并编制项目预算，提交申请至和田地区财政局，申请项目资金8万元。</w:t>
      </w:r>
      <w:r>
        <w:cr/>
      </w:r>
      <w:r>
        <w:rPr>
          <w:rStyle w:val="19"/>
          <w:rFonts w:hint="eastAsia" w:ascii="楷体" w:hAnsi="楷体" w:eastAsia="楷体"/>
          <w:b w:val="0"/>
          <w:bCs w:val="0"/>
          <w:spacing w:val="-4"/>
          <w:sz w:val="32"/>
          <w:szCs w:val="32"/>
        </w:rPr>
        <w:t>项目实施：开展执法72次，办理行政执法案件3件，可有效提高了县域生态环境，有效提高社会对生态环境违法行为的重视度，使受益人群满意度达到100%。</w:t>
      </w:r>
    </w:p>
    <w:p w14:paraId="6C8474E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0827B2D6">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4538C7F7">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cr/>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cr/>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此次我单位根据《财政支出绩效评价管理暂行办法》（财预〔2020〕10号）文件要求实施评价工作，本次评价对象为2024年环境业务执法经费，评价核心为项目的资金投入、产出及效益。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4586AE39">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64121F7A">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cr/>
      </w:r>
      <w:r>
        <w:rPr>
          <w:rStyle w:val="19"/>
          <w:rFonts w:hint="eastAsia" w:ascii="楷体" w:hAnsi="楷体" w:eastAsia="楷体"/>
          <w:b w:val="0"/>
          <w:bCs w:val="0"/>
          <w:spacing w:val="-4"/>
          <w:sz w:val="32"/>
          <w:szCs w:val="32"/>
        </w:rPr>
        <w:t>依据《中华人民共和国预算法》《中共 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cr/>
      </w:r>
      <w:r>
        <w:rPr>
          <w:rStyle w:val="19"/>
          <w:rFonts w:hint="eastAsia" w:ascii="楷体" w:hAnsi="楷体" w:eastAsia="楷体"/>
          <w:b w:val="0"/>
          <w:bCs w:val="0"/>
          <w:spacing w:val="-4"/>
          <w:sz w:val="32"/>
          <w:szCs w:val="32"/>
        </w:rPr>
        <w:t>根据以上原则，绩效评价应遵循如下要求:</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（2）保证评价结果的真实性、公正性，提高评价报告的公信力。</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cr/>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cr/>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cr/>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cr/>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cr/>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cr/>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cr/>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cr/>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cr/>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cr/>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cr/>
      </w:r>
      <w:r>
        <w:rPr>
          <w:rStyle w:val="19"/>
          <w:rFonts w:hint="eastAsia" w:ascii="楷体" w:hAnsi="楷体" w:eastAsia="楷体"/>
          <w:b w:val="0"/>
          <w:bCs w:val="0"/>
          <w:spacing w:val="-4"/>
          <w:sz w:val="32"/>
          <w:szCs w:val="32"/>
        </w:rPr>
        <w:t>4.评价标准</w:t>
      </w:r>
      <w:r>
        <w:cr/>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2EC3F25">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1879AD5C">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cr/>
      </w: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Style w:val="19"/>
          <w:rFonts w:hint="eastAsia" w:ascii="楷体" w:hAnsi="楷体" w:eastAsia="楷体"/>
          <w:b w:val="0"/>
          <w:bCs w:val="0"/>
          <w:spacing w:val="-4"/>
          <w:sz w:val="32"/>
          <w:szCs w:val="32"/>
        </w:rPr>
        <w:t>晁岳飞（评价小组组长）：主要负责审核并解决项目实施过程所有相关问题，复核绩效评价报告质量;</w:t>
      </w:r>
      <w:r>
        <w:cr/>
      </w:r>
      <w:r>
        <w:rPr>
          <w:rStyle w:val="19"/>
          <w:rFonts w:hint="eastAsia" w:ascii="楷体" w:hAnsi="楷体" w:eastAsia="楷体"/>
          <w:b w:val="0"/>
          <w:bCs w:val="0"/>
          <w:spacing w:val="-4"/>
          <w:sz w:val="32"/>
          <w:szCs w:val="32"/>
        </w:rPr>
        <w:t>冯泽涛（评价小组组员）：主要负责收集项目绩效相关所有资料，负责报告中数据的核实;</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2024年4月1日-12月30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楷体" w:hAnsi="楷体" w:eastAsia="楷体"/>
          <w:b w:val="0"/>
          <w:bCs w:val="0"/>
          <w:spacing w:val="-4"/>
          <w:sz w:val="32"/>
          <w:szCs w:val="32"/>
        </w:rPr>
        <w:t>3.分析评价</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2025年3月16日-4月1日，评价小组按照绩效评价的原则和规范，对取得的资料进行审查核实，对采集的数据进行分析，按照绩效评价指标评分表逐项进行打分、分析、汇总各方评价结果。</w:t>
      </w:r>
      <w:r>
        <w:cr/>
      </w:r>
      <w:r>
        <w:rPr>
          <w:rStyle w:val="19"/>
          <w:rFonts w:hint="eastAsia" w:ascii="楷体" w:hAnsi="楷体" w:eastAsia="楷体"/>
          <w:b w:val="0"/>
          <w:bCs w:val="0"/>
          <w:spacing w:val="-4"/>
          <w:sz w:val="32"/>
          <w:szCs w:val="32"/>
        </w:rPr>
        <w:t>4.撰写与提交评价报告</w:t>
      </w:r>
      <w:r>
        <w:cr/>
      </w:r>
      <w:r>
        <w:rPr>
          <w:rStyle w:val="19"/>
          <w:rFonts w:hint="eastAsia" w:ascii="楷体" w:hAnsi="楷体" w:eastAsia="楷体"/>
          <w:b w:val="0"/>
          <w:bCs w:val="0"/>
          <w:spacing w:val="-4"/>
          <w:sz w:val="32"/>
          <w:szCs w:val="32"/>
        </w:rPr>
        <w:t>2025年4月1日-4月15日评价小组撰写绩效评价报告，按照新疆维吾尔自治区财政绩效管理信息系统绩效评价模块中统一格式和文本框架撰写绩效评价报告并提交审核。</w:t>
      </w:r>
      <w:r>
        <w:cr/>
      </w:r>
      <w:r>
        <w:rPr>
          <w:rStyle w:val="19"/>
          <w:rFonts w:hint="eastAsia" w:ascii="楷体" w:hAnsi="楷体" w:eastAsia="楷体"/>
          <w:b w:val="0"/>
          <w:bCs w:val="0"/>
          <w:spacing w:val="-4"/>
          <w:sz w:val="32"/>
          <w:szCs w:val="32"/>
        </w:rPr>
        <w:t>5.问题整改</w:t>
      </w:r>
      <w:r>
        <w:cr/>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cr/>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7A75FCD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A4B9B18">
      <w:pPr>
        <w:spacing w:line="540" w:lineRule="exact"/>
        <w:ind w:left="319" w:leftChars="152" w:firstLine="530" w:firstLineChars="1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741C430D">
      <w:pPr>
        <w:spacing w:line="540" w:lineRule="exact"/>
        <w:ind w:left="319" w:leftChars="152" w:firstLine="530" w:firstLineChars="17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一是强化履职担当，压实党组“主体责任”。</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二是聚焦主责主业，推动生态环境高质量发展，主要指标完成100%，持续打好污染防治攻坚战，优化营商环境，助推经济高质量发展。</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三是履行生态职责，强化生态环境监管执法，开展生态环保宣传教育，提升公众参与度，扎实推进生态环境保护督察反馈问题整改，巩固环保督察成果，开展生态环境领域隐患排查，确保生态安全。</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21个，实现三级指标数量21个，总体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项目决策类指标共设置6个，满分指标6个，权重分21分，得分21分，得分率100%；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过程管理类指标共设置5个，满分指标5个，权重分19分，得分19分，得分率100%；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项目产出类指标共设置7个，满分指标7个，权重分20分，得分20分，得分率100%；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项目效益类指标共设置3个，满分指标3个，权重分40分，得分40分，得分率100%。</w:t>
      </w:r>
      <w:r>
        <w:cr/>
      </w:r>
      <w:r>
        <w:rPr>
          <w:rStyle w:val="19"/>
          <w:rFonts w:hint="eastAsia" w:ascii="楷体" w:hAnsi="楷体" w:eastAsia="楷体"/>
          <w:b w:val="0"/>
          <w:bCs w:val="0"/>
          <w:spacing w:val="-4"/>
          <w:sz w:val="32"/>
          <w:szCs w:val="32"/>
        </w:rPr>
        <w:t>详细情况见“附件2：项目综合得分表”。</w:t>
      </w:r>
    </w:p>
    <w:p w14:paraId="503A5DDD">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B60BA4A">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3689F716">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项目决策类指标由7个二级指标和7个三级指标构成，权重分21分，实际得分21分。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（1）立项依据充分性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立项依据《关于加强污染源监督性检测数据在环境执法中应用的通知》（环办[2011]123号）、《建设项目环境保护管理条例》《关于加强排污许可执法监管的指导意见》等文件要求，符合行业发展规划和政策要求；本项目立项符合三定方案中职责范围中的“负责重大生态环境问题的统筹协调和监督管理；负责监督管理减排目标的落实；提出生态环境领域固定资产投资规模和方向；负责环境污染防治的监督管理”，属于我单位履职所需；根据《财政资金直接支付申请书》，本项目资金性质为“公共财政预算”功能分类为“2110199其他环境保护管理事务支出”经济分类为“50201办公费、50205委托业务费、50209维修（护）费”等属于公共财政支持范围，符合中央、地方事权支出责任划分原则；经检查我单位财政应用平台指标，本项目不存在重复。</w:t>
      </w:r>
      <w:r>
        <w:cr/>
      </w:r>
      <w:r>
        <w:rPr>
          <w:rStyle w:val="19"/>
          <w:rFonts w:hint="eastAsia" w:ascii="楷体" w:hAnsi="楷体" w:eastAsia="楷体"/>
          <w:b w:val="0"/>
          <w:bCs w:val="0"/>
          <w:spacing w:val="-4"/>
          <w:sz w:val="32"/>
          <w:szCs w:val="32"/>
        </w:rPr>
        <w:t>综上所述，本指标满分为5分，根据评分标准得5分，本项目立项依据充分。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关于下达2024年度部门预算批复的通知》(和地财预〔2024〕1号)文件要求实施项目。</w:t>
      </w:r>
      <w:r>
        <w:cr/>
      </w:r>
      <w:r>
        <w:rPr>
          <w:rStyle w:val="19"/>
          <w:rFonts w:hint="eastAsia" w:ascii="楷体" w:hAnsi="楷体" w:eastAsia="楷体"/>
          <w:b w:val="0"/>
          <w:bCs w:val="0"/>
          <w:spacing w:val="-4"/>
          <w:sz w:val="32"/>
          <w:szCs w:val="32"/>
        </w:rPr>
        <w:t>综上所述，本指标满分为3分，根据评分标准得3分，本项目立项程序规范。</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2.绩效目标情况分析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本项目主要实施内容为：开展执法72次，办理行政执法案件3件，项目总投资为8万元，项目计划于2024年12月完成。通过本项目的实施，可有效提高县域生态环境，可有效提高社会对生态环境违法行为的重视度，待项目实施完成，争取使受益人群满意度不低于95%。”；本项目实际工作为：办理行政执法案件3次，开展执法77次的任务，达到了有效提高群众对生态环境的重视程度，保障了生态环境的稳定性的效益，受益人群满意度达到100%。绩效目标与实际工作内容一致，两者具有相关性;本项目按照绩效目标完成数量指标、质量指标、时效指标、成本指标，有效保障了环境应急调度系统安全运行一年，保障环境执法工作正常开展；执法设备安全运行一年；委托第三方监测第一季度水、土、噪声等各项指标均合格；提升群众的环保意识。杜绝了出现各种设备问题，有效提高了对保护环境管控能力及社会效益，为上级决策提供技术支持和数据保障，有效保障了生态环境的稳定，年度绩效目标完成，预期产出效益和效果符合正常的业绩水平。</w:t>
      </w:r>
      <w:r>
        <w:cr/>
      </w:r>
      <w:r>
        <w:rPr>
          <w:rStyle w:val="19"/>
          <w:rFonts w:hint="eastAsia" w:ascii="楷体" w:hAnsi="楷体" w:eastAsia="楷体"/>
          <w:b w:val="0"/>
          <w:bCs w:val="0"/>
          <w:spacing w:val="-4"/>
          <w:sz w:val="32"/>
          <w:szCs w:val="32"/>
        </w:rPr>
        <w:t>综上所述，本指标满分为4分，根据评分标准得4分，本项目绩效目标设置合理。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（2）绩效指标明确性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10个，定量指标7个，定性指标3个，指标量化率为70.00%，量化率达70.00%以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综上所述，本指标满分为3分，根据评分标准得3分，本项目所设置绩效指标明确。</w:t>
      </w:r>
      <w:r>
        <w:cr/>
      </w:r>
      <w:r>
        <w:rPr>
          <w:rStyle w:val="19"/>
          <w:rFonts w:hint="eastAsia" w:ascii="楷体" w:hAnsi="楷体" w:eastAsia="楷体"/>
          <w:b w:val="0"/>
          <w:bCs w:val="0"/>
          <w:spacing w:val="-4"/>
          <w:sz w:val="32"/>
          <w:szCs w:val="32"/>
        </w:rPr>
        <w:t>3.资金投入情况分析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申请内容为委托业务费1.5万元；维修（护）费2万元；办公设备购置1.5万元，专用设备购置1.5万元、办公费1.5万元。项目实际内容与预算申请内容一致，预算申请与《2024年环境业务执法经费（民丰县分局）项目实施方案》中涉及的项目内容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本项目预算申请资金8万元，我单位在预算申请中严格按照单位标准和数量进行核算，本项目预算额度测算依据充分，严格按照标准编制，预算确定资金量与实际工作任务相匹配；</w:t>
      </w:r>
      <w:r>
        <w:cr/>
      </w:r>
      <w:r>
        <w:rPr>
          <w:rStyle w:val="19"/>
          <w:rFonts w:hint="eastAsia" w:ascii="楷体" w:hAnsi="楷体" w:eastAsia="楷体"/>
          <w:b w:val="0"/>
          <w:bCs w:val="0"/>
          <w:spacing w:val="-4"/>
          <w:sz w:val="32"/>
          <w:szCs w:val="32"/>
        </w:rPr>
        <w:t>综上所述，本指标满分为4分，根据评分标准得4分，本项目预算编制科学。</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（2）资金分配合理性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分配资金以《关于申请2024年环境业务执法经费（民丰县分局）项目资金的请示》和《2024年环境业务执法经费（民丰县分局）项目实施方案》为依据进行资金分配，预算资金分配依据充分。根据《关于下达2024年度部门预算批复的通知》(和地财预〔2024〕1号)文件显示，本项目实际到位资金8万元，实际分配资金与我单位提交申请的资金额度一致，资金分配额度合理，与我单位实际需求相适应。</w:t>
      </w:r>
      <w:r>
        <w:cr/>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5996CF29">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7AF81DC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项目过程类指标由2个二级指标和5个三级指标构成，权重分19分，实际得分19分。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本项目预算资金为8万元，其中：本级财政安排资金8万元，资金到位率100%。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本项目实际支出资金8万元，预算执行率100%。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生态环境局民丰县分局资金管理办法》《和田地区生态环境局民丰县分局专项资金管理办法》，资金的拨付有完整的审批程序和手续，资金实际使用方向与预算批复用途一致，不存在截留、挤占、挪用、虚列支出的情况。</w:t>
      </w:r>
      <w:r>
        <w:cr/>
      </w:r>
      <w:r>
        <w:rPr>
          <w:rStyle w:val="19"/>
          <w:rFonts w:hint="eastAsia" w:ascii="楷体" w:hAnsi="楷体" w:eastAsia="楷体"/>
          <w:b w:val="0"/>
          <w:bCs w:val="0"/>
          <w:spacing w:val="-4"/>
          <w:sz w:val="32"/>
          <w:szCs w:val="32"/>
        </w:rPr>
        <w:t>综上所述，本指标满分为4分，根据评分标准得4分，资金支出符合我单位财务管理制度规定。</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（1）管理制度健全性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已制定《和田地区生态环境局民丰县分局资金管理办法》、《和田地区生态环境局民丰县分局收支业务管理制度》等，上述已建立的制度均符合行政事业单位内控管理要求，财务和业务管理制度合法、合规、完整，本项目执行符合上述制度规定。</w:t>
      </w:r>
      <w:r>
        <w:cr/>
      </w:r>
      <w:r>
        <w:rPr>
          <w:rStyle w:val="19"/>
          <w:rFonts w:hint="eastAsia" w:ascii="楷体" w:hAnsi="楷体" w:eastAsia="楷体"/>
          <w:b w:val="0"/>
          <w:bCs w:val="0"/>
          <w:spacing w:val="-4"/>
          <w:sz w:val="32"/>
          <w:szCs w:val="32"/>
        </w:rPr>
        <w:t>综上所述，本指标满分为2分，根据评分标准得2分，项目制度建设健全。</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环境业务执法经费（民丰县分局）项目工作领导小组，由鲁晶任组长，负责项目的组织工作；组员包括：努尔伊曼古丽·亚力坤，主要负责项目监督管理、验收以及资金核拨等工作。</w:t>
      </w:r>
      <w:r>
        <w:cr/>
      </w:r>
      <w:r>
        <w:rPr>
          <w:rStyle w:val="19"/>
          <w:rFonts w:hint="eastAsia" w:ascii="楷体" w:hAnsi="楷体" w:eastAsia="楷体"/>
          <w:b w:val="0"/>
          <w:bCs w:val="0"/>
          <w:spacing w:val="-4"/>
          <w:sz w:val="32"/>
          <w:szCs w:val="32"/>
        </w:rPr>
        <w:t>综上所述，本指标满分为4分，根据评分标准得4分，本项目所建立制度执行有效。</w:t>
      </w:r>
    </w:p>
    <w:p w14:paraId="4D267316">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6E56259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项目产出类指标由4个二级指标和7个三级指标构成，权重分20分，实际得分20分。</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1.数量指标完成情况分析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开展执法次数:预期指标值为≥72次，实际完成值为=77次,指标完成率为100%。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办理行政执法案件数量:预期指标值为≥3件，实际完成值为=3件,指标完成率为100%；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2.质量指标完成情况分析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资金使用合规率:预期指标值为=100%，实际完成值为=100%,指标完成率为100%。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案件审核通过率:预期指标值为=100%，实际完成值为=100%,指标完成率为100%。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案件办理及时率:预期指标值为=100%，实际完成值为=100%,指标完成率为100%。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项目完成时间:预期指标值为2024年12月底前，实际完成值为2024年10月31日,指标完成率为100%。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2024年度执法业务成本费用:预期指标值为≤8万元，实际完成值为=8万,指标完成率为100%。</w:t>
      </w:r>
    </w:p>
    <w:p w14:paraId="1B07C8B0">
      <w:pPr>
        <w:spacing w:line="540" w:lineRule="exact"/>
        <w:ind w:firstLine="313" w:firstLineChars="100"/>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7E4DBCCC">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项目效益类指标由3个二级指标和3个三级指标构成，权重分40分，实际得分40分。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1.经济效益完成情况分析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2.社会效益完成情况分析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有效提高社会对生态环境违法行为的重视度:预期指标值为有效提升，实际完成值为基本达成目标,指标完成率为100%。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2024年度县域生态环境质量:预期指标值为明显好转，实际完成值为基本达成目标,指标完成率为100%。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5.满意度指标完成情况分析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群众对生态环境工作的满意度:预期指标值为≥90%，实际完成值为=100%,指标完成率为100%。</w:t>
      </w:r>
    </w:p>
    <w:p w14:paraId="50145B48">
      <w:pPr>
        <w:spacing w:line="540" w:lineRule="exact"/>
        <w:ind w:firstLine="624" w:firstLineChars="20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5F9E9784">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本项目年初预算资金总额为8万元，全年预算数为8万元，全年执行数为8万元，预算执行率为100%。</w:t>
      </w:r>
      <w:r>
        <w:cr/>
      </w:r>
      <w:r>
        <w:rPr>
          <w:rStyle w:val="19"/>
          <w:rFonts w:hint="eastAsia" w:ascii="楷体" w:hAnsi="楷体" w:eastAsia="楷体"/>
          <w:b w:val="0"/>
          <w:bCs w:val="0"/>
          <w:spacing w:val="-4"/>
          <w:sz w:val="32"/>
          <w:szCs w:val="32"/>
        </w:rPr>
        <w:t>本项目共设置三级指标数量10个，满分指标数量10个，扣分指标数量0个，经分析计算所有三级指标完成率得出，本项目总体完成率为100%。</w:t>
      </w:r>
      <w:r>
        <w:cr/>
      </w:r>
      <w:r>
        <w:rPr>
          <w:rStyle w:val="19"/>
          <w:rFonts w:hint="eastAsia" w:ascii="楷体" w:hAnsi="楷体" w:eastAsia="楷体"/>
          <w:b w:val="0"/>
          <w:bCs w:val="0"/>
          <w:spacing w:val="-4"/>
          <w:sz w:val="32"/>
          <w:szCs w:val="32"/>
        </w:rPr>
        <w:t>综上所述本项目预算执行率与总体完成率之间的偏差为0%。</w:t>
      </w:r>
    </w:p>
    <w:p w14:paraId="40F1A8B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4077F830">
      <w:pPr>
        <w:spacing w:line="540" w:lineRule="exact"/>
        <w:ind w:firstLine="312" w:firstLineChars="1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27C20865">
      <w:pPr>
        <w:spacing w:line="540" w:lineRule="exact"/>
        <w:ind w:firstLine="624" w:firstLineChars="200"/>
        <w:rPr>
          <w:rFonts w:ascii="仿宋_GB2312" w:eastAsia="仿宋_GB2312"/>
          <w:spacing w:val="-4"/>
          <w:sz w:val="32"/>
          <w:szCs w:val="32"/>
        </w:rPr>
      </w:pPr>
      <w:r>
        <w:rPr>
          <w:rStyle w:val="19"/>
          <w:rFonts w:hint="eastAsia" w:ascii="楷体" w:hAnsi="楷体" w:eastAsia="楷体"/>
          <w:b w:val="0"/>
          <w:bCs w:val="0"/>
          <w:spacing w:val="-4"/>
          <w:sz w:val="32"/>
          <w:szCs w:val="32"/>
        </w:rPr>
        <w:t>一是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 也在不断提高，加强执法队伍的教育培训必不可少。二是加强资金管理，确保资金使用规范、合理、专款专用。强化项目实施过程的管理和监督，才能使项目顺利进行和保证质量。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一是在实施过程中成本节约方面欠缺，没有将资金使用效益最大化；自评报告的格式不规范，内容结构过于混乱，分指标评估衡量方式比较简单，评价内容不够全面；部门沟通协调不足，监督责任不明确。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二是项目指标设定不够科学，数据收集不够全面，影响评价的客观性。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三是项目在实施过程中，缺乏动态跟踪，仅在特定的时间进行跟踪，对经费使用的全过程跟踪不足，无法及时发现和解决问题，各部门之间关于绩效评价的信息交流不充分，沟通反馈不畅，影响改进措施的落实。</w:t>
      </w:r>
    </w:p>
    <w:p w14:paraId="4B68F601">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065D32C7">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加强管理，及时掌握与之相关的各类信息，减少成本，使资金效益最大化；自评报告遵循统一的格式规范编写报告，是内容条例清晰，通过绩效管理，发现实施中存在漏洞；加强沟通协作，促进各部门在绩效评级过程中的沟通协作，及时共享信息和反馈意见。</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实施全程监控，进行实施动态监控跟踪，对实施中发现的一些问题随时调整策略，改进措施进行持续跟踪，确保落实到位。加强项目相关人员的培训，提高绩效评价工资的专业水平和能力。在决策过程中，要提高员工对预算绩效的认识和执行力，项目决策规划要准备充分，全过程检查监督项目资金的运行，确保项目资金有效使用，项目得以顺利实施。</w:t>
      </w:r>
    </w:p>
    <w:p w14:paraId="646AEB04">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07EE8922">
      <w:pPr>
        <w:spacing w:line="540" w:lineRule="exact"/>
        <w:ind w:firstLine="567"/>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（一）评价结果作为安排政府预算、完善政策和改进管理的重要依据。原则上，对评价等级为优、良的，根据情况予以支持；对评价等级为中、差的，要完善政策、改进管理，根据情况核减预算。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（二）评价结果分别编入政府决算和部门预算，报送本级人民代表大会常务委员会，并依法予以公开。</w:t>
      </w:r>
      <w:r>
        <w:rPr>
          <w:rStyle w:val="19"/>
          <w:rFonts w:hint="eastAsia" w:ascii="楷体" w:hAnsi="楷体" w:eastAsia="楷体"/>
          <w:b w:val="0"/>
          <w:bCs w:val="0"/>
          <w:spacing w:val="-4"/>
          <w:sz w:val="32"/>
          <w:szCs w:val="32"/>
          <w:lang w:val="en-US" w:eastAsia="zh-CN"/>
        </w:rPr>
        <w:t xml:space="preserve"> </w:t>
      </w:r>
    </w:p>
    <w:p w14:paraId="19998805">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02301A8A">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51160470">
        <w:pPr>
          <w:pStyle w:val="12"/>
          <w:jc w:val="center"/>
        </w:pPr>
        <w:r>
          <w:fldChar w:fldCharType="begin"/>
        </w:r>
        <w:r>
          <w:instrText xml:space="preserve">PAGE   \* MERGEFORMAT</w:instrText>
        </w:r>
        <w:r>
          <w:fldChar w:fldCharType="separate"/>
        </w:r>
        <w:r>
          <w:rPr>
            <w:lang w:val="zh-CN"/>
          </w:rPr>
          <w:t>1</w:t>
        </w:r>
        <w:r>
          <w:fldChar w:fldCharType="end"/>
        </w:r>
      </w:p>
    </w:sdtContent>
  </w:sdt>
  <w:p w14:paraId="114AE44F">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ADD1AF7"/>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C734C92AAAF24344A0E4232D8EB3359B</vt:lpwstr>
  </property>
  <property fmtid="{D5CDD505-2E9C-101B-9397-08002B2CF9AE}" pid="4" name="KSOTemplateDocerSaveRecord">
    <vt:lpwstr>eyJoZGlkIjoiOGRkMTA0OTRkNzM5NjE0MDdlMWQ0ODk1NDFhODEwYTAifQ==</vt:lpwstr>
  </property>
</Properties>
</file>

<file path=customXml/itemProps1.xml><?xml version="1.0" encoding="utf-8"?>
<ds:datastoreItem xmlns:ds="http://schemas.openxmlformats.org/officeDocument/2006/customXml" ds:itemID="{b9cae464-6323-44c5-990c-c645b07cc5c0}">
  <ds:schemaRefs/>
</ds:datastoreItem>
</file>

<file path=docProps/app.xml><?xml version="1.0" encoding="utf-8"?>
<Properties xmlns="http://schemas.openxmlformats.org/officeDocument/2006/extended-properties" xmlns:vt="http://schemas.openxmlformats.org/officeDocument/2006/docPropsVTypes">
  <Template>Normal.dotm</Template>
  <Pages>21</Pages>
  <Words>893</Words>
  <Characters>944</Characters>
  <Lines>5</Lines>
  <Paragraphs>1</Paragraphs>
  <TotalTime>162</TotalTime>
  <ScaleCrop>false</ScaleCrop>
  <LinksUpToDate>false</LinksUpToDate>
  <CharactersWithSpaces>957</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2025-09-24T08:35:58Z</cp:lastPrinted>
  <dcterms:modified xsi:type="dcterms:W3CDTF">2025-09-24T08:36:01Z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y fmtid="{D5CDD505-2E9C-101B-9397-08002B2CF9AE}" pid="4" name="KSOTemplateDocerSaveRecord">
    <vt:lpwstr>eyJoZGlkIjoiOGRkMTA0OTRkNzM5NjE0MDdlMWQ0ODk1NDFhODEwYTAifQ_x003D__x003D_</vt:lpwstr>
  </property>
</Properties>
</file>