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和田地区社会保险中心2024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C910BE4">
      <w:r>
        <w:br w:type="page"/>
      </w:r>
    </w:p>
    <w:p w14:paraId="1201D757">
      <w:pPr>
        <w:spacing w:line="640" w:lineRule="exact"/>
        <w:jc w:val="center"/>
        <w:outlineLvl w:val="1"/>
      </w:pPr>
      <w:r>
        <w:rPr>
          <w:rFonts w:ascii="黑体" w:hAnsi="黑体" w:eastAsia="黑体"/>
          <w:sz w:val="32"/>
        </w:rPr>
        <w:t>第一部分 单位概况</w:t>
      </w:r>
    </w:p>
    <w:p w14:paraId="3E247876">
      <w:pPr>
        <w:spacing w:line="640" w:lineRule="exact"/>
        <w:ind w:firstLine="640"/>
        <w:jc w:val="both"/>
        <w:outlineLvl w:val="2"/>
      </w:pPr>
      <w:r>
        <w:rPr>
          <w:rFonts w:ascii="黑体" w:hAnsi="黑体" w:eastAsia="黑体"/>
          <w:sz w:val="32"/>
        </w:rPr>
        <w:t>一、主要职能</w:t>
      </w:r>
    </w:p>
    <w:p w14:paraId="02511AB8">
      <w:pPr>
        <w:spacing w:line="580" w:lineRule="exact"/>
        <w:ind w:firstLine="640"/>
        <w:jc w:val="both"/>
      </w:pPr>
      <w:r>
        <w:rPr>
          <w:rFonts w:ascii="仿宋_GB2312" w:hAnsi="仿宋_GB2312" w:eastAsia="仿宋_GB2312"/>
          <w:sz w:val="32"/>
        </w:rPr>
        <w:t>贯彻执行党的各项方针、政策，在地区人力资源和社会保障局领导和直接指导下，编制和田地区社会保险经办工作的长远规划和年度计划，并组织实施；编制全地区各项社会保险扩面计划并组织实施；统筹组织全地区企业及机关事业单位养老保险各项待遇支付、调整、社会化服务工作，统筹组织全地区企业职工死亡丧葬费抚恤金的支付，机关事业单位退休职工个人账户和职业年金的清算，编制养老保险统计报表。</w:t>
      </w:r>
    </w:p>
    <w:p w14:paraId="0C89D91D">
      <w:pPr>
        <w:spacing w:line="640" w:lineRule="exact"/>
        <w:ind w:firstLine="640"/>
        <w:jc w:val="both"/>
        <w:outlineLvl w:val="2"/>
      </w:pPr>
      <w:r>
        <w:rPr>
          <w:rFonts w:ascii="黑体" w:hAnsi="黑体" w:eastAsia="黑体"/>
          <w:sz w:val="32"/>
        </w:rPr>
        <w:t>二、机构设置及人员情况</w:t>
      </w:r>
    </w:p>
    <w:p w14:paraId="0E4780FE">
      <w:pPr>
        <w:spacing w:line="580" w:lineRule="exact"/>
        <w:ind w:firstLine="640"/>
        <w:jc w:val="both"/>
      </w:pPr>
      <w:r>
        <w:rPr>
          <w:rFonts w:ascii="仿宋_GB2312" w:hAnsi="仿宋_GB2312" w:eastAsia="仿宋_GB2312"/>
          <w:sz w:val="32"/>
        </w:rPr>
        <w:t>和田地区社会保险中心2024年度，实有人数44人，其中：在职人员29人，减少1人；离休人员0人，增加0人；退休人员15人,增加1人。</w:t>
      </w:r>
    </w:p>
    <w:p w14:paraId="53D27F6E">
      <w:pPr>
        <w:spacing w:line="580" w:lineRule="exact"/>
        <w:ind w:firstLine="640"/>
        <w:jc w:val="both"/>
      </w:pPr>
      <w:r>
        <w:rPr>
          <w:rFonts w:ascii="仿宋_GB2312" w:hAnsi="仿宋_GB2312" w:eastAsia="仿宋_GB2312"/>
          <w:sz w:val="32"/>
        </w:rPr>
        <w:t>和田地区社会保险中心无下属预算单位，下设8个科室，分别是：办公室、社会保险综合业务科、社会保险待遇支付科、社会保险待遇审核科、社会保险基金财务科、社会保险基金稳核内控科、信息网络科、档案管理科。</w:t>
      </w:r>
    </w:p>
    <w:p w14:paraId="68F17C2F">
      <w:r>
        <w:br w:type="page"/>
      </w:r>
    </w:p>
    <w:p w14:paraId="68B9D573">
      <w:pPr>
        <w:spacing w:line="240" w:lineRule="auto"/>
        <w:jc w:val="center"/>
        <w:outlineLvl w:val="1"/>
      </w:pPr>
      <w:r>
        <w:rPr>
          <w:rFonts w:ascii="黑体" w:hAnsi="黑体" w:eastAsia="黑体"/>
          <w:sz w:val="32"/>
        </w:rPr>
        <w:t>第二部分 部门决算情况说明</w:t>
      </w:r>
    </w:p>
    <w:p w14:paraId="7A1E1F1B">
      <w:pPr>
        <w:spacing w:line="640" w:lineRule="exact"/>
        <w:ind w:firstLine="640"/>
        <w:jc w:val="both"/>
        <w:outlineLvl w:val="2"/>
      </w:pPr>
      <w:r>
        <w:rPr>
          <w:rFonts w:ascii="黑体" w:hAnsi="黑体" w:eastAsia="黑体"/>
          <w:sz w:val="32"/>
        </w:rPr>
        <w:t>一、收入支出决算总体情况说明</w:t>
      </w:r>
    </w:p>
    <w:p w14:paraId="139DE9EE">
      <w:pPr>
        <w:spacing w:line="580" w:lineRule="exact"/>
        <w:ind w:firstLine="640"/>
        <w:jc w:val="both"/>
      </w:pPr>
      <w:r>
        <w:rPr>
          <w:rFonts w:ascii="仿宋_GB2312" w:hAnsi="仿宋_GB2312" w:eastAsia="仿宋_GB2312"/>
          <w:b/>
          <w:sz w:val="32"/>
        </w:rPr>
        <w:t>2024年度收入总计975.01万元，</w:t>
      </w:r>
      <w:r>
        <w:rPr>
          <w:rFonts w:ascii="仿宋_GB2312" w:hAnsi="仿宋_GB2312" w:eastAsia="仿宋_GB2312"/>
          <w:b w:val="0"/>
          <w:sz w:val="32"/>
        </w:rPr>
        <w:t>其中：本年收入合计958.59万元，使用非财政拨款结</w:t>
      </w:r>
      <w:r>
        <w:rPr>
          <w:rFonts w:hint="eastAsia" w:ascii="仿宋_GB2312" w:hAnsi="仿宋_GB2312" w:eastAsia="仿宋_GB2312"/>
          <w:b w:val="0"/>
          <w:sz w:val="32"/>
          <w:lang w:eastAsia="zh-CN"/>
        </w:rPr>
        <w:t>本</w:t>
      </w:r>
      <w:r>
        <w:rPr>
          <w:rFonts w:ascii="仿宋_GB2312" w:hAnsi="仿宋_GB2312" w:eastAsia="仿宋_GB2312"/>
          <w:b w:val="0"/>
          <w:sz w:val="32"/>
        </w:rPr>
        <w:t>（含专用结</w:t>
      </w:r>
      <w:r>
        <w:rPr>
          <w:rFonts w:hint="eastAsia" w:ascii="仿宋_GB2312" w:hAnsi="仿宋_GB2312" w:eastAsia="仿宋_GB2312"/>
          <w:b w:val="0"/>
          <w:sz w:val="32"/>
          <w:lang w:eastAsia="zh-CN"/>
        </w:rPr>
        <w:t>本</w:t>
      </w:r>
      <w:r>
        <w:rPr>
          <w:rFonts w:ascii="仿宋_GB2312" w:hAnsi="仿宋_GB2312" w:eastAsia="仿宋_GB2312"/>
          <w:b w:val="0"/>
          <w:sz w:val="32"/>
        </w:rPr>
        <w:t>）0.00万元，年初结转和结</w:t>
      </w:r>
      <w:r>
        <w:rPr>
          <w:rFonts w:hint="eastAsia" w:ascii="仿宋_GB2312" w:hAnsi="仿宋_GB2312" w:eastAsia="仿宋_GB2312"/>
          <w:b w:val="0"/>
          <w:sz w:val="32"/>
          <w:lang w:eastAsia="zh-CN"/>
        </w:rPr>
        <w:t>本</w:t>
      </w:r>
      <w:r>
        <w:rPr>
          <w:rFonts w:ascii="仿宋_GB2312" w:hAnsi="仿宋_GB2312" w:eastAsia="仿宋_GB2312"/>
          <w:b w:val="0"/>
          <w:sz w:val="32"/>
        </w:rPr>
        <w:t>16.42万元。</w:t>
      </w:r>
    </w:p>
    <w:p w14:paraId="2FDD40DC">
      <w:pPr>
        <w:spacing w:line="580" w:lineRule="exact"/>
        <w:ind w:firstLine="640"/>
        <w:jc w:val="both"/>
      </w:pPr>
      <w:r>
        <w:rPr>
          <w:rFonts w:ascii="仿宋_GB2312" w:hAnsi="仿宋_GB2312" w:eastAsia="仿宋_GB2312"/>
          <w:b/>
          <w:sz w:val="32"/>
        </w:rPr>
        <w:t>2024年度支出总计975.01万元，</w:t>
      </w:r>
      <w:r>
        <w:rPr>
          <w:rFonts w:ascii="仿宋_GB2312" w:hAnsi="仿宋_GB2312" w:eastAsia="仿宋_GB2312"/>
          <w:b w:val="0"/>
          <w:sz w:val="32"/>
        </w:rPr>
        <w:t>其中：本年支出合计958.61万元，结</w:t>
      </w:r>
      <w:r>
        <w:rPr>
          <w:rFonts w:hint="eastAsia" w:ascii="仿宋_GB2312" w:hAnsi="仿宋_GB2312" w:eastAsia="仿宋_GB2312"/>
          <w:b w:val="0"/>
          <w:sz w:val="32"/>
          <w:lang w:eastAsia="zh-CN"/>
        </w:rPr>
        <w:t>本</w:t>
      </w:r>
      <w:r>
        <w:rPr>
          <w:rFonts w:ascii="仿宋_GB2312" w:hAnsi="仿宋_GB2312" w:eastAsia="仿宋_GB2312"/>
          <w:b w:val="0"/>
          <w:sz w:val="32"/>
        </w:rPr>
        <w:t>分配0.00万元，年末结转和结</w:t>
      </w:r>
      <w:r>
        <w:rPr>
          <w:rFonts w:hint="eastAsia" w:ascii="仿宋_GB2312" w:hAnsi="仿宋_GB2312" w:eastAsia="仿宋_GB2312"/>
          <w:b w:val="0"/>
          <w:sz w:val="32"/>
          <w:lang w:eastAsia="zh-CN"/>
        </w:rPr>
        <w:t>本</w:t>
      </w:r>
      <w:r>
        <w:rPr>
          <w:rFonts w:ascii="仿宋_GB2312" w:hAnsi="仿宋_GB2312" w:eastAsia="仿宋_GB2312"/>
          <w:b w:val="0"/>
          <w:sz w:val="32"/>
        </w:rPr>
        <w:t>16.40万元。</w:t>
      </w:r>
    </w:p>
    <w:p w14:paraId="6AE2B246">
      <w:pPr>
        <w:spacing w:line="580" w:lineRule="exact"/>
        <w:ind w:firstLine="640"/>
        <w:jc w:val="both"/>
      </w:pPr>
      <w:r>
        <w:rPr>
          <w:rFonts w:ascii="仿宋_GB2312" w:hAnsi="仿宋_GB2312" w:eastAsia="仿宋_GB2312"/>
          <w:b w:val="0"/>
          <w:sz w:val="32"/>
        </w:rPr>
        <w:t>收入支出总体与上年相比，增加6.81万元，增长0.70%，主要原因是：本年在职人员工资调增，社保、公积金基数调增，人员经费增加。</w:t>
      </w:r>
    </w:p>
    <w:p w14:paraId="6FEC38E1">
      <w:pPr>
        <w:spacing w:line="640" w:lineRule="exact"/>
        <w:ind w:firstLine="640"/>
        <w:jc w:val="both"/>
        <w:outlineLvl w:val="2"/>
      </w:pPr>
      <w:r>
        <w:rPr>
          <w:rFonts w:ascii="黑体" w:hAnsi="黑体" w:eastAsia="黑体"/>
          <w:sz w:val="32"/>
        </w:rPr>
        <w:t>二、收入决算情况说明</w:t>
      </w:r>
    </w:p>
    <w:p w14:paraId="2B112198">
      <w:pPr>
        <w:spacing w:line="580" w:lineRule="exact"/>
        <w:ind w:firstLine="640"/>
        <w:jc w:val="both"/>
      </w:pPr>
      <w:r>
        <w:rPr>
          <w:rFonts w:ascii="仿宋_GB2312" w:hAnsi="仿宋_GB2312" w:eastAsia="仿宋_GB2312"/>
          <w:b/>
          <w:sz w:val="32"/>
        </w:rPr>
        <w:t>本年收入958.59万元，</w:t>
      </w:r>
      <w:r>
        <w:rPr>
          <w:rFonts w:ascii="仿宋_GB2312" w:hAnsi="仿宋_GB2312" w:eastAsia="仿宋_GB2312"/>
          <w:b w:val="0"/>
          <w:sz w:val="32"/>
        </w:rPr>
        <w:t>其中：财政拨款收入958.43万元，占99.98%；上级补助收入0.00万元，占0.00%；事业收入0.00万元，占0.00%；经营收入0.00万元，占0.00%；附属单位上缴收入0.00万元，占0.00%；其他收入0.16万元，占0.02%。</w:t>
      </w:r>
    </w:p>
    <w:p w14:paraId="6AF346D6">
      <w:pPr>
        <w:spacing w:line="640" w:lineRule="exact"/>
        <w:ind w:firstLine="640"/>
        <w:jc w:val="both"/>
        <w:outlineLvl w:val="2"/>
      </w:pPr>
      <w:r>
        <w:rPr>
          <w:rFonts w:ascii="黑体" w:hAnsi="黑体" w:eastAsia="黑体"/>
          <w:sz w:val="32"/>
        </w:rPr>
        <w:t>三、支出决算情况说明</w:t>
      </w:r>
    </w:p>
    <w:p w14:paraId="3F3ECFBE">
      <w:pPr>
        <w:spacing w:line="580" w:lineRule="exact"/>
        <w:ind w:firstLine="640"/>
        <w:jc w:val="both"/>
      </w:pPr>
      <w:r>
        <w:rPr>
          <w:rFonts w:ascii="仿宋_GB2312" w:hAnsi="仿宋_GB2312" w:eastAsia="仿宋_GB2312"/>
          <w:b/>
          <w:sz w:val="32"/>
        </w:rPr>
        <w:t>本年支出958.61万元，</w:t>
      </w:r>
      <w:r>
        <w:rPr>
          <w:rFonts w:ascii="仿宋_GB2312" w:hAnsi="仿宋_GB2312" w:eastAsia="仿宋_GB2312"/>
          <w:b w:val="0"/>
          <w:sz w:val="32"/>
        </w:rPr>
        <w:t>其中：基本支出811.51万元，占84.65%；项目支出147.10万元，占15.35%；上缴上级支出0.00万元，占0.00%；经营支出0.00万元，占0.00%；对附属单位补助支出0.00万元，占0.00%。</w:t>
      </w:r>
    </w:p>
    <w:p w14:paraId="3F8F9EE0">
      <w:pPr>
        <w:spacing w:line="640" w:lineRule="exact"/>
        <w:ind w:firstLine="640"/>
        <w:jc w:val="both"/>
        <w:outlineLvl w:val="2"/>
      </w:pPr>
      <w:r>
        <w:rPr>
          <w:rFonts w:ascii="黑体" w:hAnsi="黑体" w:eastAsia="黑体"/>
          <w:sz w:val="32"/>
        </w:rPr>
        <w:t>四、财政拨款收入支出决算总体情况说明</w:t>
      </w:r>
    </w:p>
    <w:p w14:paraId="481A710E">
      <w:pPr>
        <w:spacing w:line="580" w:lineRule="exact"/>
        <w:ind w:firstLine="640"/>
        <w:jc w:val="both"/>
      </w:pPr>
      <w:r>
        <w:rPr>
          <w:rFonts w:ascii="仿宋_GB2312" w:hAnsi="仿宋_GB2312" w:eastAsia="仿宋_GB2312"/>
          <w:b/>
          <w:sz w:val="32"/>
        </w:rPr>
        <w:t>2024年度财政拨款收入总计969.28万元，</w:t>
      </w:r>
      <w:r>
        <w:rPr>
          <w:rFonts w:ascii="仿宋_GB2312" w:hAnsi="仿宋_GB2312" w:eastAsia="仿宋_GB2312"/>
          <w:b w:val="0"/>
          <w:sz w:val="32"/>
        </w:rPr>
        <w:t>其中：年初财政拨款结转和结</w:t>
      </w:r>
      <w:r>
        <w:rPr>
          <w:rFonts w:hint="eastAsia" w:ascii="仿宋_GB2312" w:hAnsi="仿宋_GB2312" w:eastAsia="仿宋_GB2312"/>
          <w:b w:val="0"/>
          <w:sz w:val="32"/>
          <w:lang w:eastAsia="zh-CN"/>
        </w:rPr>
        <w:t>本</w:t>
      </w:r>
      <w:r>
        <w:rPr>
          <w:rFonts w:ascii="仿宋_GB2312" w:hAnsi="仿宋_GB2312" w:eastAsia="仿宋_GB2312"/>
          <w:b w:val="0"/>
          <w:sz w:val="32"/>
        </w:rPr>
        <w:t>10.85万元，本年财政拨款收入958.43万元。</w:t>
      </w:r>
      <w:r>
        <w:rPr>
          <w:rFonts w:ascii="仿宋_GB2312" w:hAnsi="仿宋_GB2312" w:eastAsia="仿宋_GB2312"/>
          <w:b/>
          <w:sz w:val="32"/>
        </w:rPr>
        <w:t>财政拨款支出总计969.28万元，</w:t>
      </w:r>
      <w:r>
        <w:rPr>
          <w:rFonts w:ascii="仿宋_GB2312" w:hAnsi="仿宋_GB2312" w:eastAsia="仿宋_GB2312"/>
          <w:b w:val="0"/>
          <w:sz w:val="32"/>
        </w:rPr>
        <w:t>其中：年末财政拨款结转和结余10.85万元，本年财政拨款支出958.43万元。</w:t>
      </w:r>
    </w:p>
    <w:p w14:paraId="6027471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增加6.94万元，增长0.72%，主要原因是：本年在职人员工资调增，社保、公积金基数调增，人员经费增加。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年初预算数881.77万元，决算数969.28万元，预决算差异率9.92%，主要原因是：年中追加人员工资、社保、公积金基数调增部分资金，追加</w:t>
      </w:r>
      <w:r>
        <w:rPr>
          <w:rFonts w:hint="eastAsia" w:ascii="仿宋_GB2312" w:hAnsi="仿宋_GB2312" w:eastAsia="仿宋_GB2312"/>
          <w:b w:val="0"/>
          <w:sz w:val="32"/>
          <w:lang w:eastAsia="zh-CN"/>
        </w:rPr>
        <w:t>退休人员职业年金及退休死亡人员抚恤金</w:t>
      </w:r>
      <w:r>
        <w:rPr>
          <w:rFonts w:ascii="仿宋_GB2312" w:hAnsi="仿宋_GB2312" w:eastAsia="仿宋_GB2312"/>
          <w:b w:val="0"/>
          <w:sz w:val="32"/>
        </w:rPr>
        <w:t>，导致预决算存在差异。</w:t>
      </w:r>
    </w:p>
    <w:p w14:paraId="06526E3A">
      <w:pPr>
        <w:spacing w:line="640" w:lineRule="exact"/>
        <w:ind w:firstLine="640"/>
        <w:jc w:val="both"/>
        <w:outlineLvl w:val="2"/>
      </w:pPr>
      <w:r>
        <w:rPr>
          <w:rFonts w:ascii="黑体" w:hAnsi="黑体" w:eastAsia="黑体"/>
          <w:sz w:val="32"/>
        </w:rPr>
        <w:t>五、一般公共预算财政拨款支出决算情况说明</w:t>
      </w:r>
    </w:p>
    <w:p w14:paraId="45A7CBDD">
      <w:pPr>
        <w:spacing w:line="640" w:lineRule="exact"/>
        <w:ind w:firstLine="640"/>
        <w:jc w:val="both"/>
        <w:outlineLvl w:val="3"/>
      </w:pPr>
      <w:r>
        <w:rPr>
          <w:rFonts w:ascii="楷体_GB2312" w:hAnsi="楷体_GB2312" w:eastAsia="楷体_GB2312"/>
          <w:b/>
          <w:sz w:val="32"/>
        </w:rPr>
        <w:t>（一）一般公共预算财政拨款支出决算总体情况</w:t>
      </w:r>
    </w:p>
    <w:p w14:paraId="6A2BB0B2">
      <w:pPr>
        <w:spacing w:line="580" w:lineRule="exact"/>
        <w:ind w:firstLine="640"/>
        <w:jc w:val="both"/>
      </w:pPr>
      <w:r>
        <w:rPr>
          <w:rFonts w:ascii="仿宋_GB2312" w:hAnsi="仿宋_GB2312" w:eastAsia="仿宋_GB2312"/>
          <w:b/>
          <w:sz w:val="32"/>
        </w:rPr>
        <w:t>2024年度一般公共预算财政拨款支出958.43万元，</w:t>
      </w:r>
      <w:r>
        <w:rPr>
          <w:rFonts w:ascii="仿宋_GB2312" w:hAnsi="仿宋_GB2312" w:eastAsia="仿宋_GB2312"/>
          <w:b w:val="0"/>
          <w:sz w:val="32"/>
        </w:rPr>
        <w:t>占本年支出合计的99.98%。</w:t>
      </w:r>
      <w:r>
        <w:rPr>
          <w:rFonts w:ascii="仿宋_GB2312" w:hAnsi="仿宋_GB2312" w:eastAsia="仿宋_GB2312"/>
          <w:b/>
          <w:sz w:val="32"/>
        </w:rPr>
        <w:t>与上年相比，</w:t>
      </w:r>
      <w:r>
        <w:rPr>
          <w:rFonts w:ascii="仿宋_GB2312" w:hAnsi="仿宋_GB2312" w:eastAsia="仿宋_GB2312"/>
          <w:b w:val="0"/>
          <w:sz w:val="32"/>
        </w:rPr>
        <w:t>增加6.94万元，增长0.73%，主要原因是：本年在职人员工资调增，社保、公积金基数调增，人员经费增加。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年初预算数881.77万元，决算数958.43万元，预决算差异率8.69%，主要原因是：年中追加人员工资、社保、公积金基数调增部分资金追加</w:t>
      </w:r>
      <w:r>
        <w:rPr>
          <w:rFonts w:hint="eastAsia" w:ascii="仿宋_GB2312" w:hAnsi="仿宋_GB2312" w:eastAsia="仿宋_GB2312"/>
          <w:b w:val="0"/>
          <w:sz w:val="32"/>
          <w:lang w:eastAsia="zh-CN"/>
        </w:rPr>
        <w:t>退休人员职业年金及退休死亡人员抚恤金</w:t>
      </w:r>
      <w:r>
        <w:rPr>
          <w:rFonts w:ascii="仿宋_GB2312" w:hAnsi="仿宋_GB2312" w:eastAsia="仿宋_GB2312"/>
          <w:b w:val="0"/>
          <w:sz w:val="32"/>
        </w:rPr>
        <w:t>，导致预决算存在差异。</w:t>
      </w:r>
    </w:p>
    <w:p w14:paraId="66443FBA">
      <w:pPr>
        <w:spacing w:line="640" w:lineRule="exact"/>
        <w:ind w:firstLine="640"/>
        <w:jc w:val="both"/>
        <w:outlineLvl w:val="3"/>
      </w:pPr>
      <w:r>
        <w:rPr>
          <w:rFonts w:ascii="楷体_GB2312" w:hAnsi="楷体_GB2312" w:eastAsia="楷体_GB2312"/>
          <w:b/>
          <w:sz w:val="32"/>
        </w:rPr>
        <w:t>（二）一般公共预算财政拨款支出决算结构情况</w:t>
      </w:r>
    </w:p>
    <w:p w14:paraId="74C1B071">
      <w:pPr>
        <w:spacing w:line="580" w:lineRule="exact"/>
        <w:ind w:firstLine="640"/>
        <w:jc w:val="both"/>
      </w:pPr>
      <w:r>
        <w:rPr>
          <w:rFonts w:ascii="仿宋_GB2312" w:hAnsi="仿宋_GB2312" w:eastAsia="仿宋_GB2312"/>
          <w:b w:val="0"/>
          <w:sz w:val="32"/>
        </w:rPr>
        <w:t>1.社会保障和就业支出(类)861.03万元,占89.84%。</w:t>
      </w:r>
    </w:p>
    <w:p w14:paraId="5A90BB54">
      <w:pPr>
        <w:spacing w:line="580" w:lineRule="exact"/>
        <w:ind w:firstLine="640"/>
        <w:jc w:val="both"/>
      </w:pPr>
      <w:r>
        <w:rPr>
          <w:rFonts w:ascii="仿宋_GB2312" w:hAnsi="仿宋_GB2312" w:eastAsia="仿宋_GB2312"/>
          <w:b w:val="0"/>
          <w:sz w:val="32"/>
        </w:rPr>
        <w:t>2.卫生健康支出(类)44.64万元,占4.66%。</w:t>
      </w:r>
    </w:p>
    <w:p w14:paraId="5859F7FA">
      <w:pPr>
        <w:spacing w:line="580" w:lineRule="exact"/>
        <w:ind w:firstLine="640"/>
        <w:jc w:val="both"/>
      </w:pPr>
      <w:r>
        <w:rPr>
          <w:rFonts w:ascii="仿宋_GB2312" w:hAnsi="仿宋_GB2312" w:eastAsia="仿宋_GB2312"/>
          <w:b w:val="0"/>
          <w:sz w:val="32"/>
        </w:rPr>
        <w:t>3.住房保障支出(类)52.76万元,占5.50%。</w:t>
      </w:r>
    </w:p>
    <w:p w14:paraId="213ADE04">
      <w:pPr>
        <w:spacing w:line="640" w:lineRule="exact"/>
        <w:ind w:firstLine="640"/>
        <w:jc w:val="both"/>
        <w:outlineLvl w:val="3"/>
      </w:pPr>
      <w:r>
        <w:rPr>
          <w:rFonts w:ascii="楷体_GB2312" w:hAnsi="楷体_GB2312" w:eastAsia="楷体_GB2312"/>
          <w:b/>
          <w:sz w:val="32"/>
        </w:rPr>
        <w:t>（三）一般公共预算财政拨款支出决算具体情况</w:t>
      </w:r>
    </w:p>
    <w:p w14:paraId="2C5F3F0E">
      <w:pPr>
        <w:spacing w:line="580" w:lineRule="exact"/>
        <w:ind w:firstLine="640"/>
        <w:jc w:val="both"/>
      </w:pPr>
      <w:r>
        <w:rPr>
          <w:rFonts w:ascii="仿宋_GB2312" w:hAnsi="仿宋_GB2312" w:eastAsia="仿宋_GB2312"/>
          <w:b w:val="0"/>
          <w:sz w:val="32"/>
        </w:rPr>
        <w:t>1.社会保障和就业支出(类)人力资源和社会保障管理事务(款)行政运行(项):支出决算数为602.58万元，比上年决算减少69.31万元，下降10.32%,主要原因是：本年功能科目调整，行政单位离退休、行政单位医疗、公务员医疗补助、住房公积金经费上年度在主科目列支，本年单独列支，导致经费较上年减少。</w:t>
      </w:r>
    </w:p>
    <w:p w14:paraId="0598DC29">
      <w:pPr>
        <w:spacing w:line="580" w:lineRule="exact"/>
        <w:ind w:firstLine="640"/>
        <w:jc w:val="both"/>
      </w:pPr>
      <w:r>
        <w:rPr>
          <w:rFonts w:ascii="仿宋_GB2312" w:hAnsi="仿宋_GB2312" w:eastAsia="仿宋_GB2312"/>
          <w:b w:val="0"/>
          <w:sz w:val="32"/>
        </w:rPr>
        <w:t>2.社会保障和就业支出(类)人力资源和社会保障管理事务(款)社会保险经办机构(项):支出决算数为17.50万元，比上年决算减少16.89万元，下降49.11%,主要原因是：本年自治区财政社保经办机构业务补助经费项目减少，导致较上年减少。</w:t>
      </w:r>
    </w:p>
    <w:p w14:paraId="55E52813">
      <w:pPr>
        <w:spacing w:line="580" w:lineRule="exact"/>
        <w:ind w:firstLine="640"/>
        <w:jc w:val="both"/>
      </w:pPr>
      <w:r>
        <w:rPr>
          <w:rFonts w:ascii="仿宋_GB2312" w:hAnsi="仿宋_GB2312" w:eastAsia="仿宋_GB2312"/>
          <w:b w:val="0"/>
          <w:sz w:val="32"/>
        </w:rPr>
        <w:t>3.社会保障和就业支出(类)人力资源和社会保障管理事务(款)其他人力资源和社会保障管理事务支出(项):支出决算数为0.00万元，比上年决算减少3.26万元，下降100.00%,主要原因是：本年自治区财政社保经办机构业务补助经费项目减少，导致决算较上年减少。</w:t>
      </w:r>
    </w:p>
    <w:p w14:paraId="6AF70B43">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19.33万元，比上年决算增加19.33万元，增长100.00%,主要原因是：本年功能科目调整，行政单位离退休上年度在主科目列支，本年单独列支，导致经费较上年增加。</w:t>
      </w:r>
    </w:p>
    <w:p w14:paraId="58AC8029">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68.02万元，比上年决算增加6.59万元，增长10.73%,主要原因是：本年在职人员工资基数调增，养老缴费基数上涨，相应支出增加。</w:t>
      </w:r>
    </w:p>
    <w:p w14:paraId="3BF9DA69">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6.社会保障和就业支出(类)行政事业单位养老支出(款)机关事业单位职业年金缴费支出(项):支出决算数为23.99万元，比上年决算增加23.99万元，增长100.00%,主要原因是：本年新增退休人员，导致较上年增加。</w:t>
      </w:r>
    </w:p>
    <w:p w14:paraId="089D9C07">
      <w:pPr>
        <w:spacing w:line="580" w:lineRule="exact"/>
        <w:ind w:firstLine="640"/>
        <w:jc w:val="both"/>
      </w:pPr>
      <w:r>
        <w:rPr>
          <w:rFonts w:ascii="仿宋_GB2312" w:hAnsi="仿宋_GB2312" w:eastAsia="仿宋_GB2312"/>
          <w:b w:val="0"/>
          <w:sz w:val="32"/>
        </w:rPr>
        <w:t>7.社会保障和就业支出(类)企业改革补助(款)其他企业改革发展补助(项):支出决算数为129.60万元，比上年决算减少50.93万元，下降28.21%,主要原因是：本年95年前退休（退职）人员生活补贴较上年资金减少，导致较上年减少。</w:t>
      </w:r>
    </w:p>
    <w:p w14:paraId="67114A1F">
      <w:pPr>
        <w:spacing w:line="580" w:lineRule="exact"/>
        <w:ind w:firstLine="640"/>
        <w:jc w:val="both"/>
      </w:pPr>
      <w:r>
        <w:rPr>
          <w:rFonts w:ascii="仿宋_GB2312" w:hAnsi="仿宋_GB2312" w:eastAsia="仿宋_GB2312"/>
          <w:b w:val="0"/>
          <w:sz w:val="32"/>
        </w:rPr>
        <w:t>8.卫生健康支出(类)行政事业单位医疗(款)行政单位医疗(项):支出决算数为27.63万元，比上年决算增加27.63万元，增长100.00%,主要原因是：本年功能科目调整，行政单位医疗支出上年度在主科目列支，本年单独列支，导致经费较上年增加。</w:t>
      </w:r>
    </w:p>
    <w:p w14:paraId="6C9A5EE9">
      <w:pPr>
        <w:spacing w:line="580" w:lineRule="exact"/>
        <w:ind w:firstLine="640"/>
        <w:jc w:val="both"/>
      </w:pPr>
      <w:r>
        <w:rPr>
          <w:rFonts w:ascii="仿宋_GB2312" w:hAnsi="仿宋_GB2312" w:eastAsia="仿宋_GB2312"/>
          <w:b w:val="0"/>
          <w:sz w:val="32"/>
        </w:rPr>
        <w:t>9.卫生健康支出(类)行政事业单位医疗(款)公务员医疗补助(项):支出决算数为17.01万元，比上年决算增加17.01万元，增长100.00%,主要原因是：本年功能科目调整，公务员医疗补助上年度在主科目列支，本年单独列支，导致经费较上年增加。</w:t>
      </w:r>
    </w:p>
    <w:p w14:paraId="5575D472">
      <w:pPr>
        <w:spacing w:line="580" w:lineRule="exact"/>
        <w:ind w:firstLine="640"/>
        <w:jc w:val="both"/>
      </w:pPr>
      <w:r>
        <w:rPr>
          <w:rFonts w:ascii="仿宋_GB2312" w:hAnsi="仿宋_GB2312" w:eastAsia="仿宋_GB2312"/>
          <w:b w:val="0"/>
          <w:sz w:val="32"/>
        </w:rPr>
        <w:t>10.住房保障支出(类)住房改革支出(款)住房公积金(项):支出决算数为52.76万元，比上年决算增加52.76万元，增长100.00%,主要原因是：本年功能科目调整，住房公积金上年度在主科目列支，本年单独列支，导致经费较上年增加。</w:t>
      </w:r>
    </w:p>
    <w:p w14:paraId="1D5AE92C">
      <w:pPr>
        <w:spacing w:line="640" w:lineRule="exact"/>
        <w:ind w:firstLine="640"/>
        <w:jc w:val="both"/>
        <w:outlineLvl w:val="2"/>
      </w:pPr>
      <w:r>
        <w:rPr>
          <w:rFonts w:ascii="黑体" w:hAnsi="黑体" w:eastAsia="黑体"/>
          <w:sz w:val="32"/>
        </w:rPr>
        <w:t>六、一般公共预算财政拨款基本支出决算情况说明</w:t>
      </w:r>
    </w:p>
    <w:p w14:paraId="04284B27">
      <w:pPr>
        <w:spacing w:line="580" w:lineRule="exact"/>
        <w:ind w:firstLine="640"/>
        <w:jc w:val="both"/>
      </w:pPr>
      <w:r>
        <w:rPr>
          <w:rFonts w:ascii="仿宋_GB2312" w:hAnsi="仿宋_GB2312" w:eastAsia="仿宋_GB2312"/>
          <w:b w:val="0"/>
          <w:sz w:val="32"/>
        </w:rPr>
        <w:t>2024年度一般公共预算财政拨款基本支出811.33万元，其中：</w:t>
      </w:r>
      <w:r>
        <w:rPr>
          <w:rFonts w:ascii="仿宋_GB2312" w:hAnsi="仿宋_GB2312" w:eastAsia="仿宋_GB2312"/>
          <w:b/>
          <w:sz w:val="32"/>
        </w:rPr>
        <w:t>人员经费773.80万元，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抚恤金、生活补助。</w:t>
      </w:r>
    </w:p>
    <w:p w14:paraId="1B9149C6">
      <w:pPr>
        <w:spacing w:line="580" w:lineRule="exact"/>
        <w:ind w:firstLine="640"/>
        <w:jc w:val="both"/>
      </w:pPr>
      <w:r>
        <w:rPr>
          <w:rFonts w:ascii="仿宋_GB2312" w:hAnsi="仿宋_GB2312" w:eastAsia="仿宋_GB2312"/>
          <w:b/>
          <w:sz w:val="32"/>
        </w:rPr>
        <w:t>公用经费37.53万元，</w:t>
      </w:r>
      <w:r>
        <w:rPr>
          <w:rFonts w:ascii="仿宋_GB2312" w:hAnsi="仿宋_GB2312" w:eastAsia="仿宋_GB2312"/>
          <w:b w:val="0"/>
          <w:sz w:val="32"/>
        </w:rPr>
        <w:t>包括：办公费、电费、差旅费、工会经费、福利费、公务用车运行维护费、其他交通费用、其他商品和服务支出。</w:t>
      </w:r>
    </w:p>
    <w:p w14:paraId="0BC088D9">
      <w:pPr>
        <w:spacing w:line="640" w:lineRule="exact"/>
        <w:ind w:firstLine="640"/>
        <w:jc w:val="both"/>
        <w:outlineLvl w:val="2"/>
      </w:pPr>
      <w:r>
        <w:rPr>
          <w:rFonts w:ascii="黑体" w:hAnsi="黑体" w:eastAsia="黑体"/>
          <w:sz w:val="32"/>
        </w:rPr>
        <w:t>七、政府性基金预算财政拨款收入支出决算情况说明</w:t>
      </w:r>
    </w:p>
    <w:p w14:paraId="06D2F2E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0DA9CF0">
      <w:pPr>
        <w:spacing w:line="640" w:lineRule="exact"/>
        <w:ind w:firstLine="640"/>
        <w:jc w:val="both"/>
        <w:outlineLvl w:val="2"/>
      </w:pPr>
      <w:r>
        <w:rPr>
          <w:rFonts w:ascii="黑体" w:hAnsi="黑体" w:eastAsia="黑体"/>
          <w:sz w:val="32"/>
        </w:rPr>
        <w:t>八、国有资本经营预算财政拨款收入支出决算情况说明</w:t>
      </w:r>
    </w:p>
    <w:p w14:paraId="05CFE81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9F7FBD9">
      <w:pPr>
        <w:spacing w:line="640" w:lineRule="exact"/>
        <w:ind w:firstLine="640"/>
        <w:jc w:val="both"/>
        <w:outlineLvl w:val="2"/>
      </w:pPr>
      <w:r>
        <w:rPr>
          <w:rFonts w:ascii="黑体" w:hAnsi="黑体" w:eastAsia="黑体"/>
          <w:sz w:val="32"/>
        </w:rPr>
        <w:t>九、财政拨款“三公”经费支出决算情况说明</w:t>
      </w:r>
    </w:p>
    <w:p w14:paraId="157E83AB">
      <w:pPr>
        <w:spacing w:line="580" w:lineRule="exact"/>
        <w:ind w:firstLine="640"/>
        <w:jc w:val="both"/>
      </w:pPr>
      <w:r>
        <w:rPr>
          <w:rFonts w:ascii="仿宋_GB2312" w:hAnsi="仿宋_GB2312" w:eastAsia="仿宋_GB2312"/>
          <w:b/>
          <w:sz w:val="32"/>
        </w:rPr>
        <w:t>2024年度财政拨款“三公”经费支出4.22万元，</w:t>
      </w:r>
      <w:r>
        <w:rPr>
          <w:rFonts w:ascii="仿宋_GB2312" w:hAnsi="仿宋_GB2312" w:eastAsia="仿宋_GB2312"/>
          <w:b w:val="0"/>
          <w:sz w:val="32"/>
        </w:rPr>
        <w:t>比上年减少0.28万元，下降6.22%，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4.22万元，占100.00%，比上年减少0.28万元，下降6.22%，主要原因是：严格落实中央八项规定精神，厉行节约，减少公务用车运行维护费。公务接待费支出0.00万元，占0.00%，比上年增加0.00万元，增长0.00%，主要原因是：2023年与2024年均未安排公务接待费支出。</w:t>
      </w:r>
    </w:p>
    <w:p w14:paraId="6EFC4FF0">
      <w:pPr>
        <w:spacing w:line="580" w:lineRule="exact"/>
        <w:ind w:firstLine="640"/>
        <w:jc w:val="both"/>
      </w:pPr>
      <w:r>
        <w:rPr>
          <w:rFonts w:ascii="仿宋_GB2312" w:hAnsi="仿宋_GB2312" w:eastAsia="仿宋_GB2312"/>
          <w:b/>
          <w:sz w:val="32"/>
        </w:rPr>
        <w:t>具体情况如下：</w:t>
      </w:r>
    </w:p>
    <w:p w14:paraId="2822A08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1D5B574">
      <w:pPr>
        <w:spacing w:line="580" w:lineRule="exact"/>
        <w:ind w:firstLine="640"/>
        <w:jc w:val="both"/>
      </w:pPr>
      <w:r>
        <w:rPr>
          <w:rFonts w:ascii="仿宋_GB2312" w:hAnsi="仿宋_GB2312" w:eastAsia="仿宋_GB2312"/>
          <w:b w:val="0"/>
          <w:sz w:val="32"/>
        </w:rPr>
        <w:t>公务用车购置及运行维护费4.22万元，其中：公务用车购置费0.00万元，公务用车运行维护费4.22万元。公务用车运行维护费开支内容包括车辆加油费、维修费、保险费、审车费、过路费。公务用车购置数0辆，公务用车保有量3辆。国有资产占用情况中固定资产车辆3辆，与公务用车保有量差异原因是：本单位固定资产车辆与公务用车保有量一致无差异。</w:t>
      </w:r>
    </w:p>
    <w:p w14:paraId="0EB6061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3C5E4F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4.22万元，决算数4.22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4.22万元，决算数4.22万元，预决算差异率0.00%，主要原因是：严格按照预算执行，预决算无差异。公务接待费全年预算数0.00万元，决算数0.00万元，预决算差异率0.00%，主要原因是：本单位无公务接待费。</w:t>
      </w:r>
    </w:p>
    <w:p w14:paraId="3C93644A">
      <w:pPr>
        <w:spacing w:line="640" w:lineRule="exact"/>
        <w:ind w:firstLine="640"/>
        <w:jc w:val="both"/>
        <w:outlineLvl w:val="2"/>
      </w:pPr>
      <w:r>
        <w:rPr>
          <w:rFonts w:ascii="黑体" w:hAnsi="黑体" w:eastAsia="黑体"/>
          <w:sz w:val="32"/>
        </w:rPr>
        <w:t>十、其他重要事项的情况说明</w:t>
      </w:r>
    </w:p>
    <w:p w14:paraId="72C61814">
      <w:pPr>
        <w:spacing w:line="640" w:lineRule="exact"/>
        <w:ind w:firstLine="640"/>
        <w:jc w:val="both"/>
        <w:outlineLvl w:val="3"/>
      </w:pPr>
      <w:r>
        <w:rPr>
          <w:rFonts w:ascii="楷体_GB2312" w:hAnsi="楷体_GB2312" w:eastAsia="楷体_GB2312"/>
          <w:b/>
          <w:sz w:val="32"/>
        </w:rPr>
        <w:t>（一）机关运行经费及公用经费支出情况</w:t>
      </w:r>
    </w:p>
    <w:p w14:paraId="6E99DA9A">
      <w:pPr>
        <w:spacing w:line="580" w:lineRule="exact"/>
        <w:ind w:firstLine="640"/>
        <w:jc w:val="both"/>
      </w:pPr>
      <w:r>
        <w:rPr>
          <w:rFonts w:ascii="仿宋_GB2312" w:hAnsi="仿宋_GB2312" w:eastAsia="仿宋_GB2312"/>
          <w:b w:val="0"/>
          <w:sz w:val="32"/>
        </w:rPr>
        <w:t>2024年度和田地区社会保险中心（行政单位和参照公务员法管理事业单位）机关运行经费支出37.53万元，比上年增加0.27万元，增长0.72%，主要原因是：本年更新、维护补充办公用品，导致机关运行经费支出较上年增加。</w:t>
      </w:r>
    </w:p>
    <w:p w14:paraId="0A45A4D5">
      <w:pPr>
        <w:spacing w:line="640" w:lineRule="exact"/>
        <w:ind w:firstLine="640"/>
        <w:jc w:val="both"/>
        <w:outlineLvl w:val="3"/>
      </w:pPr>
      <w:r>
        <w:rPr>
          <w:rFonts w:ascii="楷体_GB2312" w:hAnsi="楷体_GB2312" w:eastAsia="楷体_GB2312"/>
          <w:b/>
          <w:sz w:val="32"/>
        </w:rPr>
        <w:t>（二）政府采购情况</w:t>
      </w:r>
    </w:p>
    <w:p w14:paraId="5EC81D5F">
      <w:pPr>
        <w:spacing w:line="580" w:lineRule="exact"/>
        <w:ind w:firstLine="640"/>
        <w:jc w:val="both"/>
      </w:pPr>
      <w:r>
        <w:rPr>
          <w:rFonts w:ascii="仿宋_GB2312" w:hAnsi="仿宋_GB2312" w:eastAsia="仿宋_GB2312"/>
          <w:b w:val="0"/>
          <w:sz w:val="32"/>
        </w:rPr>
        <w:t>2024年度政府采购支出总额3.26万元，其中：政府采购货物支出0.48万元、政府采购工程支出0.00万元、政府采购服务支出2.79万元。</w:t>
      </w:r>
    </w:p>
    <w:p w14:paraId="491C7444">
      <w:pPr>
        <w:spacing w:line="580" w:lineRule="exact"/>
        <w:ind w:firstLine="640"/>
        <w:jc w:val="both"/>
      </w:pPr>
      <w:r>
        <w:rPr>
          <w:rFonts w:ascii="仿宋_GB2312" w:hAnsi="仿宋_GB2312" w:eastAsia="仿宋_GB2312"/>
          <w:b w:val="0"/>
          <w:sz w:val="32"/>
        </w:rPr>
        <w:t>授予中小企业合同金额2.76万元，占政府采购支出总额的84.66%，其中：授予小微企业合同金额2.76万元，占政府采购支出总额的84.66%。</w:t>
      </w:r>
    </w:p>
    <w:p w14:paraId="578881BD">
      <w:pPr>
        <w:spacing w:line="640" w:lineRule="exact"/>
        <w:ind w:firstLine="640"/>
        <w:jc w:val="both"/>
        <w:outlineLvl w:val="3"/>
      </w:pPr>
      <w:r>
        <w:rPr>
          <w:rFonts w:ascii="楷体_GB2312" w:hAnsi="楷体_GB2312" w:eastAsia="楷体_GB2312"/>
          <w:b/>
          <w:sz w:val="32"/>
        </w:rPr>
        <w:t>（三）国有资产占用情况说明</w:t>
      </w:r>
    </w:p>
    <w:p w14:paraId="264BFC3E">
      <w:pPr>
        <w:spacing w:line="580" w:lineRule="exact"/>
        <w:ind w:firstLine="640"/>
        <w:jc w:val="both"/>
      </w:pPr>
      <w:r>
        <w:rPr>
          <w:rFonts w:ascii="仿宋_GB2312" w:hAnsi="仿宋_GB2312" w:eastAsia="仿宋_GB2312"/>
          <w:b w:val="0"/>
          <w:sz w:val="32"/>
        </w:rPr>
        <w:t>截至2024年12月31日，房屋0.00平方米，价值0.00万元。车辆3辆，价值72.52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51AECED0">
      <w:pPr>
        <w:spacing w:line="640" w:lineRule="exact"/>
        <w:ind w:firstLine="640"/>
        <w:jc w:val="both"/>
        <w:outlineLvl w:val="2"/>
      </w:pPr>
      <w:r>
        <w:rPr>
          <w:rFonts w:ascii="黑体" w:hAnsi="黑体" w:eastAsia="黑体"/>
          <w:sz w:val="32"/>
        </w:rPr>
        <w:t>十一、预算绩效的情况说明</w:t>
      </w:r>
    </w:p>
    <w:p w14:paraId="72C0633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975.01万元，实际执行总额958.61万元；预算绩效评价项目3个，全年预算数147.10万元，全年执行数144.70万元。预算绩效管理取得的成效：一是加强预算管理，规范财务行为，</w:t>
      </w:r>
      <w:r>
        <w:rPr>
          <w:rFonts w:hint="eastAsia" w:ascii="仿宋_GB2312" w:hAnsi="仿宋_GB2312" w:eastAsia="仿宋_GB2312"/>
          <w:b w:val="0"/>
          <w:sz w:val="32"/>
          <w:lang w:eastAsia="zh-CN"/>
        </w:rPr>
        <w:t>本</w:t>
      </w:r>
      <w:r>
        <w:rPr>
          <w:rFonts w:ascii="仿宋_GB2312" w:hAnsi="仿宋_GB2312" w:eastAsia="仿宋_GB2312"/>
          <w:b w:val="0"/>
          <w:sz w:val="32"/>
        </w:rPr>
        <w:t>单位已制定《和田地区社保中心预算绩效管理工作实施办法</w:t>
      </w:r>
      <w:r>
        <w:rPr>
          <w:rFonts w:hint="eastAsia" w:ascii="仿宋_GB2312" w:hAnsi="仿宋_GB2312" w:eastAsia="仿宋_GB2312"/>
          <w:b w:val="0"/>
          <w:sz w:val="32"/>
          <w:lang w:eastAsia="zh-CN"/>
        </w:rPr>
        <w:t>》《</w:t>
      </w:r>
      <w:r>
        <w:rPr>
          <w:rFonts w:ascii="仿宋_GB2312" w:hAnsi="仿宋_GB2312" w:eastAsia="仿宋_GB2312"/>
          <w:b w:val="0"/>
          <w:sz w:val="32"/>
        </w:rPr>
        <w:t>和田地区社保中心财务管理制度》等健全完整的各项管理制度，有效保障了</w:t>
      </w:r>
      <w:r>
        <w:rPr>
          <w:rFonts w:hint="eastAsia" w:ascii="仿宋_GB2312" w:hAnsi="仿宋_GB2312" w:eastAsia="仿宋_GB2312"/>
          <w:b w:val="0"/>
          <w:sz w:val="32"/>
          <w:lang w:eastAsia="zh-CN"/>
        </w:rPr>
        <w:t>本</w:t>
      </w:r>
      <w:r>
        <w:rPr>
          <w:rFonts w:ascii="仿宋_GB2312" w:hAnsi="仿宋_GB2312" w:eastAsia="仿宋_GB2312"/>
          <w:b w:val="0"/>
          <w:sz w:val="32"/>
        </w:rPr>
        <w:t>单位</w:t>
      </w:r>
      <w:r>
        <w:rPr>
          <w:rFonts w:hint="eastAsia" w:ascii="仿宋_GB2312" w:hAnsi="仿宋_GB2312" w:eastAsia="仿宋_GB2312"/>
          <w:b w:val="0"/>
          <w:sz w:val="32"/>
          <w:lang w:eastAsia="zh-CN"/>
        </w:rPr>
        <w:t>高效地</w:t>
      </w:r>
      <w:r>
        <w:rPr>
          <w:rFonts w:ascii="仿宋_GB2312" w:hAnsi="仿宋_GB2312" w:eastAsia="仿宋_GB2312"/>
          <w:b w:val="0"/>
          <w:sz w:val="32"/>
        </w:rPr>
        <w:t>履行工作职能，较</w:t>
      </w:r>
      <w:r>
        <w:rPr>
          <w:rFonts w:hint="eastAsia" w:ascii="仿宋_GB2312" w:hAnsi="仿宋_GB2312" w:eastAsia="仿宋_GB2312"/>
          <w:b w:val="0"/>
          <w:sz w:val="32"/>
          <w:lang w:eastAsia="zh-CN"/>
        </w:rPr>
        <w:t>好地</w:t>
      </w:r>
      <w:r>
        <w:rPr>
          <w:rFonts w:ascii="仿宋_GB2312" w:hAnsi="仿宋_GB2312" w:eastAsia="仿宋_GB2312"/>
          <w:b w:val="0"/>
          <w:sz w:val="32"/>
        </w:rPr>
        <w:t>促进事业发展。 二是部门预算资金使用符合国家法规和财务管理制度；预算资金拨付有完整的审批程序和手续，符合项目预算批复或合同规定的用途；不存在截留、挤占、挪用、虚列支出等情况，确保</w:t>
      </w:r>
      <w:r>
        <w:rPr>
          <w:rFonts w:hint="eastAsia" w:ascii="仿宋_GB2312" w:hAnsi="仿宋_GB2312" w:eastAsia="仿宋_GB2312"/>
          <w:b w:val="0"/>
          <w:sz w:val="32"/>
          <w:lang w:eastAsia="zh-CN"/>
        </w:rPr>
        <w:t>本</w:t>
      </w:r>
      <w:r>
        <w:rPr>
          <w:rFonts w:ascii="仿宋_GB2312" w:hAnsi="仿宋_GB2312" w:eastAsia="仿宋_GB2312"/>
          <w:b w:val="0"/>
          <w:sz w:val="32"/>
        </w:rPr>
        <w:t>单位预算资金规范运行。三是按照和田地区财政局预决算信息公开工作要求，</w:t>
      </w:r>
      <w:r>
        <w:rPr>
          <w:rFonts w:hint="eastAsia" w:ascii="仿宋_GB2312" w:hAnsi="仿宋_GB2312" w:eastAsia="仿宋_GB2312"/>
          <w:b w:val="0"/>
          <w:sz w:val="32"/>
          <w:lang w:eastAsia="zh-CN"/>
        </w:rPr>
        <w:t>本</w:t>
      </w:r>
      <w:r>
        <w:rPr>
          <w:rFonts w:ascii="仿宋_GB2312" w:hAnsi="仿宋_GB2312" w:eastAsia="仿宋_GB2312"/>
          <w:b w:val="0"/>
          <w:sz w:val="32"/>
        </w:rPr>
        <w:t>单位在和田地区政府信息网财政信息公开专栏对本单位预决算信息进行了公开。发现的问题及原因：一是部分业务人员绩效管理意识有待增强，未能全面深入认识理解绩效管理工作的意义。二是绩效管理经验不足，预算绩效管理工作有待进一步落实。三</w:t>
      </w:r>
      <w:r>
        <w:rPr>
          <w:rFonts w:hint="eastAsia" w:ascii="仿宋_GB2312" w:hAnsi="仿宋_GB2312" w:eastAsia="仿宋_GB2312"/>
          <w:b w:val="0"/>
          <w:sz w:val="32"/>
          <w:lang w:eastAsia="zh-CN"/>
        </w:rPr>
        <w:t>是</w:t>
      </w:r>
      <w:r>
        <w:rPr>
          <w:rFonts w:ascii="仿宋_GB2312" w:hAnsi="仿宋_GB2312" w:eastAsia="仿宋_GB2312"/>
          <w:b w:val="0"/>
          <w:sz w:val="32"/>
        </w:rPr>
        <w:t>绩效指标的明确性、可衡量性、相关性还需进一步提升；四是预算精细化管理还需完善，预算编制管理水平仍有进一步提升的空间。下一步改进措施：一是加强学习和业务工作能力的提高，强化绩效理念；二是加大绩效工作宣传力度，强化绩效理念。三是完善绩效指标，提高整体绩效目标质量；四是加强对专项资金的检查力度；五是继续完善预算绩效管理相关工作制度，建立全过程预算绩效管理链条，有效贯彻落实全面实施绩效管理的精神。具体附整体支出绩效自评表，项目支出绩效自评表和评价报告。</w:t>
      </w:r>
    </w:p>
    <w:p w14:paraId="2A62531B">
      <w:r>
        <w:br w:type="page"/>
      </w:r>
    </w:p>
    <w:tbl>
      <w:tblPr>
        <w:tblStyle w:val="9"/>
        <w:tblW w:w="0" w:type="auto"/>
        <w:tblInd w:w="0" w:type="dxa"/>
        <w:tblLayout w:type="fixed"/>
        <w:tblCellMar>
          <w:top w:w="0" w:type="dxa"/>
          <w:left w:w="108" w:type="dxa"/>
          <w:bottom w:w="0" w:type="dxa"/>
          <w:right w:w="108" w:type="dxa"/>
        </w:tblCellMar>
      </w:tblPr>
      <w:tblGrid>
        <w:gridCol w:w="983"/>
        <w:gridCol w:w="983"/>
        <w:gridCol w:w="1358"/>
        <w:gridCol w:w="1011"/>
        <w:gridCol w:w="1089"/>
        <w:gridCol w:w="967"/>
        <w:gridCol w:w="944"/>
        <w:gridCol w:w="529"/>
        <w:gridCol w:w="983"/>
      </w:tblGrid>
      <w:tr w14:paraId="04151657">
        <w:tblPrEx>
          <w:tblCellMar>
            <w:top w:w="0" w:type="dxa"/>
            <w:left w:w="108" w:type="dxa"/>
            <w:bottom w:w="0" w:type="dxa"/>
            <w:right w:w="108" w:type="dxa"/>
          </w:tblCellMar>
        </w:tblPrEx>
        <w:tc>
          <w:tcPr>
            <w:tcW w:w="8847" w:type="dxa"/>
            <w:gridSpan w:val="9"/>
            <w:vAlign w:val="center"/>
          </w:tcPr>
          <w:p w14:paraId="6C357AD2">
            <w:pPr>
              <w:jc w:val="center"/>
            </w:pPr>
            <w:r>
              <w:rPr>
                <w:rFonts w:ascii="宋体" w:hAnsi="宋体" w:eastAsia="宋体"/>
                <w:sz w:val="24"/>
              </w:rPr>
              <w:t>单位整体支出绩效自评表</w:t>
            </w:r>
          </w:p>
        </w:tc>
      </w:tr>
      <w:tr w14:paraId="27514086">
        <w:tblPrEx>
          <w:tblCellMar>
            <w:top w:w="0" w:type="dxa"/>
            <w:left w:w="108" w:type="dxa"/>
            <w:bottom w:w="0" w:type="dxa"/>
            <w:right w:w="108" w:type="dxa"/>
          </w:tblCellMar>
        </w:tblPrEx>
        <w:tc>
          <w:tcPr>
            <w:tcW w:w="8847" w:type="dxa"/>
            <w:gridSpan w:val="9"/>
            <w:vAlign w:val="center"/>
          </w:tcPr>
          <w:p w14:paraId="2187795D">
            <w:pPr>
              <w:jc w:val="center"/>
            </w:pPr>
            <w:r>
              <w:rPr>
                <w:rFonts w:ascii="宋体" w:hAnsi="宋体" w:eastAsia="宋体"/>
                <w:sz w:val="24"/>
              </w:rPr>
              <w:t>（2024年度）</w:t>
            </w:r>
          </w:p>
        </w:tc>
      </w:tr>
      <w:tr w14:paraId="09C55E3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01ED0">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2005C46">
            <w:pPr>
              <w:jc w:val="center"/>
            </w:pPr>
            <w:r>
              <w:rPr>
                <w:rFonts w:ascii="宋体" w:hAnsi="宋体" w:eastAsia="宋体"/>
                <w:sz w:val="16"/>
              </w:rPr>
              <w:t>和田地区社会保险中心</w:t>
            </w:r>
          </w:p>
        </w:tc>
      </w:tr>
      <w:tr w14:paraId="0C08A7FC">
        <w:tblPrEx>
          <w:tblCellMar>
            <w:top w:w="0" w:type="dxa"/>
            <w:left w:w="108" w:type="dxa"/>
            <w:bottom w:w="0" w:type="dxa"/>
            <w:right w:w="108" w:type="dxa"/>
          </w:tblCellMar>
        </w:tblPrEx>
        <w:trPr>
          <w:trHeight w:val="913"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AE56AF">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8CEFD">
            <w:pPr>
              <w:jc w:val="center"/>
            </w:pPr>
            <w:r>
              <w:rPr>
                <w:rFonts w:ascii="宋体" w:hAnsi="宋体" w:eastAsia="宋体"/>
                <w:sz w:val="16"/>
              </w:rPr>
              <w:t>资金来源</w:t>
            </w:r>
          </w:p>
        </w:tc>
        <w:tc>
          <w:tcPr>
            <w:tcW w:w="1358" w:type="dxa"/>
            <w:tcBorders>
              <w:top w:val="single" w:color="auto" w:sz="10" w:space="0"/>
              <w:left w:val="single" w:color="auto" w:sz="10" w:space="0"/>
              <w:bottom w:val="single" w:color="auto" w:sz="10" w:space="0"/>
              <w:right w:val="single" w:color="auto" w:sz="10" w:space="0"/>
              <w:insideV w:val="single" w:sz="10" w:space="0"/>
            </w:tcBorders>
            <w:vAlign w:val="center"/>
          </w:tcPr>
          <w:p w14:paraId="6433764E">
            <w:pPr>
              <w:jc w:val="center"/>
            </w:pPr>
            <w:r>
              <w:rPr>
                <w:rFonts w:ascii="宋体" w:hAnsi="宋体" w:eastAsia="宋体"/>
                <w:sz w:val="16"/>
              </w:rPr>
              <w:t>年初预算数</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1A42E537">
            <w:pPr>
              <w:jc w:val="center"/>
            </w:pPr>
            <w:r>
              <w:rPr>
                <w:rFonts w:ascii="宋体" w:hAnsi="宋体" w:eastAsia="宋体"/>
                <w:sz w:val="16"/>
              </w:rPr>
              <w:t>预算数（调整后）</w:t>
            </w:r>
          </w:p>
        </w:tc>
        <w:tc>
          <w:tcPr>
            <w:tcW w:w="1089" w:type="dxa"/>
            <w:tcBorders>
              <w:top w:val="single" w:color="auto" w:sz="10" w:space="0"/>
              <w:left w:val="single" w:color="auto" w:sz="10" w:space="0"/>
              <w:bottom w:val="single" w:color="auto" w:sz="10" w:space="0"/>
              <w:right w:val="single" w:color="auto" w:sz="10" w:space="0"/>
              <w:insideV w:val="single" w:sz="10" w:space="0"/>
            </w:tcBorders>
            <w:vAlign w:val="center"/>
          </w:tcPr>
          <w:p w14:paraId="766E1493">
            <w:pPr>
              <w:jc w:val="center"/>
            </w:pPr>
            <w:r>
              <w:rPr>
                <w:rFonts w:ascii="宋体" w:hAnsi="宋体" w:eastAsia="宋体"/>
                <w:sz w:val="16"/>
              </w:rPr>
              <w:t>执行数</w:t>
            </w:r>
          </w:p>
        </w:tc>
        <w:tc>
          <w:tcPr>
            <w:tcW w:w="967" w:type="dxa"/>
            <w:tcBorders>
              <w:top w:val="single" w:color="auto" w:sz="10" w:space="0"/>
              <w:left w:val="single" w:color="auto" w:sz="10" w:space="0"/>
              <w:bottom w:val="single" w:color="auto" w:sz="10" w:space="0"/>
              <w:right w:val="single" w:color="auto" w:sz="10" w:space="0"/>
              <w:insideV w:val="single" w:sz="10" w:space="0"/>
            </w:tcBorders>
            <w:vAlign w:val="center"/>
          </w:tcPr>
          <w:p w14:paraId="62D86004">
            <w:pPr>
              <w:jc w:val="center"/>
            </w:pPr>
            <w:r>
              <w:rPr>
                <w:rFonts w:ascii="宋体" w:hAnsi="宋体" w:eastAsia="宋体"/>
                <w:sz w:val="16"/>
              </w:rPr>
              <w:t>分值权重</w:t>
            </w:r>
          </w:p>
        </w:tc>
        <w:tc>
          <w:tcPr>
            <w:tcW w:w="944" w:type="dxa"/>
            <w:tcBorders>
              <w:top w:val="single" w:color="auto" w:sz="10" w:space="0"/>
              <w:left w:val="single" w:color="auto" w:sz="10" w:space="0"/>
              <w:bottom w:val="single" w:color="auto" w:sz="10" w:space="0"/>
              <w:right w:val="single" w:color="auto" w:sz="10" w:space="0"/>
              <w:insideV w:val="single" w:sz="10" w:space="0"/>
            </w:tcBorders>
            <w:vAlign w:val="center"/>
          </w:tcPr>
          <w:p w14:paraId="3DF6D421">
            <w:pPr>
              <w:jc w:val="center"/>
            </w:pPr>
            <w:r>
              <w:rPr>
                <w:rFonts w:ascii="宋体" w:hAnsi="宋体" w:eastAsia="宋体"/>
                <w:sz w:val="16"/>
              </w:rPr>
              <w:t>执行率</w:t>
            </w:r>
          </w:p>
        </w:tc>
        <w:tc>
          <w:tcPr>
            <w:tcW w:w="15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9396B">
            <w:pPr>
              <w:jc w:val="center"/>
            </w:pPr>
            <w:r>
              <w:rPr>
                <w:rFonts w:ascii="宋体" w:hAnsi="宋体" w:eastAsia="宋体"/>
                <w:sz w:val="16"/>
              </w:rPr>
              <w:t>得分</w:t>
            </w:r>
          </w:p>
        </w:tc>
      </w:tr>
      <w:tr w14:paraId="158F8C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F434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BC8A8">
            <w:pPr>
              <w:jc w:val="center"/>
            </w:pPr>
            <w:r>
              <w:rPr>
                <w:rFonts w:ascii="宋体" w:hAnsi="宋体" w:eastAsia="宋体"/>
                <w:sz w:val="16"/>
              </w:rPr>
              <w:t>年度总资金：</w:t>
            </w:r>
          </w:p>
        </w:tc>
        <w:tc>
          <w:tcPr>
            <w:tcW w:w="1358" w:type="dxa"/>
            <w:tcBorders>
              <w:top w:val="single" w:color="auto" w:sz="10" w:space="0"/>
              <w:left w:val="single" w:color="auto" w:sz="10" w:space="0"/>
              <w:bottom w:val="single" w:color="auto" w:sz="10" w:space="0"/>
              <w:right w:val="single" w:color="auto" w:sz="10" w:space="0"/>
              <w:insideV w:val="single" w:sz="10" w:space="0"/>
            </w:tcBorders>
            <w:vAlign w:val="center"/>
          </w:tcPr>
          <w:p w14:paraId="71F1F4DF">
            <w:pPr>
              <w:jc w:val="center"/>
            </w:pPr>
            <w:r>
              <w:rPr>
                <w:rFonts w:ascii="宋体" w:hAnsi="宋体" w:eastAsia="宋体"/>
                <w:sz w:val="16"/>
              </w:rPr>
              <w:t>757.75</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55E6E8C5">
            <w:pPr>
              <w:jc w:val="center"/>
            </w:pPr>
            <w:r>
              <w:rPr>
                <w:rFonts w:ascii="宋体" w:hAnsi="宋体" w:eastAsia="宋体"/>
                <w:sz w:val="16"/>
              </w:rPr>
              <w:t>975.01</w:t>
            </w:r>
          </w:p>
        </w:tc>
        <w:tc>
          <w:tcPr>
            <w:tcW w:w="1089" w:type="dxa"/>
            <w:tcBorders>
              <w:top w:val="single" w:color="auto" w:sz="10" w:space="0"/>
              <w:left w:val="single" w:color="auto" w:sz="10" w:space="0"/>
              <w:bottom w:val="single" w:color="auto" w:sz="10" w:space="0"/>
              <w:right w:val="single" w:color="auto" w:sz="10" w:space="0"/>
              <w:insideV w:val="single" w:sz="10" w:space="0"/>
            </w:tcBorders>
            <w:vAlign w:val="center"/>
          </w:tcPr>
          <w:p w14:paraId="0788348C">
            <w:pPr>
              <w:jc w:val="center"/>
            </w:pPr>
            <w:r>
              <w:rPr>
                <w:rFonts w:ascii="宋体" w:hAnsi="宋体" w:eastAsia="宋体"/>
                <w:sz w:val="16"/>
              </w:rPr>
              <w:t>958.61</w:t>
            </w:r>
          </w:p>
        </w:tc>
        <w:tc>
          <w:tcPr>
            <w:tcW w:w="967" w:type="dxa"/>
            <w:tcBorders>
              <w:top w:val="single" w:color="auto" w:sz="10" w:space="0"/>
              <w:left w:val="single" w:color="auto" w:sz="10" w:space="0"/>
              <w:bottom w:val="single" w:color="auto" w:sz="10" w:space="0"/>
              <w:right w:val="single" w:color="auto" w:sz="10" w:space="0"/>
              <w:insideV w:val="single" w:sz="10" w:space="0"/>
            </w:tcBorders>
            <w:vAlign w:val="center"/>
          </w:tcPr>
          <w:p w14:paraId="2268F5CA">
            <w:pPr>
              <w:jc w:val="center"/>
            </w:pPr>
            <w:r>
              <w:rPr>
                <w:rFonts w:ascii="宋体" w:hAnsi="宋体" w:eastAsia="宋体"/>
                <w:sz w:val="16"/>
              </w:rPr>
              <w:t>10</w:t>
            </w:r>
          </w:p>
        </w:tc>
        <w:tc>
          <w:tcPr>
            <w:tcW w:w="944" w:type="dxa"/>
            <w:tcBorders>
              <w:top w:val="single" w:color="auto" w:sz="10" w:space="0"/>
              <w:left w:val="single" w:color="auto" w:sz="10" w:space="0"/>
              <w:bottom w:val="single" w:color="auto" w:sz="10" w:space="0"/>
              <w:right w:val="single" w:color="auto" w:sz="10" w:space="0"/>
              <w:insideV w:val="single" w:sz="10" w:space="0"/>
            </w:tcBorders>
            <w:vAlign w:val="center"/>
          </w:tcPr>
          <w:p w14:paraId="56C6047F">
            <w:pPr>
              <w:jc w:val="center"/>
            </w:pPr>
            <w:r>
              <w:rPr>
                <w:rFonts w:ascii="宋体" w:hAnsi="宋体" w:eastAsia="宋体"/>
                <w:sz w:val="16"/>
              </w:rPr>
              <w:t>98.32%</w:t>
            </w:r>
          </w:p>
        </w:tc>
        <w:tc>
          <w:tcPr>
            <w:tcW w:w="15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F441E">
            <w:pPr>
              <w:jc w:val="center"/>
            </w:pPr>
            <w:r>
              <w:rPr>
                <w:rFonts w:ascii="宋体" w:hAnsi="宋体" w:eastAsia="宋体"/>
                <w:sz w:val="16"/>
              </w:rPr>
              <w:t>9.83</w:t>
            </w:r>
          </w:p>
        </w:tc>
      </w:tr>
      <w:tr w14:paraId="2FD621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9DB6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5D308">
            <w:pPr>
              <w:jc w:val="center"/>
            </w:pPr>
            <w:r>
              <w:rPr>
                <w:rFonts w:ascii="宋体" w:hAnsi="宋体" w:eastAsia="宋体"/>
                <w:sz w:val="16"/>
              </w:rPr>
              <w:t>上级资金：</w:t>
            </w:r>
          </w:p>
        </w:tc>
        <w:tc>
          <w:tcPr>
            <w:tcW w:w="1358" w:type="dxa"/>
            <w:tcBorders>
              <w:top w:val="single" w:color="auto" w:sz="10" w:space="0"/>
              <w:left w:val="single" w:color="auto" w:sz="10" w:space="0"/>
              <w:bottom w:val="single" w:color="auto" w:sz="10" w:space="0"/>
              <w:right w:val="single" w:color="auto" w:sz="10" w:space="0"/>
              <w:insideV w:val="single" w:sz="10" w:space="0"/>
            </w:tcBorders>
            <w:vAlign w:val="center"/>
          </w:tcPr>
          <w:p w14:paraId="15DC288A">
            <w:pPr>
              <w:jc w:val="center"/>
            </w:pPr>
            <w:r>
              <w:rPr>
                <w:rFonts w:ascii="宋体" w:hAnsi="宋体" w:eastAsia="宋体"/>
                <w:sz w:val="16"/>
              </w:rPr>
              <w:t>17.50</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3744A633">
            <w:pPr>
              <w:jc w:val="center"/>
            </w:pPr>
            <w:r>
              <w:rPr>
                <w:rFonts w:ascii="宋体" w:hAnsi="宋体" w:eastAsia="宋体"/>
                <w:sz w:val="16"/>
              </w:rPr>
              <w:t>17.50</w:t>
            </w:r>
          </w:p>
        </w:tc>
        <w:tc>
          <w:tcPr>
            <w:tcW w:w="1089" w:type="dxa"/>
            <w:tcBorders>
              <w:top w:val="single" w:color="auto" w:sz="10" w:space="0"/>
              <w:left w:val="single" w:color="auto" w:sz="10" w:space="0"/>
              <w:bottom w:val="single" w:color="auto" w:sz="10" w:space="0"/>
              <w:right w:val="single" w:color="auto" w:sz="10" w:space="0"/>
              <w:insideV w:val="single" w:sz="10" w:space="0"/>
            </w:tcBorders>
            <w:vAlign w:val="center"/>
          </w:tcPr>
          <w:p w14:paraId="54DBAC77">
            <w:pPr>
              <w:jc w:val="center"/>
            </w:pPr>
            <w:r>
              <w:rPr>
                <w:rFonts w:ascii="宋体" w:hAnsi="宋体" w:eastAsia="宋体"/>
                <w:sz w:val="16"/>
              </w:rPr>
              <w:t>17.50</w:t>
            </w:r>
          </w:p>
        </w:tc>
        <w:tc>
          <w:tcPr>
            <w:tcW w:w="967" w:type="dxa"/>
            <w:tcBorders>
              <w:top w:val="single" w:color="auto" w:sz="10" w:space="0"/>
              <w:left w:val="single" w:color="auto" w:sz="10" w:space="0"/>
              <w:bottom w:val="single" w:color="auto" w:sz="10" w:space="0"/>
              <w:right w:val="single" w:color="auto" w:sz="10" w:space="0"/>
              <w:insideV w:val="single" w:sz="10" w:space="0"/>
            </w:tcBorders>
            <w:vAlign w:val="center"/>
          </w:tcPr>
          <w:p w14:paraId="422093C6">
            <w:pPr>
              <w:jc w:val="center"/>
            </w:pPr>
            <w:r>
              <w:rPr>
                <w:rFonts w:ascii="宋体" w:hAnsi="宋体" w:eastAsia="宋体"/>
                <w:sz w:val="16"/>
              </w:rPr>
              <w:t>—</w:t>
            </w:r>
          </w:p>
        </w:tc>
        <w:tc>
          <w:tcPr>
            <w:tcW w:w="944" w:type="dxa"/>
            <w:tcBorders>
              <w:top w:val="single" w:color="auto" w:sz="10" w:space="0"/>
              <w:left w:val="single" w:color="auto" w:sz="10" w:space="0"/>
              <w:bottom w:val="single" w:color="auto" w:sz="10" w:space="0"/>
              <w:right w:val="single" w:color="auto" w:sz="10" w:space="0"/>
              <w:insideV w:val="single" w:sz="10" w:space="0"/>
            </w:tcBorders>
            <w:vAlign w:val="center"/>
          </w:tcPr>
          <w:p w14:paraId="0D2F094D">
            <w:pPr>
              <w:jc w:val="center"/>
            </w:pPr>
            <w:r>
              <w:rPr>
                <w:rFonts w:ascii="宋体" w:hAnsi="宋体" w:eastAsia="宋体"/>
                <w:sz w:val="16"/>
              </w:rPr>
              <w:t>—</w:t>
            </w:r>
          </w:p>
        </w:tc>
        <w:tc>
          <w:tcPr>
            <w:tcW w:w="15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641A3">
            <w:pPr>
              <w:jc w:val="center"/>
            </w:pPr>
            <w:r>
              <w:rPr>
                <w:rFonts w:ascii="宋体" w:hAnsi="宋体" w:eastAsia="宋体"/>
                <w:sz w:val="16"/>
              </w:rPr>
              <w:t>—</w:t>
            </w:r>
          </w:p>
        </w:tc>
      </w:tr>
      <w:tr w14:paraId="59A911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1D15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72B9C">
            <w:pPr>
              <w:jc w:val="center"/>
            </w:pPr>
            <w:r>
              <w:rPr>
                <w:rFonts w:ascii="宋体" w:hAnsi="宋体" w:eastAsia="宋体"/>
                <w:sz w:val="16"/>
              </w:rPr>
              <w:t>本级资金：</w:t>
            </w:r>
          </w:p>
        </w:tc>
        <w:tc>
          <w:tcPr>
            <w:tcW w:w="1358" w:type="dxa"/>
            <w:tcBorders>
              <w:top w:val="single" w:color="auto" w:sz="10" w:space="0"/>
              <w:left w:val="single" w:color="auto" w:sz="10" w:space="0"/>
              <w:bottom w:val="single" w:color="auto" w:sz="10" w:space="0"/>
              <w:right w:val="single" w:color="auto" w:sz="10" w:space="0"/>
              <w:insideV w:val="single" w:sz="10" w:space="0"/>
            </w:tcBorders>
            <w:vAlign w:val="center"/>
          </w:tcPr>
          <w:p w14:paraId="2D806FF2">
            <w:pPr>
              <w:jc w:val="center"/>
            </w:pPr>
            <w:r>
              <w:rPr>
                <w:rFonts w:ascii="宋体" w:hAnsi="宋体" w:eastAsia="宋体"/>
                <w:sz w:val="16"/>
              </w:rPr>
              <w:t>734.67</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27C83AAB">
            <w:pPr>
              <w:jc w:val="center"/>
            </w:pPr>
            <w:r>
              <w:rPr>
                <w:rFonts w:ascii="宋体" w:hAnsi="宋体" w:eastAsia="宋体"/>
                <w:sz w:val="16"/>
              </w:rPr>
              <w:t>951.67</w:t>
            </w:r>
          </w:p>
        </w:tc>
        <w:tc>
          <w:tcPr>
            <w:tcW w:w="1089" w:type="dxa"/>
            <w:tcBorders>
              <w:top w:val="single" w:color="auto" w:sz="10" w:space="0"/>
              <w:left w:val="single" w:color="auto" w:sz="10" w:space="0"/>
              <w:bottom w:val="single" w:color="auto" w:sz="10" w:space="0"/>
              <w:right w:val="single" w:color="auto" w:sz="10" w:space="0"/>
              <w:insideV w:val="single" w:sz="10" w:space="0"/>
            </w:tcBorders>
            <w:vAlign w:val="center"/>
          </w:tcPr>
          <w:p w14:paraId="214C0755">
            <w:pPr>
              <w:jc w:val="center"/>
            </w:pPr>
            <w:r>
              <w:rPr>
                <w:rFonts w:ascii="宋体" w:hAnsi="宋体" w:eastAsia="宋体"/>
                <w:sz w:val="16"/>
              </w:rPr>
              <w:t>941.11</w:t>
            </w:r>
          </w:p>
        </w:tc>
        <w:tc>
          <w:tcPr>
            <w:tcW w:w="967" w:type="dxa"/>
            <w:tcBorders>
              <w:top w:val="single" w:color="auto" w:sz="10" w:space="0"/>
              <w:left w:val="single" w:color="auto" w:sz="10" w:space="0"/>
              <w:bottom w:val="single" w:color="auto" w:sz="10" w:space="0"/>
              <w:right w:val="single" w:color="auto" w:sz="10" w:space="0"/>
              <w:insideV w:val="single" w:sz="10" w:space="0"/>
            </w:tcBorders>
            <w:vAlign w:val="center"/>
          </w:tcPr>
          <w:p w14:paraId="6039BF14">
            <w:pPr>
              <w:jc w:val="center"/>
            </w:pPr>
            <w:r>
              <w:rPr>
                <w:rFonts w:ascii="宋体" w:hAnsi="宋体" w:eastAsia="宋体"/>
                <w:sz w:val="16"/>
              </w:rPr>
              <w:t>—</w:t>
            </w:r>
          </w:p>
        </w:tc>
        <w:tc>
          <w:tcPr>
            <w:tcW w:w="944" w:type="dxa"/>
            <w:tcBorders>
              <w:top w:val="single" w:color="auto" w:sz="10" w:space="0"/>
              <w:left w:val="single" w:color="auto" w:sz="10" w:space="0"/>
              <w:bottom w:val="single" w:color="auto" w:sz="10" w:space="0"/>
              <w:right w:val="single" w:color="auto" w:sz="10" w:space="0"/>
              <w:insideV w:val="single" w:sz="10" w:space="0"/>
            </w:tcBorders>
            <w:vAlign w:val="center"/>
          </w:tcPr>
          <w:p w14:paraId="62EA7274">
            <w:pPr>
              <w:jc w:val="center"/>
            </w:pPr>
            <w:r>
              <w:rPr>
                <w:rFonts w:ascii="宋体" w:hAnsi="宋体" w:eastAsia="宋体"/>
                <w:sz w:val="16"/>
              </w:rPr>
              <w:t>—</w:t>
            </w:r>
          </w:p>
        </w:tc>
        <w:tc>
          <w:tcPr>
            <w:tcW w:w="15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62DAB">
            <w:pPr>
              <w:jc w:val="center"/>
            </w:pPr>
            <w:r>
              <w:rPr>
                <w:rFonts w:ascii="宋体" w:hAnsi="宋体" w:eastAsia="宋体"/>
                <w:sz w:val="16"/>
              </w:rPr>
              <w:t>—</w:t>
            </w:r>
          </w:p>
        </w:tc>
      </w:tr>
      <w:tr w14:paraId="757D37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1007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7D16A">
            <w:pPr>
              <w:jc w:val="center"/>
            </w:pPr>
            <w:r>
              <w:rPr>
                <w:rFonts w:ascii="宋体" w:hAnsi="宋体" w:eastAsia="宋体"/>
                <w:sz w:val="16"/>
              </w:rPr>
              <w:t>其他资金：</w:t>
            </w:r>
          </w:p>
        </w:tc>
        <w:tc>
          <w:tcPr>
            <w:tcW w:w="1358" w:type="dxa"/>
            <w:tcBorders>
              <w:top w:val="single" w:color="auto" w:sz="10" w:space="0"/>
              <w:left w:val="single" w:color="auto" w:sz="10" w:space="0"/>
              <w:bottom w:val="single" w:color="auto" w:sz="10" w:space="0"/>
              <w:right w:val="single" w:color="auto" w:sz="10" w:space="0"/>
              <w:insideV w:val="single" w:sz="10" w:space="0"/>
            </w:tcBorders>
            <w:vAlign w:val="center"/>
          </w:tcPr>
          <w:p w14:paraId="3581BCF9">
            <w:pPr>
              <w:jc w:val="center"/>
            </w:pPr>
            <w:r>
              <w:rPr>
                <w:rFonts w:ascii="宋体" w:hAnsi="宋体" w:eastAsia="宋体"/>
                <w:sz w:val="16"/>
              </w:rPr>
              <w:t>5.58</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5DAE07FE">
            <w:pPr>
              <w:jc w:val="center"/>
            </w:pPr>
            <w:r>
              <w:rPr>
                <w:rFonts w:ascii="宋体" w:hAnsi="宋体" w:eastAsia="宋体"/>
                <w:sz w:val="16"/>
              </w:rPr>
              <w:t>5.84</w:t>
            </w:r>
          </w:p>
        </w:tc>
        <w:tc>
          <w:tcPr>
            <w:tcW w:w="1089" w:type="dxa"/>
            <w:tcBorders>
              <w:top w:val="single" w:color="auto" w:sz="10" w:space="0"/>
              <w:left w:val="single" w:color="auto" w:sz="10" w:space="0"/>
              <w:bottom w:val="single" w:color="auto" w:sz="10" w:space="0"/>
              <w:right w:val="single" w:color="auto" w:sz="10" w:space="0"/>
              <w:insideV w:val="single" w:sz="10" w:space="0"/>
            </w:tcBorders>
            <w:vAlign w:val="center"/>
          </w:tcPr>
          <w:p w14:paraId="50799D57">
            <w:pPr>
              <w:jc w:val="center"/>
            </w:pPr>
            <w:r>
              <w:rPr>
                <w:rFonts w:ascii="宋体" w:hAnsi="宋体" w:eastAsia="宋体"/>
                <w:sz w:val="16"/>
              </w:rPr>
              <w:t>0.00</w:t>
            </w:r>
          </w:p>
        </w:tc>
        <w:tc>
          <w:tcPr>
            <w:tcW w:w="967" w:type="dxa"/>
            <w:tcBorders>
              <w:top w:val="single" w:color="auto" w:sz="10" w:space="0"/>
              <w:left w:val="single" w:color="auto" w:sz="10" w:space="0"/>
              <w:bottom w:val="single" w:color="auto" w:sz="10" w:space="0"/>
              <w:right w:val="single" w:color="auto" w:sz="10" w:space="0"/>
              <w:insideV w:val="single" w:sz="10" w:space="0"/>
            </w:tcBorders>
            <w:vAlign w:val="center"/>
          </w:tcPr>
          <w:p w14:paraId="26386294">
            <w:pPr>
              <w:jc w:val="center"/>
            </w:pPr>
            <w:r>
              <w:rPr>
                <w:rFonts w:ascii="宋体" w:hAnsi="宋体" w:eastAsia="宋体"/>
                <w:sz w:val="16"/>
              </w:rPr>
              <w:t>—</w:t>
            </w:r>
          </w:p>
        </w:tc>
        <w:tc>
          <w:tcPr>
            <w:tcW w:w="944" w:type="dxa"/>
            <w:tcBorders>
              <w:top w:val="single" w:color="auto" w:sz="10" w:space="0"/>
              <w:left w:val="single" w:color="auto" w:sz="10" w:space="0"/>
              <w:bottom w:val="single" w:color="auto" w:sz="10" w:space="0"/>
              <w:right w:val="single" w:color="auto" w:sz="10" w:space="0"/>
              <w:insideV w:val="single" w:sz="10" w:space="0"/>
            </w:tcBorders>
            <w:vAlign w:val="center"/>
          </w:tcPr>
          <w:p w14:paraId="779D598B">
            <w:pPr>
              <w:jc w:val="center"/>
            </w:pPr>
            <w:r>
              <w:rPr>
                <w:rFonts w:ascii="宋体" w:hAnsi="宋体" w:eastAsia="宋体"/>
                <w:sz w:val="16"/>
              </w:rPr>
              <w:t>—</w:t>
            </w:r>
          </w:p>
        </w:tc>
        <w:tc>
          <w:tcPr>
            <w:tcW w:w="15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216A4">
            <w:pPr>
              <w:jc w:val="center"/>
            </w:pPr>
            <w:r>
              <w:rPr>
                <w:rFonts w:ascii="宋体" w:hAnsi="宋体" w:eastAsia="宋体"/>
                <w:sz w:val="16"/>
              </w:rPr>
              <w:t>—</w:t>
            </w:r>
          </w:p>
        </w:tc>
      </w:tr>
      <w:tr w14:paraId="3EB12D3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91082">
            <w:pPr>
              <w:jc w:val="center"/>
            </w:pPr>
            <w:r>
              <w:rPr>
                <w:rFonts w:ascii="宋体" w:hAnsi="宋体" w:eastAsia="宋体"/>
                <w:sz w:val="16"/>
              </w:rPr>
              <w:t>年度总体目标</w:t>
            </w:r>
          </w:p>
        </w:tc>
        <w:tc>
          <w:tcPr>
            <w:tcW w:w="335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6FCFC9">
            <w:pPr>
              <w:jc w:val="center"/>
            </w:pPr>
            <w:r>
              <w:rPr>
                <w:rFonts w:ascii="宋体" w:hAnsi="宋体" w:eastAsia="宋体"/>
                <w:sz w:val="16"/>
              </w:rPr>
              <w:t>预期目标</w:t>
            </w:r>
          </w:p>
        </w:tc>
        <w:tc>
          <w:tcPr>
            <w:tcW w:w="451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3B3330">
            <w:pPr>
              <w:jc w:val="center"/>
            </w:pPr>
            <w:r>
              <w:rPr>
                <w:rFonts w:ascii="宋体" w:hAnsi="宋体" w:eastAsia="宋体"/>
                <w:sz w:val="16"/>
              </w:rPr>
              <w:t>实际完成目标</w:t>
            </w:r>
          </w:p>
        </w:tc>
      </w:tr>
      <w:tr w14:paraId="32C6B8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CA4D87"/>
        </w:tc>
        <w:tc>
          <w:tcPr>
            <w:tcW w:w="335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35AE3E">
            <w:pPr>
              <w:jc w:val="both"/>
            </w:pPr>
            <w:r>
              <w:rPr>
                <w:rFonts w:ascii="宋体" w:hAnsi="宋体" w:eastAsia="宋体"/>
                <w:sz w:val="16"/>
              </w:rPr>
              <w:t>按照地委、行署的安排部署，突出保障，在社会保障工作上下功夫。持续实施精准扩面，持续抓好社会保险关系转移接续，充分利用全国社会保险关系转移接续平台统一办理社会保险关系转移接续。持续抓好社会保险资格认证，持续推动困难群体参保“动态清零”，全面落实困难群体参加城乡居民养老保险代缴保费政策，做到“应代尽代”。</w:t>
            </w:r>
          </w:p>
        </w:tc>
        <w:tc>
          <w:tcPr>
            <w:tcW w:w="451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81F149">
            <w:pPr>
              <w:jc w:val="both"/>
            </w:pPr>
            <w:r>
              <w:rPr>
                <w:rFonts w:hint="eastAsia" w:ascii="宋体" w:hAnsi="宋体"/>
                <w:sz w:val="16"/>
                <w:lang w:eastAsia="zh-CN"/>
              </w:rPr>
              <w:t>截至2024</w:t>
            </w:r>
            <w:r>
              <w:rPr>
                <w:rFonts w:ascii="宋体" w:hAnsi="宋体" w:eastAsia="宋体"/>
                <w:sz w:val="16"/>
              </w:rPr>
              <w:t>年12月31日，本单位实际完成全地区基本养老保险参保</w:t>
            </w:r>
            <w:r>
              <w:rPr>
                <w:rFonts w:hint="eastAsia" w:ascii="宋体" w:hAnsi="宋体"/>
                <w:sz w:val="16"/>
                <w:lang w:eastAsia="zh-CN"/>
              </w:rPr>
              <w:t>、</w:t>
            </w:r>
            <w:r>
              <w:rPr>
                <w:rFonts w:ascii="宋体" w:hAnsi="宋体" w:eastAsia="宋体"/>
                <w:sz w:val="16"/>
              </w:rPr>
              <w:t>失业保险</w:t>
            </w:r>
            <w:r>
              <w:rPr>
                <w:rFonts w:hint="eastAsia" w:ascii="宋体" w:hAnsi="宋体"/>
                <w:sz w:val="16"/>
                <w:lang w:eastAsia="zh-CN"/>
              </w:rPr>
              <w:t>、</w:t>
            </w:r>
            <w:r>
              <w:rPr>
                <w:rFonts w:ascii="宋体" w:hAnsi="宋体" w:eastAsia="宋体"/>
                <w:sz w:val="16"/>
              </w:rPr>
              <w:t>工伤保险参保</w:t>
            </w:r>
            <w:r>
              <w:rPr>
                <w:rFonts w:hint="eastAsia" w:ascii="宋体" w:hAnsi="宋体"/>
                <w:sz w:val="16"/>
                <w:lang w:eastAsia="zh-CN"/>
              </w:rPr>
              <w:t>、</w:t>
            </w:r>
            <w:r>
              <w:rPr>
                <w:rFonts w:ascii="宋体" w:hAnsi="宋体" w:eastAsia="宋体"/>
                <w:sz w:val="16"/>
              </w:rPr>
              <w:t>，完成年度计划任；认真做好各项行政审批工作，审批机关事业单位工作人员视同缴费年限认定</w:t>
            </w:r>
            <w:r>
              <w:rPr>
                <w:rFonts w:hint="eastAsia" w:ascii="宋体" w:hAnsi="宋体"/>
                <w:sz w:val="16"/>
                <w:lang w:eastAsia="zh-CN"/>
              </w:rPr>
              <w:t>、</w:t>
            </w:r>
            <w:r>
              <w:rPr>
                <w:rFonts w:ascii="宋体" w:hAnsi="宋体" w:eastAsia="宋体"/>
                <w:sz w:val="16"/>
              </w:rPr>
              <w:t>参保人员养老保险可补缴年限认定。深化精细服务，提升群众满意度，积极推广运用网上办、掌上办，持续推进系统行风建设，以群众需求和建议为导向，及时回复解决问题,提供高效、规范、智慧的政务服务客服。确保未参保人员动态清零的效益。</w:t>
            </w:r>
          </w:p>
        </w:tc>
      </w:tr>
      <w:tr w14:paraId="099D6AA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D132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6CE92">
            <w:pPr>
              <w:jc w:val="center"/>
            </w:pPr>
            <w:r>
              <w:rPr>
                <w:rFonts w:ascii="宋体" w:hAnsi="宋体" w:eastAsia="宋体"/>
                <w:sz w:val="16"/>
              </w:rPr>
              <w:t>二级指标</w:t>
            </w:r>
          </w:p>
        </w:tc>
        <w:tc>
          <w:tcPr>
            <w:tcW w:w="1358" w:type="dxa"/>
            <w:tcBorders>
              <w:top w:val="single" w:color="auto" w:sz="10" w:space="0"/>
              <w:left w:val="single" w:color="auto" w:sz="10" w:space="0"/>
              <w:bottom w:val="single" w:color="auto" w:sz="10" w:space="0"/>
              <w:right w:val="single" w:color="auto" w:sz="10" w:space="0"/>
              <w:insideV w:val="single" w:sz="10" w:space="0"/>
            </w:tcBorders>
            <w:vAlign w:val="center"/>
          </w:tcPr>
          <w:p w14:paraId="25E1BD9D">
            <w:pPr>
              <w:jc w:val="center"/>
            </w:pPr>
            <w:r>
              <w:rPr>
                <w:rFonts w:ascii="宋体" w:hAnsi="宋体" w:eastAsia="宋体"/>
                <w:sz w:val="16"/>
              </w:rPr>
              <w:t>三级指标</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4E699B9B">
            <w:pPr>
              <w:jc w:val="center"/>
            </w:pPr>
            <w:r>
              <w:rPr>
                <w:rFonts w:ascii="宋体" w:hAnsi="宋体" w:eastAsia="宋体"/>
                <w:sz w:val="16"/>
              </w:rPr>
              <w:t>指标值</w:t>
            </w:r>
          </w:p>
        </w:tc>
        <w:tc>
          <w:tcPr>
            <w:tcW w:w="1089" w:type="dxa"/>
            <w:tcBorders>
              <w:top w:val="single" w:color="auto" w:sz="10" w:space="0"/>
              <w:left w:val="single" w:color="auto" w:sz="10" w:space="0"/>
              <w:bottom w:val="single" w:color="auto" w:sz="10" w:space="0"/>
              <w:right w:val="single" w:color="auto" w:sz="10" w:space="0"/>
              <w:insideV w:val="single" w:sz="10" w:space="0"/>
            </w:tcBorders>
            <w:vAlign w:val="center"/>
          </w:tcPr>
          <w:p w14:paraId="1CDE0C79">
            <w:pPr>
              <w:jc w:val="center"/>
            </w:pPr>
            <w:r>
              <w:rPr>
                <w:rFonts w:ascii="宋体" w:hAnsi="宋体" w:eastAsia="宋体"/>
                <w:sz w:val="16"/>
              </w:rPr>
              <w:t>指标值设定依据</w:t>
            </w:r>
          </w:p>
        </w:tc>
        <w:tc>
          <w:tcPr>
            <w:tcW w:w="967" w:type="dxa"/>
            <w:tcBorders>
              <w:top w:val="single" w:color="auto" w:sz="10" w:space="0"/>
              <w:left w:val="single" w:color="auto" w:sz="10" w:space="0"/>
              <w:bottom w:val="single" w:color="auto" w:sz="10" w:space="0"/>
              <w:right w:val="single" w:color="auto" w:sz="10" w:space="0"/>
              <w:insideV w:val="single" w:sz="10" w:space="0"/>
            </w:tcBorders>
            <w:vAlign w:val="center"/>
          </w:tcPr>
          <w:p w14:paraId="34673A5A">
            <w:pPr>
              <w:jc w:val="center"/>
            </w:pPr>
            <w:r>
              <w:rPr>
                <w:rFonts w:ascii="宋体" w:hAnsi="宋体" w:eastAsia="宋体"/>
                <w:sz w:val="16"/>
              </w:rPr>
              <w:t>分值权重</w:t>
            </w:r>
          </w:p>
        </w:tc>
        <w:tc>
          <w:tcPr>
            <w:tcW w:w="944" w:type="dxa"/>
            <w:tcBorders>
              <w:top w:val="single" w:color="auto" w:sz="10" w:space="0"/>
              <w:left w:val="single" w:color="auto" w:sz="10" w:space="0"/>
              <w:bottom w:val="single" w:color="auto" w:sz="10" w:space="0"/>
              <w:right w:val="single" w:color="auto" w:sz="10" w:space="0"/>
              <w:insideV w:val="single" w:sz="10" w:space="0"/>
            </w:tcBorders>
            <w:vAlign w:val="center"/>
          </w:tcPr>
          <w:p w14:paraId="17739A3D">
            <w:pPr>
              <w:jc w:val="center"/>
            </w:pPr>
            <w:r>
              <w:rPr>
                <w:rFonts w:ascii="宋体" w:hAnsi="宋体" w:eastAsia="宋体"/>
                <w:sz w:val="16"/>
              </w:rPr>
              <w:t>实际完成值</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3DBA1C96">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6BD1A">
            <w:pPr>
              <w:jc w:val="center"/>
            </w:pPr>
            <w:r>
              <w:rPr>
                <w:rFonts w:ascii="宋体" w:hAnsi="宋体" w:eastAsia="宋体"/>
                <w:sz w:val="16"/>
              </w:rPr>
              <w:t>得分</w:t>
            </w:r>
          </w:p>
        </w:tc>
      </w:tr>
      <w:tr w14:paraId="0EA2F03E">
        <w:tblPrEx>
          <w:tblCellMar>
            <w:top w:w="0" w:type="dxa"/>
            <w:left w:w="108" w:type="dxa"/>
            <w:bottom w:w="0" w:type="dxa"/>
            <w:right w:w="108" w:type="dxa"/>
          </w:tblCellMar>
        </w:tblPrEx>
        <w:trPr>
          <w:trHeight w:val="722"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34BA0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3775CC">
            <w:pPr>
              <w:jc w:val="center"/>
            </w:pPr>
            <w:r>
              <w:rPr>
                <w:rFonts w:ascii="宋体" w:hAnsi="宋体" w:eastAsia="宋体"/>
                <w:sz w:val="16"/>
              </w:rPr>
              <w:t>数量指标</w:t>
            </w:r>
          </w:p>
        </w:tc>
        <w:tc>
          <w:tcPr>
            <w:tcW w:w="1358" w:type="dxa"/>
            <w:tcBorders>
              <w:top w:val="single" w:color="auto" w:sz="10" w:space="0"/>
              <w:left w:val="single" w:color="auto" w:sz="10" w:space="0"/>
              <w:bottom w:val="single" w:color="auto" w:sz="10" w:space="0"/>
              <w:right w:val="single" w:color="auto" w:sz="10" w:space="0"/>
              <w:insideV w:val="single" w:sz="10" w:space="0"/>
            </w:tcBorders>
            <w:vAlign w:val="center"/>
          </w:tcPr>
          <w:p w14:paraId="602AC5C1">
            <w:pPr>
              <w:jc w:val="center"/>
            </w:pPr>
            <w:r>
              <w:rPr>
                <w:rFonts w:ascii="宋体" w:hAnsi="宋体" w:eastAsia="宋体"/>
                <w:sz w:val="16"/>
              </w:rPr>
              <w:t>全地区参加职工养老保险人数</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3A444227">
            <w:pPr>
              <w:jc w:val="center"/>
            </w:pPr>
            <w:r>
              <w:rPr>
                <w:rFonts w:hint="eastAsia" w:ascii="宋体" w:hAnsi="宋体"/>
                <w:sz w:val="16"/>
                <w:lang w:eastAsia="zh-CN"/>
              </w:rPr>
              <w:t>≥</w:t>
            </w:r>
            <w:r>
              <w:rPr>
                <w:rFonts w:ascii="宋体" w:hAnsi="宋体" w:eastAsia="宋体"/>
                <w:sz w:val="16"/>
              </w:rPr>
              <w:t>25.76万人</w:t>
            </w:r>
          </w:p>
        </w:tc>
        <w:tc>
          <w:tcPr>
            <w:tcW w:w="1089" w:type="dxa"/>
            <w:tcBorders>
              <w:top w:val="single" w:color="auto" w:sz="10" w:space="0"/>
              <w:left w:val="single" w:color="auto" w:sz="10" w:space="0"/>
              <w:bottom w:val="single" w:color="auto" w:sz="10" w:space="0"/>
              <w:right w:val="single" w:color="auto" w:sz="10" w:space="0"/>
              <w:insideV w:val="single" w:sz="10" w:space="0"/>
            </w:tcBorders>
            <w:vAlign w:val="center"/>
          </w:tcPr>
          <w:p w14:paraId="08B56AFB">
            <w:pPr>
              <w:jc w:val="center"/>
            </w:pPr>
            <w:r>
              <w:rPr>
                <w:rFonts w:ascii="宋体" w:hAnsi="宋体" w:eastAsia="宋体"/>
                <w:sz w:val="16"/>
              </w:rPr>
              <w:t>2024年工作计划</w:t>
            </w:r>
          </w:p>
        </w:tc>
        <w:tc>
          <w:tcPr>
            <w:tcW w:w="967" w:type="dxa"/>
            <w:tcBorders>
              <w:top w:val="single" w:color="auto" w:sz="10" w:space="0"/>
              <w:left w:val="single" w:color="auto" w:sz="10" w:space="0"/>
              <w:bottom w:val="single" w:color="auto" w:sz="10" w:space="0"/>
              <w:right w:val="single" w:color="auto" w:sz="10" w:space="0"/>
              <w:insideV w:val="single" w:sz="10" w:space="0"/>
            </w:tcBorders>
            <w:vAlign w:val="center"/>
          </w:tcPr>
          <w:p w14:paraId="13710003">
            <w:pPr>
              <w:jc w:val="center"/>
            </w:pPr>
            <w:r>
              <w:rPr>
                <w:rFonts w:ascii="宋体" w:hAnsi="宋体" w:eastAsia="宋体"/>
                <w:sz w:val="16"/>
              </w:rPr>
              <w:t>11</w:t>
            </w:r>
          </w:p>
        </w:tc>
        <w:tc>
          <w:tcPr>
            <w:tcW w:w="944" w:type="dxa"/>
            <w:tcBorders>
              <w:top w:val="single" w:color="auto" w:sz="10" w:space="0"/>
              <w:left w:val="single" w:color="auto" w:sz="10" w:space="0"/>
              <w:bottom w:val="single" w:color="auto" w:sz="10" w:space="0"/>
              <w:right w:val="single" w:color="auto" w:sz="10" w:space="0"/>
              <w:insideV w:val="single" w:sz="10" w:space="0"/>
            </w:tcBorders>
            <w:vAlign w:val="center"/>
          </w:tcPr>
          <w:p w14:paraId="4DB2984B">
            <w:pPr>
              <w:jc w:val="center"/>
            </w:pPr>
            <w:r>
              <w:rPr>
                <w:rFonts w:ascii="宋体" w:hAnsi="宋体" w:eastAsia="宋体"/>
                <w:sz w:val="16"/>
              </w:rPr>
              <w:t>27.9万人</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3359C66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65E36">
            <w:pPr>
              <w:jc w:val="center"/>
            </w:pPr>
            <w:r>
              <w:rPr>
                <w:rFonts w:ascii="宋体" w:hAnsi="宋体" w:eastAsia="宋体"/>
                <w:sz w:val="16"/>
              </w:rPr>
              <w:t>11</w:t>
            </w:r>
          </w:p>
        </w:tc>
      </w:tr>
      <w:tr w14:paraId="560E5F89">
        <w:tblPrEx>
          <w:tblCellMar>
            <w:top w:w="0" w:type="dxa"/>
            <w:left w:w="108" w:type="dxa"/>
            <w:bottom w:w="0" w:type="dxa"/>
            <w:right w:w="108" w:type="dxa"/>
          </w:tblCellMar>
        </w:tblPrEx>
        <w:trPr>
          <w:trHeight w:val="644"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B018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0F0D3F"/>
        </w:tc>
        <w:tc>
          <w:tcPr>
            <w:tcW w:w="1358" w:type="dxa"/>
            <w:tcBorders>
              <w:top w:val="single" w:color="auto" w:sz="10" w:space="0"/>
              <w:left w:val="single" w:color="auto" w:sz="10" w:space="0"/>
              <w:bottom w:val="single" w:color="auto" w:sz="10" w:space="0"/>
              <w:right w:val="single" w:color="auto" w:sz="10" w:space="0"/>
              <w:insideV w:val="single" w:sz="10" w:space="0"/>
            </w:tcBorders>
            <w:vAlign w:val="center"/>
          </w:tcPr>
          <w:p w14:paraId="73A5453F">
            <w:pPr>
              <w:jc w:val="center"/>
            </w:pPr>
            <w:r>
              <w:rPr>
                <w:rFonts w:ascii="宋体" w:hAnsi="宋体" w:eastAsia="宋体"/>
                <w:sz w:val="16"/>
              </w:rPr>
              <w:t>参加居民养老保险人数</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36CA2610">
            <w:pPr>
              <w:jc w:val="center"/>
            </w:pPr>
            <w:r>
              <w:rPr>
                <w:rFonts w:hint="eastAsia" w:ascii="宋体" w:hAnsi="宋体"/>
                <w:sz w:val="16"/>
                <w:lang w:eastAsia="zh-CN"/>
              </w:rPr>
              <w:t>≥</w:t>
            </w:r>
            <w:r>
              <w:rPr>
                <w:rFonts w:ascii="宋体" w:hAnsi="宋体" w:eastAsia="宋体"/>
                <w:sz w:val="16"/>
              </w:rPr>
              <w:t>11.80万人</w:t>
            </w:r>
          </w:p>
        </w:tc>
        <w:tc>
          <w:tcPr>
            <w:tcW w:w="1089" w:type="dxa"/>
            <w:tcBorders>
              <w:top w:val="single" w:color="auto" w:sz="10" w:space="0"/>
              <w:left w:val="single" w:color="auto" w:sz="10" w:space="0"/>
              <w:bottom w:val="single" w:color="auto" w:sz="10" w:space="0"/>
              <w:right w:val="single" w:color="auto" w:sz="10" w:space="0"/>
              <w:insideV w:val="single" w:sz="10" w:space="0"/>
            </w:tcBorders>
            <w:vAlign w:val="center"/>
          </w:tcPr>
          <w:p w14:paraId="404CB530">
            <w:pPr>
              <w:jc w:val="center"/>
            </w:pPr>
            <w:r>
              <w:rPr>
                <w:rFonts w:ascii="宋体" w:hAnsi="宋体" w:eastAsia="宋体"/>
                <w:sz w:val="16"/>
              </w:rPr>
              <w:t>2024年工作计划</w:t>
            </w:r>
          </w:p>
        </w:tc>
        <w:tc>
          <w:tcPr>
            <w:tcW w:w="967" w:type="dxa"/>
            <w:tcBorders>
              <w:top w:val="single" w:color="auto" w:sz="10" w:space="0"/>
              <w:left w:val="single" w:color="auto" w:sz="10" w:space="0"/>
              <w:bottom w:val="single" w:color="auto" w:sz="10" w:space="0"/>
              <w:right w:val="single" w:color="auto" w:sz="10" w:space="0"/>
              <w:insideV w:val="single" w:sz="10" w:space="0"/>
            </w:tcBorders>
            <w:vAlign w:val="center"/>
          </w:tcPr>
          <w:p w14:paraId="65ACC6E4">
            <w:pPr>
              <w:jc w:val="center"/>
            </w:pPr>
            <w:r>
              <w:rPr>
                <w:rFonts w:ascii="宋体" w:hAnsi="宋体" w:eastAsia="宋体"/>
                <w:sz w:val="16"/>
              </w:rPr>
              <w:t>11</w:t>
            </w:r>
          </w:p>
        </w:tc>
        <w:tc>
          <w:tcPr>
            <w:tcW w:w="944" w:type="dxa"/>
            <w:tcBorders>
              <w:top w:val="single" w:color="auto" w:sz="10" w:space="0"/>
              <w:left w:val="single" w:color="auto" w:sz="10" w:space="0"/>
              <w:bottom w:val="single" w:color="auto" w:sz="10" w:space="0"/>
              <w:right w:val="single" w:color="auto" w:sz="10" w:space="0"/>
              <w:insideV w:val="single" w:sz="10" w:space="0"/>
            </w:tcBorders>
            <w:vAlign w:val="center"/>
          </w:tcPr>
          <w:p w14:paraId="1AE97040">
            <w:pPr>
              <w:jc w:val="center"/>
            </w:pPr>
            <w:r>
              <w:rPr>
                <w:rFonts w:ascii="宋体" w:hAnsi="宋体" w:eastAsia="宋体"/>
                <w:sz w:val="16"/>
              </w:rPr>
              <w:t>147.65万人</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3A1DB2C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77404">
            <w:pPr>
              <w:jc w:val="center"/>
            </w:pPr>
            <w:r>
              <w:rPr>
                <w:rFonts w:ascii="宋体" w:hAnsi="宋体" w:eastAsia="宋体"/>
                <w:sz w:val="16"/>
              </w:rPr>
              <w:t>11</w:t>
            </w:r>
          </w:p>
        </w:tc>
      </w:tr>
      <w:tr w14:paraId="54DA2D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E3A6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0CD086"/>
        </w:tc>
        <w:tc>
          <w:tcPr>
            <w:tcW w:w="1358" w:type="dxa"/>
            <w:tcBorders>
              <w:top w:val="single" w:color="auto" w:sz="10" w:space="0"/>
              <w:left w:val="single" w:color="auto" w:sz="10" w:space="0"/>
              <w:bottom w:val="single" w:color="auto" w:sz="10" w:space="0"/>
              <w:right w:val="single" w:color="auto" w:sz="10" w:space="0"/>
              <w:insideV w:val="single" w:sz="10" w:space="0"/>
            </w:tcBorders>
            <w:vAlign w:val="center"/>
          </w:tcPr>
          <w:p w14:paraId="2A46A55C">
            <w:pPr>
              <w:jc w:val="center"/>
            </w:pPr>
            <w:r>
              <w:rPr>
                <w:rFonts w:ascii="宋体" w:hAnsi="宋体" w:eastAsia="宋体"/>
                <w:sz w:val="16"/>
              </w:rPr>
              <w:t>参加失</w:t>
            </w:r>
            <w:bookmarkStart w:id="0" w:name="_GoBack"/>
            <w:bookmarkEnd w:id="0"/>
            <w:r>
              <w:rPr>
                <w:rFonts w:ascii="宋体" w:hAnsi="宋体" w:eastAsia="宋体"/>
                <w:sz w:val="16"/>
              </w:rPr>
              <w:t>业保险人数</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37966C64">
            <w:pPr>
              <w:jc w:val="center"/>
            </w:pPr>
            <w:r>
              <w:rPr>
                <w:rFonts w:hint="eastAsia" w:ascii="宋体" w:hAnsi="宋体"/>
                <w:sz w:val="16"/>
                <w:lang w:eastAsia="zh-CN"/>
              </w:rPr>
              <w:t>≥</w:t>
            </w:r>
            <w:r>
              <w:rPr>
                <w:rFonts w:ascii="宋体" w:hAnsi="宋体" w:eastAsia="宋体"/>
                <w:sz w:val="16"/>
              </w:rPr>
              <w:t>15.76万人</w:t>
            </w:r>
          </w:p>
        </w:tc>
        <w:tc>
          <w:tcPr>
            <w:tcW w:w="1089" w:type="dxa"/>
            <w:tcBorders>
              <w:top w:val="single" w:color="auto" w:sz="10" w:space="0"/>
              <w:left w:val="single" w:color="auto" w:sz="10" w:space="0"/>
              <w:bottom w:val="single" w:color="auto" w:sz="10" w:space="0"/>
              <w:right w:val="single" w:color="auto" w:sz="10" w:space="0"/>
              <w:insideV w:val="single" w:sz="10" w:space="0"/>
            </w:tcBorders>
            <w:vAlign w:val="center"/>
          </w:tcPr>
          <w:p w14:paraId="412D42B5">
            <w:pPr>
              <w:jc w:val="center"/>
            </w:pPr>
            <w:r>
              <w:rPr>
                <w:rFonts w:ascii="宋体" w:hAnsi="宋体" w:eastAsia="宋体"/>
                <w:sz w:val="16"/>
              </w:rPr>
              <w:t>2024年工作计划</w:t>
            </w:r>
          </w:p>
        </w:tc>
        <w:tc>
          <w:tcPr>
            <w:tcW w:w="967" w:type="dxa"/>
            <w:tcBorders>
              <w:top w:val="single" w:color="auto" w:sz="10" w:space="0"/>
              <w:left w:val="single" w:color="auto" w:sz="10" w:space="0"/>
              <w:bottom w:val="single" w:color="auto" w:sz="10" w:space="0"/>
              <w:right w:val="single" w:color="auto" w:sz="10" w:space="0"/>
              <w:insideV w:val="single" w:sz="10" w:space="0"/>
            </w:tcBorders>
            <w:vAlign w:val="center"/>
          </w:tcPr>
          <w:p w14:paraId="1E20BAD6">
            <w:pPr>
              <w:jc w:val="center"/>
            </w:pPr>
            <w:r>
              <w:rPr>
                <w:rFonts w:ascii="宋体" w:hAnsi="宋体" w:eastAsia="宋体"/>
                <w:sz w:val="16"/>
              </w:rPr>
              <w:t>11</w:t>
            </w:r>
          </w:p>
        </w:tc>
        <w:tc>
          <w:tcPr>
            <w:tcW w:w="944" w:type="dxa"/>
            <w:tcBorders>
              <w:top w:val="single" w:color="auto" w:sz="10" w:space="0"/>
              <w:left w:val="single" w:color="auto" w:sz="10" w:space="0"/>
              <w:bottom w:val="single" w:color="auto" w:sz="10" w:space="0"/>
              <w:right w:val="single" w:color="auto" w:sz="10" w:space="0"/>
              <w:insideV w:val="single" w:sz="10" w:space="0"/>
            </w:tcBorders>
            <w:vAlign w:val="center"/>
          </w:tcPr>
          <w:p w14:paraId="7B4FBDF6">
            <w:pPr>
              <w:jc w:val="center"/>
            </w:pPr>
            <w:r>
              <w:rPr>
                <w:rFonts w:ascii="宋体" w:hAnsi="宋体" w:eastAsia="宋体"/>
                <w:sz w:val="16"/>
              </w:rPr>
              <w:t>16.37万人</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3E8C448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2C528">
            <w:pPr>
              <w:jc w:val="center"/>
            </w:pPr>
            <w:r>
              <w:rPr>
                <w:rFonts w:ascii="宋体" w:hAnsi="宋体" w:eastAsia="宋体"/>
                <w:sz w:val="16"/>
              </w:rPr>
              <w:t>11</w:t>
            </w:r>
          </w:p>
        </w:tc>
      </w:tr>
      <w:tr w14:paraId="314414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4B8E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2B641B"/>
        </w:tc>
        <w:tc>
          <w:tcPr>
            <w:tcW w:w="1358" w:type="dxa"/>
            <w:tcBorders>
              <w:top w:val="single" w:color="auto" w:sz="10" w:space="0"/>
              <w:left w:val="single" w:color="auto" w:sz="10" w:space="0"/>
              <w:bottom w:val="single" w:color="auto" w:sz="10" w:space="0"/>
              <w:right w:val="single" w:color="auto" w:sz="10" w:space="0"/>
              <w:insideV w:val="single" w:sz="10" w:space="0"/>
            </w:tcBorders>
            <w:vAlign w:val="center"/>
          </w:tcPr>
          <w:p w14:paraId="0D7C3337">
            <w:pPr>
              <w:jc w:val="center"/>
            </w:pPr>
            <w:r>
              <w:rPr>
                <w:rFonts w:ascii="宋体" w:hAnsi="宋体" w:eastAsia="宋体"/>
                <w:sz w:val="16"/>
              </w:rPr>
              <w:t>参加工伤保险人数</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2B15EF3D">
            <w:pPr>
              <w:jc w:val="center"/>
            </w:pPr>
            <w:r>
              <w:rPr>
                <w:rFonts w:hint="eastAsia" w:ascii="宋体" w:hAnsi="宋体"/>
                <w:sz w:val="16"/>
                <w:lang w:eastAsia="zh-CN"/>
              </w:rPr>
              <w:t>≥</w:t>
            </w:r>
            <w:r>
              <w:rPr>
                <w:rFonts w:ascii="宋体" w:hAnsi="宋体" w:eastAsia="宋体"/>
                <w:sz w:val="16"/>
              </w:rPr>
              <w:t>23.47万人</w:t>
            </w:r>
          </w:p>
        </w:tc>
        <w:tc>
          <w:tcPr>
            <w:tcW w:w="1089" w:type="dxa"/>
            <w:tcBorders>
              <w:top w:val="single" w:color="auto" w:sz="10" w:space="0"/>
              <w:left w:val="single" w:color="auto" w:sz="10" w:space="0"/>
              <w:bottom w:val="single" w:color="auto" w:sz="10" w:space="0"/>
              <w:right w:val="single" w:color="auto" w:sz="10" w:space="0"/>
              <w:insideV w:val="single" w:sz="10" w:space="0"/>
            </w:tcBorders>
            <w:vAlign w:val="center"/>
          </w:tcPr>
          <w:p w14:paraId="0773F660">
            <w:pPr>
              <w:jc w:val="center"/>
            </w:pPr>
            <w:r>
              <w:rPr>
                <w:rFonts w:ascii="宋体" w:hAnsi="宋体" w:eastAsia="宋体"/>
                <w:sz w:val="16"/>
              </w:rPr>
              <w:t>2024年工作计划</w:t>
            </w:r>
          </w:p>
        </w:tc>
        <w:tc>
          <w:tcPr>
            <w:tcW w:w="967" w:type="dxa"/>
            <w:tcBorders>
              <w:top w:val="single" w:color="auto" w:sz="10" w:space="0"/>
              <w:left w:val="single" w:color="auto" w:sz="10" w:space="0"/>
              <w:bottom w:val="single" w:color="auto" w:sz="10" w:space="0"/>
              <w:right w:val="single" w:color="auto" w:sz="10" w:space="0"/>
              <w:insideV w:val="single" w:sz="10" w:space="0"/>
            </w:tcBorders>
            <w:vAlign w:val="center"/>
          </w:tcPr>
          <w:p w14:paraId="41A209F3">
            <w:pPr>
              <w:jc w:val="center"/>
            </w:pPr>
            <w:r>
              <w:rPr>
                <w:rFonts w:ascii="宋体" w:hAnsi="宋体" w:eastAsia="宋体"/>
                <w:sz w:val="16"/>
              </w:rPr>
              <w:t>11</w:t>
            </w:r>
          </w:p>
        </w:tc>
        <w:tc>
          <w:tcPr>
            <w:tcW w:w="944" w:type="dxa"/>
            <w:tcBorders>
              <w:top w:val="single" w:color="auto" w:sz="10" w:space="0"/>
              <w:left w:val="single" w:color="auto" w:sz="10" w:space="0"/>
              <w:bottom w:val="single" w:color="auto" w:sz="10" w:space="0"/>
              <w:right w:val="single" w:color="auto" w:sz="10" w:space="0"/>
              <w:insideV w:val="single" w:sz="10" w:space="0"/>
            </w:tcBorders>
            <w:vAlign w:val="center"/>
          </w:tcPr>
          <w:p w14:paraId="703C7173">
            <w:pPr>
              <w:jc w:val="center"/>
            </w:pPr>
            <w:r>
              <w:rPr>
                <w:rFonts w:ascii="宋体" w:hAnsi="宋体" w:eastAsia="宋体"/>
                <w:sz w:val="16"/>
              </w:rPr>
              <w:t>23.88万人</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06B6E04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D4571">
            <w:pPr>
              <w:jc w:val="center"/>
            </w:pPr>
            <w:r>
              <w:rPr>
                <w:rFonts w:ascii="宋体" w:hAnsi="宋体" w:eastAsia="宋体"/>
                <w:sz w:val="16"/>
              </w:rPr>
              <w:t>11</w:t>
            </w:r>
          </w:p>
        </w:tc>
      </w:tr>
      <w:tr w14:paraId="1A8A30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A553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054832"/>
        </w:tc>
        <w:tc>
          <w:tcPr>
            <w:tcW w:w="1358" w:type="dxa"/>
            <w:tcBorders>
              <w:top w:val="single" w:color="auto" w:sz="10" w:space="0"/>
              <w:left w:val="single" w:color="auto" w:sz="10" w:space="0"/>
              <w:bottom w:val="single" w:color="auto" w:sz="10" w:space="0"/>
              <w:right w:val="single" w:color="auto" w:sz="10" w:space="0"/>
              <w:insideV w:val="single" w:sz="10" w:space="0"/>
            </w:tcBorders>
            <w:vAlign w:val="center"/>
          </w:tcPr>
          <w:p w14:paraId="13AF6B6B">
            <w:pPr>
              <w:jc w:val="center"/>
            </w:pPr>
            <w:r>
              <w:rPr>
                <w:rFonts w:ascii="宋体" w:hAnsi="宋体" w:eastAsia="宋体"/>
                <w:sz w:val="16"/>
              </w:rPr>
              <w:t>社保基金安全率</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274F730F">
            <w:pPr>
              <w:jc w:val="center"/>
            </w:pPr>
            <w:r>
              <w:rPr>
                <w:rFonts w:ascii="宋体" w:hAnsi="宋体" w:eastAsia="宋体"/>
                <w:sz w:val="16"/>
              </w:rPr>
              <w:t>=100%</w:t>
            </w:r>
          </w:p>
        </w:tc>
        <w:tc>
          <w:tcPr>
            <w:tcW w:w="1089" w:type="dxa"/>
            <w:tcBorders>
              <w:top w:val="single" w:color="auto" w:sz="10" w:space="0"/>
              <w:left w:val="single" w:color="auto" w:sz="10" w:space="0"/>
              <w:bottom w:val="single" w:color="auto" w:sz="10" w:space="0"/>
              <w:right w:val="single" w:color="auto" w:sz="10" w:space="0"/>
              <w:insideV w:val="single" w:sz="10" w:space="0"/>
            </w:tcBorders>
            <w:vAlign w:val="center"/>
          </w:tcPr>
          <w:p w14:paraId="08A22CBD">
            <w:pPr>
              <w:jc w:val="center"/>
            </w:pPr>
            <w:r>
              <w:rPr>
                <w:rFonts w:ascii="宋体" w:hAnsi="宋体" w:eastAsia="宋体"/>
                <w:sz w:val="16"/>
              </w:rPr>
              <w:t>2024年工作计划</w:t>
            </w:r>
          </w:p>
        </w:tc>
        <w:tc>
          <w:tcPr>
            <w:tcW w:w="967" w:type="dxa"/>
            <w:tcBorders>
              <w:top w:val="single" w:color="auto" w:sz="10" w:space="0"/>
              <w:left w:val="single" w:color="auto" w:sz="10" w:space="0"/>
              <w:bottom w:val="single" w:color="auto" w:sz="10" w:space="0"/>
              <w:right w:val="single" w:color="auto" w:sz="10" w:space="0"/>
              <w:insideV w:val="single" w:sz="10" w:space="0"/>
            </w:tcBorders>
            <w:vAlign w:val="center"/>
          </w:tcPr>
          <w:p w14:paraId="7CF95421">
            <w:pPr>
              <w:jc w:val="center"/>
            </w:pPr>
            <w:r>
              <w:rPr>
                <w:rFonts w:ascii="宋体" w:hAnsi="宋体" w:eastAsia="宋体"/>
                <w:sz w:val="16"/>
              </w:rPr>
              <w:t>12</w:t>
            </w:r>
          </w:p>
        </w:tc>
        <w:tc>
          <w:tcPr>
            <w:tcW w:w="944" w:type="dxa"/>
            <w:tcBorders>
              <w:top w:val="single" w:color="auto" w:sz="10" w:space="0"/>
              <w:left w:val="single" w:color="auto" w:sz="10" w:space="0"/>
              <w:bottom w:val="single" w:color="auto" w:sz="10" w:space="0"/>
              <w:right w:val="single" w:color="auto" w:sz="10" w:space="0"/>
              <w:insideV w:val="single" w:sz="10" w:space="0"/>
            </w:tcBorders>
            <w:vAlign w:val="center"/>
          </w:tcPr>
          <w:p w14:paraId="15D9F931">
            <w:pPr>
              <w:jc w:val="center"/>
            </w:pPr>
            <w:r>
              <w:rPr>
                <w:rFonts w:ascii="宋体" w:hAnsi="宋体" w:eastAsia="宋体"/>
                <w:sz w:val="16"/>
              </w:rPr>
              <w:t>100%</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643904C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8C5AC">
            <w:pPr>
              <w:jc w:val="center"/>
            </w:pPr>
            <w:r>
              <w:rPr>
                <w:rFonts w:ascii="宋体" w:hAnsi="宋体" w:eastAsia="宋体"/>
                <w:sz w:val="16"/>
              </w:rPr>
              <w:t>12</w:t>
            </w:r>
          </w:p>
        </w:tc>
      </w:tr>
      <w:tr w14:paraId="50E2D40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A8D27B">
            <w:pPr>
              <w:jc w:val="center"/>
            </w:pPr>
            <w:r>
              <w:rPr>
                <w:rFonts w:ascii="宋体" w:hAnsi="宋体" w:eastAsia="宋体"/>
                <w:sz w:val="16"/>
              </w:rPr>
              <w:t>社会效益</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065CD6">
            <w:pPr>
              <w:jc w:val="center"/>
            </w:pPr>
            <w:r>
              <w:rPr>
                <w:rFonts w:ascii="宋体" w:hAnsi="宋体" w:eastAsia="宋体"/>
                <w:sz w:val="16"/>
              </w:rPr>
              <w:t>效率指标</w:t>
            </w:r>
          </w:p>
        </w:tc>
        <w:tc>
          <w:tcPr>
            <w:tcW w:w="1358" w:type="dxa"/>
            <w:tcBorders>
              <w:top w:val="single" w:color="auto" w:sz="10" w:space="0"/>
              <w:left w:val="single" w:color="auto" w:sz="10" w:space="0"/>
              <w:bottom w:val="single" w:color="auto" w:sz="10" w:space="0"/>
              <w:right w:val="single" w:color="auto" w:sz="10" w:space="0"/>
              <w:insideV w:val="single" w:sz="10" w:space="0"/>
            </w:tcBorders>
            <w:vAlign w:val="center"/>
          </w:tcPr>
          <w:p w14:paraId="6F4178C6">
            <w:pPr>
              <w:jc w:val="center"/>
            </w:pPr>
            <w:r>
              <w:rPr>
                <w:rFonts w:ascii="宋体" w:hAnsi="宋体" w:eastAsia="宋体"/>
                <w:sz w:val="16"/>
              </w:rPr>
              <w:t>社会保险资格</w:t>
            </w:r>
            <w:r>
              <w:rPr>
                <w:rFonts w:hint="eastAsia" w:ascii="宋体" w:hAnsi="宋体"/>
                <w:sz w:val="16"/>
                <w:lang w:eastAsia="zh-CN"/>
              </w:rPr>
              <w:t>认证</w:t>
            </w:r>
            <w:r>
              <w:rPr>
                <w:rFonts w:ascii="宋体" w:hAnsi="宋体" w:eastAsia="宋体"/>
                <w:sz w:val="16"/>
              </w:rPr>
              <w:t>率</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14B61AAD">
            <w:pPr>
              <w:jc w:val="center"/>
            </w:pPr>
            <w:r>
              <w:rPr>
                <w:rFonts w:hint="eastAsia" w:ascii="宋体" w:hAnsi="宋体"/>
                <w:sz w:val="16"/>
                <w:lang w:eastAsia="zh-CN"/>
              </w:rPr>
              <w:t>≥</w:t>
            </w:r>
            <w:r>
              <w:rPr>
                <w:rFonts w:ascii="宋体" w:hAnsi="宋体" w:eastAsia="宋体"/>
                <w:sz w:val="16"/>
              </w:rPr>
              <w:t>95%</w:t>
            </w:r>
          </w:p>
        </w:tc>
        <w:tc>
          <w:tcPr>
            <w:tcW w:w="1089" w:type="dxa"/>
            <w:tcBorders>
              <w:top w:val="single" w:color="auto" w:sz="10" w:space="0"/>
              <w:left w:val="single" w:color="auto" w:sz="10" w:space="0"/>
              <w:bottom w:val="single" w:color="auto" w:sz="10" w:space="0"/>
              <w:right w:val="single" w:color="auto" w:sz="10" w:space="0"/>
              <w:insideV w:val="single" w:sz="10" w:space="0"/>
            </w:tcBorders>
            <w:vAlign w:val="center"/>
          </w:tcPr>
          <w:p w14:paraId="2C14CEF0">
            <w:pPr>
              <w:jc w:val="center"/>
            </w:pPr>
            <w:r>
              <w:rPr>
                <w:rFonts w:ascii="宋体" w:hAnsi="宋体" w:eastAsia="宋体"/>
                <w:sz w:val="16"/>
              </w:rPr>
              <w:t>2024年工作计划</w:t>
            </w:r>
          </w:p>
        </w:tc>
        <w:tc>
          <w:tcPr>
            <w:tcW w:w="967" w:type="dxa"/>
            <w:tcBorders>
              <w:top w:val="single" w:color="auto" w:sz="10" w:space="0"/>
              <w:left w:val="single" w:color="auto" w:sz="10" w:space="0"/>
              <w:bottom w:val="single" w:color="auto" w:sz="10" w:space="0"/>
              <w:right w:val="single" w:color="auto" w:sz="10" w:space="0"/>
              <w:insideV w:val="single" w:sz="10" w:space="0"/>
            </w:tcBorders>
            <w:vAlign w:val="center"/>
          </w:tcPr>
          <w:p w14:paraId="4FED03D2">
            <w:pPr>
              <w:jc w:val="center"/>
            </w:pPr>
            <w:r>
              <w:rPr>
                <w:rFonts w:ascii="宋体" w:hAnsi="宋体" w:eastAsia="宋体"/>
                <w:sz w:val="16"/>
              </w:rPr>
              <w:t>11</w:t>
            </w:r>
          </w:p>
        </w:tc>
        <w:tc>
          <w:tcPr>
            <w:tcW w:w="944" w:type="dxa"/>
            <w:tcBorders>
              <w:top w:val="single" w:color="auto" w:sz="10" w:space="0"/>
              <w:left w:val="single" w:color="auto" w:sz="10" w:space="0"/>
              <w:bottom w:val="single" w:color="auto" w:sz="10" w:space="0"/>
              <w:right w:val="single" w:color="auto" w:sz="10" w:space="0"/>
              <w:insideV w:val="single" w:sz="10" w:space="0"/>
            </w:tcBorders>
            <w:vAlign w:val="center"/>
          </w:tcPr>
          <w:p w14:paraId="36507900">
            <w:pPr>
              <w:jc w:val="center"/>
            </w:pPr>
            <w:r>
              <w:rPr>
                <w:rFonts w:ascii="宋体" w:hAnsi="宋体" w:eastAsia="宋体"/>
                <w:sz w:val="16"/>
              </w:rPr>
              <w:t>100%</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193F532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C88BC">
            <w:pPr>
              <w:jc w:val="center"/>
            </w:pPr>
            <w:r>
              <w:rPr>
                <w:rFonts w:ascii="宋体" w:hAnsi="宋体" w:eastAsia="宋体"/>
                <w:sz w:val="16"/>
              </w:rPr>
              <w:t>11</w:t>
            </w:r>
          </w:p>
        </w:tc>
      </w:tr>
      <w:tr w14:paraId="3427AC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F1CC0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CB7FBE"/>
        </w:tc>
        <w:tc>
          <w:tcPr>
            <w:tcW w:w="1358" w:type="dxa"/>
            <w:tcBorders>
              <w:top w:val="single" w:color="auto" w:sz="10" w:space="0"/>
              <w:left w:val="single" w:color="auto" w:sz="10" w:space="0"/>
              <w:bottom w:val="single" w:color="auto" w:sz="10" w:space="0"/>
              <w:right w:val="single" w:color="auto" w:sz="10" w:space="0"/>
              <w:insideV w:val="single" w:sz="10" w:space="0"/>
            </w:tcBorders>
            <w:vAlign w:val="center"/>
          </w:tcPr>
          <w:p w14:paraId="2982B92B">
            <w:pPr>
              <w:jc w:val="center"/>
            </w:pPr>
            <w:r>
              <w:rPr>
                <w:rFonts w:ascii="宋体" w:hAnsi="宋体" w:eastAsia="宋体"/>
                <w:sz w:val="16"/>
              </w:rPr>
              <w:t>困难群体参保率</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51CDED06">
            <w:pPr>
              <w:jc w:val="center"/>
            </w:pPr>
            <w:r>
              <w:rPr>
                <w:rFonts w:ascii="宋体" w:hAnsi="宋体" w:eastAsia="宋体"/>
                <w:sz w:val="16"/>
              </w:rPr>
              <w:t>=100%</w:t>
            </w:r>
          </w:p>
        </w:tc>
        <w:tc>
          <w:tcPr>
            <w:tcW w:w="1089" w:type="dxa"/>
            <w:tcBorders>
              <w:top w:val="single" w:color="auto" w:sz="10" w:space="0"/>
              <w:left w:val="single" w:color="auto" w:sz="10" w:space="0"/>
              <w:bottom w:val="single" w:color="auto" w:sz="10" w:space="0"/>
              <w:right w:val="single" w:color="auto" w:sz="10" w:space="0"/>
              <w:insideV w:val="single" w:sz="10" w:space="0"/>
            </w:tcBorders>
            <w:vAlign w:val="center"/>
          </w:tcPr>
          <w:p w14:paraId="751AD951">
            <w:pPr>
              <w:jc w:val="center"/>
            </w:pPr>
            <w:r>
              <w:rPr>
                <w:rFonts w:ascii="宋体" w:hAnsi="宋体" w:eastAsia="宋体"/>
                <w:sz w:val="16"/>
              </w:rPr>
              <w:t>2024年工作计划</w:t>
            </w:r>
          </w:p>
        </w:tc>
        <w:tc>
          <w:tcPr>
            <w:tcW w:w="967" w:type="dxa"/>
            <w:tcBorders>
              <w:top w:val="single" w:color="auto" w:sz="10" w:space="0"/>
              <w:left w:val="single" w:color="auto" w:sz="10" w:space="0"/>
              <w:bottom w:val="single" w:color="auto" w:sz="10" w:space="0"/>
              <w:right w:val="single" w:color="auto" w:sz="10" w:space="0"/>
              <w:insideV w:val="single" w:sz="10" w:space="0"/>
            </w:tcBorders>
            <w:vAlign w:val="center"/>
          </w:tcPr>
          <w:p w14:paraId="5E755A51">
            <w:pPr>
              <w:jc w:val="center"/>
            </w:pPr>
            <w:r>
              <w:rPr>
                <w:rFonts w:ascii="宋体" w:hAnsi="宋体" w:eastAsia="宋体"/>
                <w:sz w:val="16"/>
              </w:rPr>
              <w:t>11</w:t>
            </w:r>
          </w:p>
        </w:tc>
        <w:tc>
          <w:tcPr>
            <w:tcW w:w="944" w:type="dxa"/>
            <w:tcBorders>
              <w:top w:val="single" w:color="auto" w:sz="10" w:space="0"/>
              <w:left w:val="single" w:color="auto" w:sz="10" w:space="0"/>
              <w:bottom w:val="single" w:color="auto" w:sz="10" w:space="0"/>
              <w:right w:val="single" w:color="auto" w:sz="10" w:space="0"/>
              <w:insideV w:val="single" w:sz="10" w:space="0"/>
            </w:tcBorders>
            <w:vAlign w:val="center"/>
          </w:tcPr>
          <w:p w14:paraId="2EE8FC3B">
            <w:pPr>
              <w:jc w:val="center"/>
            </w:pPr>
            <w:r>
              <w:rPr>
                <w:rFonts w:ascii="宋体" w:hAnsi="宋体" w:eastAsia="宋体"/>
                <w:sz w:val="16"/>
              </w:rPr>
              <w:t>100%</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1545F26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66503">
            <w:pPr>
              <w:jc w:val="center"/>
            </w:pPr>
            <w:r>
              <w:rPr>
                <w:rFonts w:ascii="宋体" w:hAnsi="宋体" w:eastAsia="宋体"/>
                <w:sz w:val="16"/>
              </w:rPr>
              <w:t>11</w:t>
            </w:r>
          </w:p>
        </w:tc>
      </w:tr>
      <w:tr w14:paraId="2FADA13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BCF89">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0666C">
            <w:pPr>
              <w:jc w:val="center"/>
            </w:pPr>
            <w:r>
              <w:rPr>
                <w:rFonts w:ascii="宋体" w:hAnsi="宋体" w:eastAsia="宋体"/>
                <w:sz w:val="16"/>
              </w:rPr>
              <w:t>满意度指标</w:t>
            </w:r>
          </w:p>
        </w:tc>
        <w:tc>
          <w:tcPr>
            <w:tcW w:w="1358" w:type="dxa"/>
            <w:tcBorders>
              <w:top w:val="single" w:color="auto" w:sz="10" w:space="0"/>
              <w:left w:val="single" w:color="auto" w:sz="10" w:space="0"/>
              <w:bottom w:val="single" w:color="auto" w:sz="10" w:space="0"/>
              <w:right w:val="single" w:color="auto" w:sz="10" w:space="0"/>
              <w:insideV w:val="single" w:sz="10" w:space="0"/>
            </w:tcBorders>
            <w:vAlign w:val="center"/>
          </w:tcPr>
          <w:p w14:paraId="1F571089">
            <w:pPr>
              <w:jc w:val="center"/>
            </w:pPr>
            <w:r>
              <w:rPr>
                <w:rFonts w:ascii="宋体" w:hAnsi="宋体" w:eastAsia="宋体"/>
                <w:sz w:val="16"/>
              </w:rPr>
              <w:t>服务对象满意度</w:t>
            </w:r>
          </w:p>
        </w:tc>
        <w:tc>
          <w:tcPr>
            <w:tcW w:w="1011" w:type="dxa"/>
            <w:tcBorders>
              <w:top w:val="single" w:color="auto" w:sz="10" w:space="0"/>
              <w:left w:val="single" w:color="auto" w:sz="10" w:space="0"/>
              <w:bottom w:val="single" w:color="auto" w:sz="10" w:space="0"/>
              <w:right w:val="single" w:color="auto" w:sz="10" w:space="0"/>
              <w:insideV w:val="single" w:sz="10" w:space="0"/>
            </w:tcBorders>
            <w:vAlign w:val="center"/>
          </w:tcPr>
          <w:p w14:paraId="62ED7488">
            <w:pPr>
              <w:jc w:val="center"/>
            </w:pPr>
            <w:r>
              <w:rPr>
                <w:rFonts w:hint="eastAsia" w:ascii="宋体" w:hAnsi="宋体"/>
                <w:sz w:val="16"/>
                <w:lang w:eastAsia="zh-CN"/>
              </w:rPr>
              <w:t>≥</w:t>
            </w:r>
            <w:r>
              <w:rPr>
                <w:rFonts w:ascii="宋体" w:hAnsi="宋体" w:eastAsia="宋体"/>
                <w:sz w:val="16"/>
              </w:rPr>
              <w:t>95%</w:t>
            </w:r>
          </w:p>
        </w:tc>
        <w:tc>
          <w:tcPr>
            <w:tcW w:w="1089" w:type="dxa"/>
            <w:tcBorders>
              <w:top w:val="single" w:color="auto" w:sz="10" w:space="0"/>
              <w:left w:val="single" w:color="auto" w:sz="10" w:space="0"/>
              <w:bottom w:val="single" w:color="auto" w:sz="10" w:space="0"/>
              <w:right w:val="single" w:color="auto" w:sz="10" w:space="0"/>
              <w:insideV w:val="single" w:sz="10" w:space="0"/>
            </w:tcBorders>
            <w:vAlign w:val="center"/>
          </w:tcPr>
          <w:p w14:paraId="67E0513E">
            <w:pPr>
              <w:jc w:val="center"/>
            </w:pPr>
            <w:r>
              <w:rPr>
                <w:rFonts w:ascii="宋体" w:hAnsi="宋体" w:eastAsia="宋体"/>
                <w:sz w:val="16"/>
              </w:rPr>
              <w:t>2024年工作计划</w:t>
            </w:r>
          </w:p>
        </w:tc>
        <w:tc>
          <w:tcPr>
            <w:tcW w:w="967" w:type="dxa"/>
            <w:tcBorders>
              <w:top w:val="single" w:color="auto" w:sz="10" w:space="0"/>
              <w:left w:val="single" w:color="auto" w:sz="10" w:space="0"/>
              <w:bottom w:val="single" w:color="auto" w:sz="10" w:space="0"/>
              <w:right w:val="single" w:color="auto" w:sz="10" w:space="0"/>
              <w:insideV w:val="single" w:sz="10" w:space="0"/>
            </w:tcBorders>
            <w:vAlign w:val="center"/>
          </w:tcPr>
          <w:p w14:paraId="7E86FDD5">
            <w:pPr>
              <w:jc w:val="center"/>
            </w:pPr>
            <w:r>
              <w:rPr>
                <w:rFonts w:ascii="宋体" w:hAnsi="宋体" w:eastAsia="宋体"/>
                <w:sz w:val="16"/>
              </w:rPr>
              <w:t>12</w:t>
            </w:r>
          </w:p>
        </w:tc>
        <w:tc>
          <w:tcPr>
            <w:tcW w:w="944" w:type="dxa"/>
            <w:tcBorders>
              <w:top w:val="single" w:color="auto" w:sz="10" w:space="0"/>
              <w:left w:val="single" w:color="auto" w:sz="10" w:space="0"/>
              <w:bottom w:val="single" w:color="auto" w:sz="10" w:space="0"/>
              <w:right w:val="single" w:color="auto" w:sz="10" w:space="0"/>
              <w:insideV w:val="single" w:sz="10" w:space="0"/>
            </w:tcBorders>
            <w:vAlign w:val="center"/>
          </w:tcPr>
          <w:p w14:paraId="0A9A59A1">
            <w:pPr>
              <w:jc w:val="center"/>
            </w:pPr>
            <w:r>
              <w:rPr>
                <w:rFonts w:ascii="宋体" w:hAnsi="宋体" w:eastAsia="宋体"/>
                <w:sz w:val="16"/>
              </w:rPr>
              <w:t>99.28%</w:t>
            </w:r>
          </w:p>
        </w:tc>
        <w:tc>
          <w:tcPr>
            <w:tcW w:w="529" w:type="dxa"/>
            <w:tcBorders>
              <w:top w:val="single" w:color="auto" w:sz="10" w:space="0"/>
              <w:left w:val="single" w:color="auto" w:sz="10" w:space="0"/>
              <w:bottom w:val="single" w:color="auto" w:sz="10" w:space="0"/>
              <w:right w:val="single" w:color="auto" w:sz="10" w:space="0"/>
              <w:insideV w:val="single" w:sz="10" w:space="0"/>
            </w:tcBorders>
            <w:vAlign w:val="center"/>
          </w:tcPr>
          <w:p w14:paraId="3A796E8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C960A">
            <w:pPr>
              <w:jc w:val="center"/>
            </w:pPr>
            <w:r>
              <w:rPr>
                <w:rFonts w:ascii="宋体" w:hAnsi="宋体" w:eastAsia="宋体"/>
                <w:sz w:val="16"/>
              </w:rPr>
              <w:t>12</w:t>
            </w:r>
          </w:p>
        </w:tc>
      </w:tr>
    </w:tbl>
    <w:p w14:paraId="7465F0F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1253"/>
        <w:gridCol w:w="713"/>
        <w:gridCol w:w="983"/>
        <w:gridCol w:w="983"/>
        <w:gridCol w:w="983"/>
        <w:gridCol w:w="983"/>
      </w:tblGrid>
      <w:tr w14:paraId="10A68143">
        <w:tblPrEx>
          <w:tblCellMar>
            <w:top w:w="0" w:type="dxa"/>
            <w:left w:w="108" w:type="dxa"/>
            <w:bottom w:w="0" w:type="dxa"/>
            <w:right w:w="108" w:type="dxa"/>
          </w:tblCellMar>
        </w:tblPrEx>
        <w:tc>
          <w:tcPr>
            <w:tcW w:w="8847" w:type="dxa"/>
            <w:gridSpan w:val="9"/>
            <w:vAlign w:val="center"/>
          </w:tcPr>
          <w:p w14:paraId="4C49B51E">
            <w:pPr>
              <w:jc w:val="center"/>
            </w:pPr>
            <w:r>
              <w:rPr>
                <w:rFonts w:ascii="宋体" w:hAnsi="宋体" w:eastAsia="宋体"/>
                <w:sz w:val="24"/>
              </w:rPr>
              <w:t>项目支出绩效自评表</w:t>
            </w:r>
          </w:p>
        </w:tc>
      </w:tr>
      <w:tr w14:paraId="0DD079C1">
        <w:tblPrEx>
          <w:tblCellMar>
            <w:top w:w="0" w:type="dxa"/>
            <w:left w:w="108" w:type="dxa"/>
            <w:bottom w:w="0" w:type="dxa"/>
            <w:right w:w="108" w:type="dxa"/>
          </w:tblCellMar>
        </w:tblPrEx>
        <w:tc>
          <w:tcPr>
            <w:tcW w:w="8847" w:type="dxa"/>
            <w:gridSpan w:val="9"/>
            <w:vAlign w:val="center"/>
          </w:tcPr>
          <w:p w14:paraId="4CCBD194">
            <w:pPr>
              <w:jc w:val="center"/>
            </w:pPr>
            <w:r>
              <w:rPr>
                <w:rFonts w:ascii="宋体" w:hAnsi="宋体" w:eastAsia="宋体"/>
                <w:sz w:val="24"/>
              </w:rPr>
              <w:t>(2024年度)</w:t>
            </w:r>
          </w:p>
        </w:tc>
      </w:tr>
      <w:tr w14:paraId="651EC8B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9D86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64E1657">
            <w:pPr>
              <w:jc w:val="center"/>
            </w:pPr>
            <w:r>
              <w:rPr>
                <w:rFonts w:ascii="宋体" w:hAnsi="宋体" w:eastAsia="宋体"/>
                <w:sz w:val="16"/>
              </w:rPr>
              <w:t>1995年前退休（退职）人生活补助资金预算项目</w:t>
            </w:r>
          </w:p>
        </w:tc>
      </w:tr>
      <w:tr w14:paraId="152C1E7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E780A">
            <w:pPr>
              <w:jc w:val="center"/>
            </w:pPr>
            <w:r>
              <w:rPr>
                <w:rFonts w:ascii="宋体" w:hAnsi="宋体" w:eastAsia="宋体"/>
                <w:sz w:val="16"/>
              </w:rPr>
              <w:t>主管部门</w:t>
            </w:r>
          </w:p>
        </w:tc>
        <w:tc>
          <w:tcPr>
            <w:tcW w:w="321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C3CBEA">
            <w:pPr>
              <w:jc w:val="center"/>
            </w:pPr>
            <w:r>
              <w:rPr>
                <w:rFonts w:ascii="宋体" w:hAnsi="宋体" w:eastAsia="宋体"/>
                <w:sz w:val="16"/>
              </w:rPr>
              <w:t>和田地区社会保险中心</w:t>
            </w:r>
          </w:p>
        </w:tc>
        <w:tc>
          <w:tcPr>
            <w:tcW w:w="713" w:type="dxa"/>
            <w:tcBorders>
              <w:top w:val="single" w:color="auto" w:sz="10" w:space="0"/>
              <w:left w:val="single" w:color="auto" w:sz="10" w:space="0"/>
              <w:bottom w:val="single" w:color="auto" w:sz="10" w:space="0"/>
              <w:right w:val="single" w:color="auto" w:sz="10" w:space="0"/>
              <w:insideV w:val="single" w:sz="10" w:space="0"/>
            </w:tcBorders>
            <w:vAlign w:val="center"/>
          </w:tcPr>
          <w:p w14:paraId="2C95401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6C2A06">
            <w:pPr>
              <w:jc w:val="center"/>
            </w:pPr>
            <w:r>
              <w:rPr>
                <w:rFonts w:ascii="宋体" w:hAnsi="宋体" w:eastAsia="宋体"/>
                <w:sz w:val="16"/>
              </w:rPr>
              <w:t>和田地区社会保险中心</w:t>
            </w:r>
          </w:p>
        </w:tc>
      </w:tr>
      <w:tr w14:paraId="2AFB47D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4B7A9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E1890">
            <w:pPr>
              <w:jc w:val="center"/>
            </w:pPr>
          </w:p>
        </w:tc>
        <w:tc>
          <w:tcPr>
            <w:tcW w:w="1253" w:type="dxa"/>
            <w:tcBorders>
              <w:top w:val="single" w:color="auto" w:sz="10" w:space="0"/>
              <w:left w:val="single" w:color="auto" w:sz="10" w:space="0"/>
              <w:bottom w:val="single" w:color="auto" w:sz="10" w:space="0"/>
              <w:right w:val="single" w:color="auto" w:sz="10" w:space="0"/>
              <w:insideV w:val="single" w:sz="10" w:space="0"/>
            </w:tcBorders>
            <w:vAlign w:val="center"/>
          </w:tcPr>
          <w:p w14:paraId="1C83E9C9">
            <w:pPr>
              <w:jc w:val="center"/>
            </w:pPr>
            <w:r>
              <w:rPr>
                <w:rFonts w:ascii="宋体" w:hAnsi="宋体" w:eastAsia="宋体"/>
                <w:sz w:val="16"/>
              </w:rPr>
              <w:t>年初预算数</w:t>
            </w:r>
          </w:p>
        </w:tc>
        <w:tc>
          <w:tcPr>
            <w:tcW w:w="713" w:type="dxa"/>
            <w:tcBorders>
              <w:top w:val="single" w:color="auto" w:sz="10" w:space="0"/>
              <w:left w:val="single" w:color="auto" w:sz="10" w:space="0"/>
              <w:bottom w:val="single" w:color="auto" w:sz="10" w:space="0"/>
              <w:right w:val="single" w:color="auto" w:sz="10" w:space="0"/>
              <w:insideV w:val="single" w:sz="10" w:space="0"/>
            </w:tcBorders>
            <w:vAlign w:val="center"/>
          </w:tcPr>
          <w:p w14:paraId="4AD1E32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3252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6128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1C19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D3533">
            <w:pPr>
              <w:jc w:val="center"/>
            </w:pPr>
            <w:r>
              <w:rPr>
                <w:rFonts w:ascii="宋体" w:hAnsi="宋体" w:eastAsia="宋体"/>
                <w:sz w:val="16"/>
              </w:rPr>
              <w:t>得分</w:t>
            </w:r>
          </w:p>
        </w:tc>
      </w:tr>
      <w:tr w14:paraId="283175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AC7D5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0A1A5">
            <w:pPr>
              <w:jc w:val="center"/>
            </w:pPr>
            <w:r>
              <w:rPr>
                <w:rFonts w:ascii="宋体" w:hAnsi="宋体" w:eastAsia="宋体"/>
                <w:sz w:val="16"/>
              </w:rPr>
              <w:t>年度资金总额</w:t>
            </w:r>
          </w:p>
        </w:tc>
        <w:tc>
          <w:tcPr>
            <w:tcW w:w="1253" w:type="dxa"/>
            <w:tcBorders>
              <w:top w:val="single" w:color="auto" w:sz="10" w:space="0"/>
              <w:left w:val="single" w:color="auto" w:sz="10" w:space="0"/>
              <w:bottom w:val="single" w:color="auto" w:sz="10" w:space="0"/>
              <w:right w:val="single" w:color="auto" w:sz="10" w:space="0"/>
              <w:insideV w:val="single" w:sz="10" w:space="0"/>
            </w:tcBorders>
            <w:vAlign w:val="center"/>
          </w:tcPr>
          <w:p w14:paraId="2CFF6963">
            <w:pPr>
              <w:jc w:val="center"/>
            </w:pPr>
            <w:r>
              <w:rPr>
                <w:rFonts w:ascii="宋体" w:hAnsi="宋体" w:eastAsia="宋体"/>
                <w:sz w:val="16"/>
              </w:rPr>
              <w:t>120.00</w:t>
            </w:r>
          </w:p>
        </w:tc>
        <w:tc>
          <w:tcPr>
            <w:tcW w:w="713" w:type="dxa"/>
            <w:tcBorders>
              <w:top w:val="single" w:color="auto" w:sz="10" w:space="0"/>
              <w:left w:val="single" w:color="auto" w:sz="10" w:space="0"/>
              <w:bottom w:val="single" w:color="auto" w:sz="10" w:space="0"/>
              <w:right w:val="single" w:color="auto" w:sz="10" w:space="0"/>
              <w:insideV w:val="single" w:sz="10" w:space="0"/>
            </w:tcBorders>
            <w:vAlign w:val="center"/>
          </w:tcPr>
          <w:p w14:paraId="35B445F9">
            <w:pPr>
              <w:jc w:val="center"/>
            </w:pPr>
            <w:r>
              <w:rPr>
                <w:rFonts w:ascii="宋体" w:hAnsi="宋体" w:eastAsia="宋体"/>
                <w:sz w:val="16"/>
              </w:rPr>
              <w:t>120.00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85ABD">
            <w:pPr>
              <w:jc w:val="center"/>
            </w:pPr>
            <w:r>
              <w:rPr>
                <w:rFonts w:ascii="宋体" w:hAnsi="宋体" w:eastAsia="宋体"/>
                <w:sz w:val="16"/>
              </w:rPr>
              <w:t>120.00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DE35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AB62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5DEE8">
            <w:pPr>
              <w:jc w:val="center"/>
            </w:pPr>
            <w:r>
              <w:rPr>
                <w:rFonts w:ascii="宋体" w:hAnsi="宋体" w:eastAsia="宋体"/>
                <w:sz w:val="16"/>
              </w:rPr>
              <w:t>10.00分</w:t>
            </w:r>
          </w:p>
        </w:tc>
      </w:tr>
      <w:tr w14:paraId="743175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81DFC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627B6">
            <w:pPr>
              <w:jc w:val="center"/>
            </w:pPr>
            <w:r>
              <w:rPr>
                <w:rFonts w:ascii="宋体" w:hAnsi="宋体" w:eastAsia="宋体"/>
                <w:sz w:val="16"/>
              </w:rPr>
              <w:t>其中：当年财政拨款</w:t>
            </w:r>
          </w:p>
        </w:tc>
        <w:tc>
          <w:tcPr>
            <w:tcW w:w="1253" w:type="dxa"/>
            <w:tcBorders>
              <w:top w:val="single" w:color="auto" w:sz="10" w:space="0"/>
              <w:left w:val="single" w:color="auto" w:sz="10" w:space="0"/>
              <w:bottom w:val="single" w:color="auto" w:sz="10" w:space="0"/>
              <w:right w:val="single" w:color="auto" w:sz="10" w:space="0"/>
              <w:insideV w:val="single" w:sz="10" w:space="0"/>
            </w:tcBorders>
            <w:vAlign w:val="center"/>
          </w:tcPr>
          <w:p w14:paraId="6A7D5D31">
            <w:pPr>
              <w:jc w:val="center"/>
            </w:pPr>
            <w:r>
              <w:rPr>
                <w:rFonts w:ascii="宋体" w:hAnsi="宋体" w:eastAsia="宋体"/>
                <w:sz w:val="16"/>
              </w:rPr>
              <w:t>120.00</w:t>
            </w:r>
          </w:p>
        </w:tc>
        <w:tc>
          <w:tcPr>
            <w:tcW w:w="713" w:type="dxa"/>
            <w:tcBorders>
              <w:top w:val="single" w:color="auto" w:sz="10" w:space="0"/>
              <w:left w:val="single" w:color="auto" w:sz="10" w:space="0"/>
              <w:bottom w:val="single" w:color="auto" w:sz="10" w:space="0"/>
              <w:right w:val="single" w:color="auto" w:sz="10" w:space="0"/>
              <w:insideV w:val="single" w:sz="10" w:space="0"/>
            </w:tcBorders>
            <w:vAlign w:val="center"/>
          </w:tcPr>
          <w:p w14:paraId="7D0BAADB">
            <w:pPr>
              <w:jc w:val="center"/>
            </w:pPr>
            <w:r>
              <w:rPr>
                <w:rFonts w:ascii="宋体" w:hAnsi="宋体" w:eastAsia="宋体"/>
                <w:sz w:val="16"/>
              </w:rPr>
              <w:t>120.00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8DF90">
            <w:pPr>
              <w:jc w:val="center"/>
            </w:pPr>
            <w:r>
              <w:rPr>
                <w:rFonts w:ascii="宋体" w:hAnsi="宋体" w:eastAsia="宋体"/>
                <w:sz w:val="16"/>
              </w:rPr>
              <w:t>120.00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D824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FDC0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F5B51">
            <w:pPr>
              <w:jc w:val="center"/>
            </w:pPr>
            <w:r>
              <w:rPr>
                <w:rFonts w:ascii="宋体" w:hAnsi="宋体" w:eastAsia="宋体"/>
                <w:sz w:val="16"/>
              </w:rPr>
              <w:t>—</w:t>
            </w:r>
          </w:p>
        </w:tc>
      </w:tr>
      <w:tr w14:paraId="656099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3DD4C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A2E5C">
            <w:pPr>
              <w:jc w:val="center"/>
            </w:pPr>
            <w:r>
              <w:rPr>
                <w:rFonts w:ascii="宋体" w:hAnsi="宋体" w:eastAsia="宋体"/>
                <w:sz w:val="16"/>
              </w:rPr>
              <w:t xml:space="preserve">      上年结转资金</w:t>
            </w:r>
          </w:p>
        </w:tc>
        <w:tc>
          <w:tcPr>
            <w:tcW w:w="1253" w:type="dxa"/>
            <w:tcBorders>
              <w:top w:val="single" w:color="auto" w:sz="10" w:space="0"/>
              <w:left w:val="single" w:color="auto" w:sz="10" w:space="0"/>
              <w:bottom w:val="single" w:color="auto" w:sz="10" w:space="0"/>
              <w:right w:val="single" w:color="auto" w:sz="10" w:space="0"/>
              <w:insideV w:val="single" w:sz="10" w:space="0"/>
            </w:tcBorders>
            <w:vAlign w:val="center"/>
          </w:tcPr>
          <w:p w14:paraId="28F8B2BD">
            <w:pPr>
              <w:jc w:val="center"/>
            </w:pPr>
            <w:r>
              <w:rPr>
                <w:rFonts w:ascii="宋体" w:hAnsi="宋体" w:eastAsia="宋体"/>
                <w:sz w:val="16"/>
              </w:rPr>
              <w:t>0.00</w:t>
            </w:r>
          </w:p>
        </w:tc>
        <w:tc>
          <w:tcPr>
            <w:tcW w:w="713" w:type="dxa"/>
            <w:tcBorders>
              <w:top w:val="single" w:color="auto" w:sz="10" w:space="0"/>
              <w:left w:val="single" w:color="auto" w:sz="10" w:space="0"/>
              <w:bottom w:val="single" w:color="auto" w:sz="10" w:space="0"/>
              <w:right w:val="single" w:color="auto" w:sz="10" w:space="0"/>
              <w:insideV w:val="single" w:sz="10" w:space="0"/>
            </w:tcBorders>
            <w:vAlign w:val="center"/>
          </w:tcPr>
          <w:p w14:paraId="5C4A164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31B0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71EE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EDE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650A4">
            <w:pPr>
              <w:jc w:val="center"/>
            </w:pPr>
            <w:r>
              <w:rPr>
                <w:rFonts w:ascii="宋体" w:hAnsi="宋体" w:eastAsia="宋体"/>
                <w:sz w:val="16"/>
              </w:rPr>
              <w:t>—</w:t>
            </w:r>
          </w:p>
        </w:tc>
      </w:tr>
      <w:tr w14:paraId="2823E1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F96F0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10197">
            <w:pPr>
              <w:jc w:val="center"/>
            </w:pPr>
            <w:r>
              <w:rPr>
                <w:rFonts w:ascii="宋体" w:hAnsi="宋体" w:eastAsia="宋体"/>
                <w:sz w:val="16"/>
              </w:rPr>
              <w:t xml:space="preserve">  其他资金</w:t>
            </w:r>
          </w:p>
        </w:tc>
        <w:tc>
          <w:tcPr>
            <w:tcW w:w="1253" w:type="dxa"/>
            <w:tcBorders>
              <w:top w:val="single" w:color="auto" w:sz="10" w:space="0"/>
              <w:left w:val="single" w:color="auto" w:sz="10" w:space="0"/>
              <w:bottom w:val="single" w:color="auto" w:sz="10" w:space="0"/>
              <w:right w:val="single" w:color="auto" w:sz="10" w:space="0"/>
              <w:insideV w:val="single" w:sz="10" w:space="0"/>
            </w:tcBorders>
            <w:vAlign w:val="center"/>
          </w:tcPr>
          <w:p w14:paraId="464E954E">
            <w:pPr>
              <w:jc w:val="center"/>
            </w:pPr>
            <w:r>
              <w:rPr>
                <w:rFonts w:ascii="宋体" w:hAnsi="宋体" w:eastAsia="宋体"/>
                <w:sz w:val="16"/>
              </w:rPr>
              <w:t>0.00</w:t>
            </w:r>
          </w:p>
        </w:tc>
        <w:tc>
          <w:tcPr>
            <w:tcW w:w="713" w:type="dxa"/>
            <w:tcBorders>
              <w:top w:val="single" w:color="auto" w:sz="10" w:space="0"/>
              <w:left w:val="single" w:color="auto" w:sz="10" w:space="0"/>
              <w:bottom w:val="single" w:color="auto" w:sz="10" w:space="0"/>
              <w:right w:val="single" w:color="auto" w:sz="10" w:space="0"/>
              <w:insideV w:val="single" w:sz="10" w:space="0"/>
            </w:tcBorders>
            <w:vAlign w:val="center"/>
          </w:tcPr>
          <w:p w14:paraId="7CDABBA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9BA8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58D4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A8C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F1A22">
            <w:pPr>
              <w:jc w:val="center"/>
            </w:pPr>
            <w:r>
              <w:rPr>
                <w:rFonts w:ascii="宋体" w:hAnsi="宋体" w:eastAsia="宋体"/>
                <w:sz w:val="16"/>
              </w:rPr>
              <w:t>—</w:t>
            </w:r>
          </w:p>
        </w:tc>
      </w:tr>
      <w:tr w14:paraId="08907E1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F8227">
            <w:pPr>
              <w:jc w:val="center"/>
            </w:pPr>
            <w:r>
              <w:rPr>
                <w:rFonts w:ascii="宋体" w:hAnsi="宋体" w:eastAsia="宋体"/>
                <w:sz w:val="16"/>
              </w:rPr>
              <w:t>年度总体目标</w:t>
            </w:r>
          </w:p>
        </w:tc>
        <w:tc>
          <w:tcPr>
            <w:tcW w:w="321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42B2F1">
            <w:pPr>
              <w:jc w:val="center"/>
            </w:pPr>
            <w:r>
              <w:rPr>
                <w:rFonts w:ascii="宋体" w:hAnsi="宋体" w:eastAsia="宋体"/>
                <w:sz w:val="16"/>
              </w:rPr>
              <w:t>预期目标</w:t>
            </w:r>
          </w:p>
        </w:tc>
        <w:tc>
          <w:tcPr>
            <w:tcW w:w="464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A5E1B2">
            <w:pPr>
              <w:jc w:val="center"/>
            </w:pPr>
            <w:r>
              <w:rPr>
                <w:rFonts w:ascii="宋体" w:hAnsi="宋体" w:eastAsia="宋体"/>
                <w:sz w:val="16"/>
              </w:rPr>
              <w:t>实际完成情况</w:t>
            </w:r>
          </w:p>
        </w:tc>
      </w:tr>
      <w:tr w14:paraId="40E158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C755A3"/>
        </w:tc>
        <w:tc>
          <w:tcPr>
            <w:tcW w:w="321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60B56D">
            <w:pPr>
              <w:jc w:val="both"/>
            </w:pPr>
            <w:r>
              <w:rPr>
                <w:rFonts w:ascii="宋体" w:hAnsi="宋体" w:eastAsia="宋体"/>
                <w:sz w:val="16"/>
              </w:rPr>
              <w:t>本项目主要实施内容为：为1187名退休职工发放补助，项目总投资为120万元，项目计划于2024年12月完成。通过本项目的实施，可有效增加退休人员幸福感，待项目实施完成，争取使受益人群满意度不低于95%。</w:t>
            </w:r>
          </w:p>
        </w:tc>
        <w:tc>
          <w:tcPr>
            <w:tcW w:w="464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11BFA3">
            <w:pPr>
              <w:jc w:val="both"/>
            </w:pPr>
            <w:r>
              <w:rPr>
                <w:rFonts w:hint="eastAsia" w:ascii="宋体" w:hAnsi="宋体"/>
                <w:sz w:val="16"/>
                <w:lang w:eastAsia="zh-CN"/>
              </w:rPr>
              <w:t>截至</w:t>
            </w:r>
            <w:r>
              <w:rPr>
                <w:rFonts w:ascii="宋体" w:hAnsi="宋体" w:eastAsia="宋体"/>
                <w:sz w:val="16"/>
              </w:rPr>
              <w:t>2024年12月31日，本项目实际形成支出120万元，已完成为退休职工发放补助的工作任务，达到了有效增加了退休人员的幸福感，受益人群满意度达到了100%。</w:t>
            </w:r>
          </w:p>
        </w:tc>
      </w:tr>
      <w:tr w14:paraId="39A7783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30A6F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47C9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2AC9E">
            <w:pPr>
              <w:jc w:val="center"/>
            </w:pPr>
            <w:r>
              <w:rPr>
                <w:rFonts w:ascii="宋体" w:hAnsi="宋体" w:eastAsia="宋体"/>
                <w:sz w:val="16"/>
              </w:rPr>
              <w:t>二级指标</w:t>
            </w:r>
          </w:p>
        </w:tc>
        <w:tc>
          <w:tcPr>
            <w:tcW w:w="1253" w:type="dxa"/>
            <w:tcBorders>
              <w:top w:val="single" w:color="auto" w:sz="10" w:space="0"/>
              <w:left w:val="single" w:color="auto" w:sz="10" w:space="0"/>
              <w:bottom w:val="single" w:color="auto" w:sz="10" w:space="0"/>
              <w:right w:val="single" w:color="auto" w:sz="10" w:space="0"/>
              <w:insideV w:val="single" w:sz="10" w:space="0"/>
            </w:tcBorders>
            <w:vAlign w:val="center"/>
          </w:tcPr>
          <w:p w14:paraId="0194B7CD">
            <w:pPr>
              <w:jc w:val="center"/>
            </w:pPr>
            <w:r>
              <w:rPr>
                <w:rFonts w:ascii="宋体" w:hAnsi="宋体" w:eastAsia="宋体"/>
                <w:sz w:val="16"/>
              </w:rPr>
              <w:t>三级指标</w:t>
            </w:r>
          </w:p>
        </w:tc>
        <w:tc>
          <w:tcPr>
            <w:tcW w:w="713" w:type="dxa"/>
            <w:tcBorders>
              <w:top w:val="single" w:color="auto" w:sz="10" w:space="0"/>
              <w:left w:val="single" w:color="auto" w:sz="10" w:space="0"/>
              <w:bottom w:val="single" w:color="auto" w:sz="10" w:space="0"/>
              <w:right w:val="single" w:color="auto" w:sz="10" w:space="0"/>
              <w:insideV w:val="single" w:sz="10" w:space="0"/>
            </w:tcBorders>
            <w:vAlign w:val="center"/>
          </w:tcPr>
          <w:p w14:paraId="58CE75F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2304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6023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C3C6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F5006">
            <w:pPr>
              <w:jc w:val="center"/>
            </w:pPr>
            <w:r>
              <w:rPr>
                <w:rFonts w:ascii="宋体" w:hAnsi="宋体" w:eastAsia="宋体"/>
                <w:sz w:val="16"/>
              </w:rPr>
              <w:t>偏差原因分析及改进措施</w:t>
            </w:r>
          </w:p>
        </w:tc>
      </w:tr>
      <w:tr w14:paraId="321B696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898B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D46AE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327AA">
            <w:pPr>
              <w:jc w:val="center"/>
            </w:pPr>
            <w:r>
              <w:rPr>
                <w:rFonts w:ascii="宋体" w:hAnsi="宋体" w:eastAsia="宋体"/>
                <w:sz w:val="16"/>
              </w:rPr>
              <w:t>数量指标</w:t>
            </w:r>
          </w:p>
        </w:tc>
        <w:tc>
          <w:tcPr>
            <w:tcW w:w="1253" w:type="dxa"/>
            <w:tcBorders>
              <w:top w:val="single" w:color="auto" w:sz="10" w:space="0"/>
              <w:left w:val="single" w:color="auto" w:sz="10" w:space="0"/>
              <w:bottom w:val="single" w:color="auto" w:sz="10" w:space="0"/>
              <w:right w:val="single" w:color="auto" w:sz="10" w:space="0"/>
              <w:insideV w:val="single" w:sz="10" w:space="0"/>
            </w:tcBorders>
            <w:vAlign w:val="center"/>
          </w:tcPr>
          <w:p w14:paraId="0F375D2D">
            <w:pPr>
              <w:jc w:val="center"/>
            </w:pPr>
            <w:r>
              <w:rPr>
                <w:rFonts w:ascii="宋体" w:hAnsi="宋体" w:eastAsia="宋体"/>
                <w:sz w:val="16"/>
              </w:rPr>
              <w:t>1995年前退休（退职）补助人数</w:t>
            </w:r>
          </w:p>
        </w:tc>
        <w:tc>
          <w:tcPr>
            <w:tcW w:w="713" w:type="dxa"/>
            <w:tcBorders>
              <w:top w:val="single" w:color="auto" w:sz="10" w:space="0"/>
              <w:left w:val="single" w:color="auto" w:sz="10" w:space="0"/>
              <w:bottom w:val="single" w:color="auto" w:sz="10" w:space="0"/>
              <w:right w:val="single" w:color="auto" w:sz="10" w:space="0"/>
              <w:insideV w:val="single" w:sz="10" w:space="0"/>
            </w:tcBorders>
            <w:vAlign w:val="center"/>
          </w:tcPr>
          <w:p w14:paraId="7904F7DA">
            <w:pPr>
              <w:jc w:val="center"/>
            </w:pPr>
            <w:r>
              <w:rPr>
                <w:rFonts w:hint="eastAsia" w:ascii="宋体" w:hAnsi="宋体"/>
                <w:sz w:val="16"/>
                <w:lang w:eastAsia="zh-CN"/>
              </w:rPr>
              <w:t>≥</w:t>
            </w:r>
            <w:r>
              <w:rPr>
                <w:rFonts w:ascii="宋体" w:hAnsi="宋体" w:eastAsia="宋体"/>
                <w:sz w:val="16"/>
              </w:rPr>
              <w:t>1056人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7E5EB">
            <w:pPr>
              <w:jc w:val="center"/>
            </w:pPr>
            <w:r>
              <w:rPr>
                <w:rFonts w:ascii="宋体" w:hAnsi="宋体" w:eastAsia="宋体"/>
                <w:sz w:val="16"/>
              </w:rPr>
              <w:t>=1056人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568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29D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33E96">
            <w:pPr>
              <w:jc w:val="center"/>
            </w:pPr>
          </w:p>
        </w:tc>
      </w:tr>
      <w:tr w14:paraId="0062F3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7358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F7B1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BC159">
            <w:pPr>
              <w:jc w:val="center"/>
            </w:pPr>
            <w:r>
              <w:rPr>
                <w:rFonts w:ascii="宋体" w:hAnsi="宋体" w:eastAsia="宋体"/>
                <w:sz w:val="16"/>
              </w:rPr>
              <w:t>质量指标</w:t>
            </w:r>
          </w:p>
        </w:tc>
        <w:tc>
          <w:tcPr>
            <w:tcW w:w="1253" w:type="dxa"/>
            <w:tcBorders>
              <w:top w:val="single" w:color="auto" w:sz="10" w:space="0"/>
              <w:left w:val="single" w:color="auto" w:sz="10" w:space="0"/>
              <w:bottom w:val="single" w:color="auto" w:sz="10" w:space="0"/>
              <w:right w:val="single" w:color="auto" w:sz="10" w:space="0"/>
              <w:insideV w:val="single" w:sz="10" w:space="0"/>
            </w:tcBorders>
            <w:vAlign w:val="center"/>
          </w:tcPr>
          <w:p w14:paraId="76153E65">
            <w:pPr>
              <w:jc w:val="center"/>
            </w:pPr>
            <w:r>
              <w:rPr>
                <w:rFonts w:ascii="宋体" w:hAnsi="宋体" w:eastAsia="宋体"/>
                <w:sz w:val="16"/>
              </w:rPr>
              <w:t>补助发放覆盖率</w:t>
            </w:r>
          </w:p>
        </w:tc>
        <w:tc>
          <w:tcPr>
            <w:tcW w:w="713" w:type="dxa"/>
            <w:tcBorders>
              <w:top w:val="single" w:color="auto" w:sz="10" w:space="0"/>
              <w:left w:val="single" w:color="auto" w:sz="10" w:space="0"/>
              <w:bottom w:val="single" w:color="auto" w:sz="10" w:space="0"/>
              <w:right w:val="single" w:color="auto" w:sz="10" w:space="0"/>
              <w:insideV w:val="single" w:sz="10" w:space="0"/>
            </w:tcBorders>
            <w:vAlign w:val="center"/>
          </w:tcPr>
          <w:p w14:paraId="534F5C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0342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F39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EBF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69A84">
            <w:pPr>
              <w:jc w:val="center"/>
            </w:pPr>
          </w:p>
        </w:tc>
      </w:tr>
      <w:tr w14:paraId="5179AD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AA38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B615C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6B44CD">
            <w:pPr>
              <w:jc w:val="center"/>
            </w:pPr>
            <w:r>
              <w:rPr>
                <w:rFonts w:ascii="宋体" w:hAnsi="宋体" w:eastAsia="宋体"/>
                <w:sz w:val="16"/>
              </w:rPr>
              <w:t>时效指标</w:t>
            </w:r>
          </w:p>
        </w:tc>
        <w:tc>
          <w:tcPr>
            <w:tcW w:w="1253" w:type="dxa"/>
            <w:tcBorders>
              <w:top w:val="single" w:color="auto" w:sz="10" w:space="0"/>
              <w:left w:val="single" w:color="auto" w:sz="10" w:space="0"/>
              <w:bottom w:val="single" w:color="auto" w:sz="10" w:space="0"/>
              <w:right w:val="single" w:color="auto" w:sz="10" w:space="0"/>
              <w:insideV w:val="single" w:sz="10" w:space="0"/>
            </w:tcBorders>
            <w:vAlign w:val="center"/>
          </w:tcPr>
          <w:p w14:paraId="0276CA78">
            <w:pPr>
              <w:jc w:val="center"/>
            </w:pPr>
            <w:r>
              <w:rPr>
                <w:rFonts w:ascii="宋体" w:hAnsi="宋体" w:eastAsia="宋体"/>
                <w:sz w:val="16"/>
              </w:rPr>
              <w:t>资金支付及时率</w:t>
            </w:r>
          </w:p>
        </w:tc>
        <w:tc>
          <w:tcPr>
            <w:tcW w:w="713" w:type="dxa"/>
            <w:tcBorders>
              <w:top w:val="single" w:color="auto" w:sz="10" w:space="0"/>
              <w:left w:val="single" w:color="auto" w:sz="10" w:space="0"/>
              <w:bottom w:val="single" w:color="auto" w:sz="10" w:space="0"/>
              <w:right w:val="single" w:color="auto" w:sz="10" w:space="0"/>
              <w:insideV w:val="single" w:sz="10" w:space="0"/>
            </w:tcBorders>
            <w:vAlign w:val="center"/>
          </w:tcPr>
          <w:p w14:paraId="745A0CD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5F5A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9F5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6966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3D66F">
            <w:pPr>
              <w:jc w:val="center"/>
            </w:pPr>
          </w:p>
        </w:tc>
      </w:tr>
      <w:tr w14:paraId="0F9877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7C10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D327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7E4BF0"/>
        </w:tc>
        <w:tc>
          <w:tcPr>
            <w:tcW w:w="1253" w:type="dxa"/>
            <w:tcBorders>
              <w:top w:val="single" w:color="auto" w:sz="10" w:space="0"/>
              <w:left w:val="single" w:color="auto" w:sz="10" w:space="0"/>
              <w:bottom w:val="single" w:color="auto" w:sz="10" w:space="0"/>
              <w:right w:val="single" w:color="auto" w:sz="10" w:space="0"/>
              <w:insideV w:val="single" w:sz="10" w:space="0"/>
            </w:tcBorders>
            <w:vAlign w:val="center"/>
          </w:tcPr>
          <w:p w14:paraId="56269AE3">
            <w:pPr>
              <w:jc w:val="center"/>
            </w:pPr>
            <w:r>
              <w:rPr>
                <w:rFonts w:ascii="宋体" w:hAnsi="宋体" w:eastAsia="宋体"/>
                <w:sz w:val="16"/>
              </w:rPr>
              <w:t>项目完成时间</w:t>
            </w:r>
          </w:p>
        </w:tc>
        <w:tc>
          <w:tcPr>
            <w:tcW w:w="713" w:type="dxa"/>
            <w:tcBorders>
              <w:top w:val="single" w:color="auto" w:sz="10" w:space="0"/>
              <w:left w:val="single" w:color="auto" w:sz="10" w:space="0"/>
              <w:bottom w:val="single" w:color="auto" w:sz="10" w:space="0"/>
              <w:right w:val="single" w:color="auto" w:sz="10" w:space="0"/>
              <w:insideV w:val="single" w:sz="10" w:space="0"/>
            </w:tcBorders>
            <w:vAlign w:val="center"/>
          </w:tcPr>
          <w:p w14:paraId="1BDB1C0C">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A7594">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0AB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478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6E2A5">
            <w:pPr>
              <w:jc w:val="center"/>
            </w:pPr>
          </w:p>
        </w:tc>
      </w:tr>
      <w:tr w14:paraId="2D31B3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4403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9616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3630D">
            <w:pPr>
              <w:jc w:val="center"/>
            </w:pPr>
            <w:r>
              <w:rPr>
                <w:rFonts w:ascii="宋体" w:hAnsi="宋体" w:eastAsia="宋体"/>
                <w:sz w:val="16"/>
              </w:rPr>
              <w:t>经济成本指标</w:t>
            </w:r>
          </w:p>
        </w:tc>
        <w:tc>
          <w:tcPr>
            <w:tcW w:w="1253" w:type="dxa"/>
            <w:tcBorders>
              <w:top w:val="single" w:color="auto" w:sz="10" w:space="0"/>
              <w:left w:val="single" w:color="auto" w:sz="10" w:space="0"/>
              <w:bottom w:val="single" w:color="auto" w:sz="10" w:space="0"/>
              <w:right w:val="single" w:color="auto" w:sz="10" w:space="0"/>
              <w:insideV w:val="single" w:sz="10" w:space="0"/>
            </w:tcBorders>
            <w:vAlign w:val="center"/>
          </w:tcPr>
          <w:p w14:paraId="64B0237D">
            <w:pPr>
              <w:jc w:val="center"/>
            </w:pPr>
            <w:r>
              <w:rPr>
                <w:rFonts w:ascii="宋体" w:hAnsi="宋体" w:eastAsia="宋体"/>
                <w:sz w:val="16"/>
              </w:rPr>
              <w:t>保障经费</w:t>
            </w:r>
          </w:p>
        </w:tc>
        <w:tc>
          <w:tcPr>
            <w:tcW w:w="713" w:type="dxa"/>
            <w:tcBorders>
              <w:top w:val="single" w:color="auto" w:sz="10" w:space="0"/>
              <w:left w:val="single" w:color="auto" w:sz="10" w:space="0"/>
              <w:bottom w:val="single" w:color="auto" w:sz="10" w:space="0"/>
              <w:right w:val="single" w:color="auto" w:sz="10" w:space="0"/>
              <w:insideV w:val="single" w:sz="10" w:space="0"/>
            </w:tcBorders>
            <w:vAlign w:val="center"/>
          </w:tcPr>
          <w:p w14:paraId="1A60A7C0">
            <w:pPr>
              <w:jc w:val="center"/>
            </w:pPr>
            <w:r>
              <w:rPr>
                <w:rFonts w:hint="eastAsia" w:ascii="Arial" w:hAnsi="Arial" w:cs="Arial"/>
                <w:sz w:val="16"/>
                <w:lang w:eastAsia="zh-CN"/>
              </w:rPr>
              <w:t>≤</w:t>
            </w:r>
            <w:r>
              <w:rPr>
                <w:rFonts w:ascii="宋体" w:hAnsi="宋体" w:eastAsia="宋体"/>
                <w:sz w:val="16"/>
              </w:rPr>
              <w:t>120万元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BFE71">
            <w:pPr>
              <w:jc w:val="center"/>
            </w:pPr>
            <w:r>
              <w:rPr>
                <w:rFonts w:ascii="宋体" w:hAnsi="宋体" w:eastAsia="宋体"/>
                <w:sz w:val="16"/>
              </w:rPr>
              <w:t>=120万元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73F8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E965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7AEDF">
            <w:pPr>
              <w:jc w:val="center"/>
            </w:pPr>
          </w:p>
        </w:tc>
      </w:tr>
      <w:tr w14:paraId="216AA0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405D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0211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CC01A">
            <w:pPr>
              <w:jc w:val="center"/>
            </w:pPr>
            <w:r>
              <w:rPr>
                <w:rFonts w:ascii="宋体" w:hAnsi="宋体" w:eastAsia="宋体"/>
                <w:sz w:val="16"/>
              </w:rPr>
              <w:t>社会效益指标</w:t>
            </w:r>
          </w:p>
        </w:tc>
        <w:tc>
          <w:tcPr>
            <w:tcW w:w="1253" w:type="dxa"/>
            <w:tcBorders>
              <w:top w:val="single" w:color="auto" w:sz="10" w:space="0"/>
              <w:left w:val="single" w:color="auto" w:sz="10" w:space="0"/>
              <w:bottom w:val="single" w:color="auto" w:sz="10" w:space="0"/>
              <w:right w:val="single" w:color="auto" w:sz="10" w:space="0"/>
              <w:insideV w:val="single" w:sz="10" w:space="0"/>
            </w:tcBorders>
            <w:vAlign w:val="center"/>
          </w:tcPr>
          <w:p w14:paraId="02CEED39">
            <w:pPr>
              <w:jc w:val="center"/>
            </w:pPr>
            <w:r>
              <w:rPr>
                <w:rFonts w:ascii="宋体" w:hAnsi="宋体" w:eastAsia="宋体"/>
                <w:sz w:val="16"/>
              </w:rPr>
              <w:t>增加退休人员幸福感</w:t>
            </w:r>
          </w:p>
        </w:tc>
        <w:tc>
          <w:tcPr>
            <w:tcW w:w="713" w:type="dxa"/>
            <w:tcBorders>
              <w:top w:val="single" w:color="auto" w:sz="10" w:space="0"/>
              <w:left w:val="single" w:color="auto" w:sz="10" w:space="0"/>
              <w:bottom w:val="single" w:color="auto" w:sz="10" w:space="0"/>
              <w:right w:val="single" w:color="auto" w:sz="10" w:space="0"/>
              <w:insideV w:val="single" w:sz="10" w:space="0"/>
            </w:tcBorders>
            <w:vAlign w:val="center"/>
          </w:tcPr>
          <w:p w14:paraId="7B2B1C02">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708FF">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3247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1FBF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C7BBB">
            <w:pPr>
              <w:jc w:val="center"/>
            </w:pPr>
          </w:p>
        </w:tc>
      </w:tr>
      <w:tr w14:paraId="38A069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A5F2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E771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75678">
            <w:pPr>
              <w:jc w:val="center"/>
            </w:pPr>
            <w:r>
              <w:rPr>
                <w:rFonts w:ascii="宋体" w:hAnsi="宋体" w:eastAsia="宋体"/>
                <w:sz w:val="16"/>
              </w:rPr>
              <w:t>满意度指标</w:t>
            </w:r>
          </w:p>
        </w:tc>
        <w:tc>
          <w:tcPr>
            <w:tcW w:w="1253" w:type="dxa"/>
            <w:tcBorders>
              <w:top w:val="single" w:color="auto" w:sz="10" w:space="0"/>
              <w:left w:val="single" w:color="auto" w:sz="10" w:space="0"/>
              <w:bottom w:val="single" w:color="auto" w:sz="10" w:space="0"/>
              <w:right w:val="single" w:color="auto" w:sz="10" w:space="0"/>
              <w:insideV w:val="single" w:sz="10" w:space="0"/>
            </w:tcBorders>
            <w:vAlign w:val="center"/>
          </w:tcPr>
          <w:p w14:paraId="37E5B17F">
            <w:pPr>
              <w:jc w:val="center"/>
            </w:pPr>
            <w:r>
              <w:rPr>
                <w:rFonts w:ascii="宋体" w:hAnsi="宋体" w:eastAsia="宋体"/>
                <w:sz w:val="16"/>
              </w:rPr>
              <w:t>退休人员满意度</w:t>
            </w:r>
          </w:p>
        </w:tc>
        <w:tc>
          <w:tcPr>
            <w:tcW w:w="713" w:type="dxa"/>
            <w:tcBorders>
              <w:top w:val="single" w:color="auto" w:sz="10" w:space="0"/>
              <w:left w:val="single" w:color="auto" w:sz="10" w:space="0"/>
              <w:bottom w:val="single" w:color="auto" w:sz="10" w:space="0"/>
              <w:right w:val="single" w:color="auto" w:sz="10" w:space="0"/>
              <w:insideV w:val="single" w:sz="10" w:space="0"/>
            </w:tcBorders>
            <w:vAlign w:val="center"/>
          </w:tcPr>
          <w:p w14:paraId="2C829497">
            <w:pPr>
              <w:jc w:val="center"/>
            </w:pPr>
            <w:r>
              <w:rPr>
                <w:rFonts w:hint="eastAsia" w:ascii="宋体" w:hAnsi="宋体"/>
                <w:sz w:val="16"/>
                <w:lang w:eastAsia="zh-CN"/>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DBB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FF8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673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E2E29">
            <w:pPr>
              <w:jc w:val="center"/>
            </w:pPr>
          </w:p>
        </w:tc>
      </w:tr>
      <w:tr w14:paraId="2E331C3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219B3">
            <w:pPr>
              <w:jc w:val="center"/>
            </w:pPr>
            <w:r>
              <w:rPr>
                <w:rFonts w:ascii="宋体" w:hAnsi="宋体" w:eastAsia="宋体"/>
                <w:sz w:val="16"/>
              </w:rPr>
              <w:t>总分</w:t>
            </w:r>
          </w:p>
        </w:tc>
        <w:tc>
          <w:tcPr>
            <w:tcW w:w="321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E6EBF7">
            <w:pPr>
              <w:jc w:val="center"/>
            </w:pPr>
            <w:r>
              <w:rPr>
                <w:rFonts w:ascii="宋体" w:hAnsi="宋体" w:eastAsia="宋体"/>
                <w:sz w:val="16"/>
              </w:rPr>
              <w:t>100</w:t>
            </w:r>
          </w:p>
        </w:tc>
        <w:tc>
          <w:tcPr>
            <w:tcW w:w="713" w:type="dxa"/>
            <w:tcBorders>
              <w:top w:val="single" w:color="auto" w:sz="10" w:space="0"/>
              <w:left w:val="single" w:color="auto" w:sz="10" w:space="0"/>
              <w:bottom w:val="single" w:color="auto" w:sz="10" w:space="0"/>
              <w:right w:val="single" w:color="auto" w:sz="10" w:space="0"/>
              <w:insideV w:val="single" w:sz="10" w:space="0"/>
            </w:tcBorders>
            <w:vAlign w:val="center"/>
          </w:tcPr>
          <w:p w14:paraId="3A4C6258">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0CCACE">
            <w:pPr>
              <w:jc w:val="center"/>
            </w:pPr>
            <w:r>
              <w:rPr>
                <w:rFonts w:ascii="宋体" w:hAnsi="宋体" w:eastAsia="宋体"/>
                <w:sz w:val="16"/>
              </w:rPr>
              <w:t>100分</w:t>
            </w:r>
          </w:p>
        </w:tc>
      </w:tr>
    </w:tbl>
    <w:p w14:paraId="0C5B072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270"/>
        <w:gridCol w:w="1079"/>
        <w:gridCol w:w="844"/>
        <w:gridCol w:w="756"/>
        <w:gridCol w:w="983"/>
        <w:gridCol w:w="983"/>
      </w:tblGrid>
      <w:tr w14:paraId="7EA1C565">
        <w:tblPrEx>
          <w:tblCellMar>
            <w:top w:w="0" w:type="dxa"/>
            <w:left w:w="108" w:type="dxa"/>
            <w:bottom w:w="0" w:type="dxa"/>
            <w:right w:w="108" w:type="dxa"/>
          </w:tblCellMar>
        </w:tblPrEx>
        <w:tc>
          <w:tcPr>
            <w:tcW w:w="8847" w:type="dxa"/>
            <w:gridSpan w:val="10"/>
            <w:vAlign w:val="center"/>
          </w:tcPr>
          <w:p w14:paraId="0F23E6EC">
            <w:pPr>
              <w:jc w:val="center"/>
            </w:pPr>
            <w:r>
              <w:rPr>
                <w:rFonts w:ascii="宋体" w:hAnsi="宋体" w:eastAsia="宋体"/>
                <w:sz w:val="24"/>
              </w:rPr>
              <w:t>项目支出绩效自评表</w:t>
            </w:r>
          </w:p>
        </w:tc>
      </w:tr>
      <w:tr w14:paraId="4CF5AB1C">
        <w:tblPrEx>
          <w:tblCellMar>
            <w:top w:w="0" w:type="dxa"/>
            <w:left w:w="108" w:type="dxa"/>
            <w:bottom w:w="0" w:type="dxa"/>
            <w:right w:w="108" w:type="dxa"/>
          </w:tblCellMar>
        </w:tblPrEx>
        <w:tc>
          <w:tcPr>
            <w:tcW w:w="8847" w:type="dxa"/>
            <w:gridSpan w:val="10"/>
            <w:vAlign w:val="center"/>
          </w:tcPr>
          <w:p w14:paraId="308BD1EB">
            <w:pPr>
              <w:jc w:val="center"/>
            </w:pPr>
            <w:r>
              <w:rPr>
                <w:rFonts w:ascii="宋体" w:hAnsi="宋体" w:eastAsia="宋体"/>
                <w:sz w:val="24"/>
              </w:rPr>
              <w:t>(2024年度)</w:t>
            </w:r>
          </w:p>
        </w:tc>
      </w:tr>
      <w:tr w14:paraId="667AF50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FD4BC">
            <w:pPr>
              <w:jc w:val="center"/>
            </w:pPr>
            <w:r>
              <w:rPr>
                <w:rFonts w:ascii="宋体" w:hAnsi="宋体" w:eastAsia="宋体"/>
                <w:sz w:val="16"/>
              </w:rPr>
              <w:t>项目名称</w:t>
            </w:r>
          </w:p>
        </w:tc>
        <w:tc>
          <w:tcPr>
            <w:tcW w:w="7864"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2DDAF0D6">
            <w:pPr>
              <w:jc w:val="center"/>
            </w:pPr>
            <w:r>
              <w:rPr>
                <w:rFonts w:ascii="宋体" w:hAnsi="宋体" w:eastAsia="宋体"/>
                <w:sz w:val="16"/>
              </w:rPr>
              <w:t>2024年国有企业办职教幼教生活待遇补贴资金项目</w:t>
            </w:r>
          </w:p>
        </w:tc>
      </w:tr>
      <w:tr w14:paraId="7279D747">
        <w:tblPrEx>
          <w:tblCellMar>
            <w:top w:w="0" w:type="dxa"/>
            <w:left w:w="108" w:type="dxa"/>
            <w:bottom w:w="0" w:type="dxa"/>
            <w:right w:w="108" w:type="dxa"/>
          </w:tblCellMar>
        </w:tblPrEx>
        <w:trPr>
          <w:trHeight w:val="477" w:hRule="atLeas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FFAD8">
            <w:pPr>
              <w:jc w:val="center"/>
            </w:pPr>
            <w:r>
              <w:rPr>
                <w:rFonts w:ascii="宋体" w:hAnsi="宋体" w:eastAsia="宋体"/>
                <w:sz w:val="16"/>
              </w:rPr>
              <w:t>主管部门</w:t>
            </w:r>
          </w:p>
        </w:tc>
        <w:tc>
          <w:tcPr>
            <w:tcW w:w="321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B77539">
            <w:pPr>
              <w:jc w:val="center"/>
            </w:pPr>
            <w:r>
              <w:rPr>
                <w:rFonts w:ascii="宋体" w:hAnsi="宋体" w:eastAsia="宋体"/>
                <w:sz w:val="16"/>
              </w:rPr>
              <w:t>和田地区社会保险中心</w:t>
            </w:r>
          </w:p>
        </w:tc>
        <w:tc>
          <w:tcPr>
            <w:tcW w:w="1079" w:type="dxa"/>
            <w:tcBorders>
              <w:top w:val="single" w:color="auto" w:sz="10" w:space="0"/>
              <w:left w:val="single" w:color="auto" w:sz="10" w:space="0"/>
              <w:bottom w:val="single" w:color="auto" w:sz="10" w:space="0"/>
              <w:right w:val="single" w:color="auto" w:sz="10" w:space="0"/>
              <w:insideV w:val="single" w:sz="10" w:space="0"/>
            </w:tcBorders>
            <w:vAlign w:val="center"/>
          </w:tcPr>
          <w:p w14:paraId="65F8FEA8">
            <w:pPr>
              <w:jc w:val="center"/>
            </w:pPr>
            <w:r>
              <w:rPr>
                <w:rFonts w:ascii="宋体" w:hAnsi="宋体" w:eastAsia="宋体"/>
                <w:sz w:val="16"/>
              </w:rPr>
              <w:t>实施单位</w:t>
            </w:r>
          </w:p>
        </w:tc>
        <w:tc>
          <w:tcPr>
            <w:tcW w:w="3566"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02D942">
            <w:pPr>
              <w:jc w:val="center"/>
            </w:pPr>
            <w:r>
              <w:rPr>
                <w:rFonts w:ascii="宋体" w:hAnsi="宋体" w:eastAsia="宋体"/>
                <w:sz w:val="16"/>
              </w:rPr>
              <w:t>和田地区社会保险中心</w:t>
            </w:r>
          </w:p>
        </w:tc>
      </w:tr>
      <w:tr w14:paraId="49648D8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368E6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75E7E">
            <w:pPr>
              <w:jc w:val="center"/>
            </w:pP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1751D">
            <w:pPr>
              <w:jc w:val="center"/>
            </w:pPr>
            <w:r>
              <w:rPr>
                <w:rFonts w:ascii="宋体" w:hAnsi="宋体" w:eastAsia="宋体"/>
                <w:sz w:val="16"/>
              </w:rPr>
              <w:t>年初预算数</w:t>
            </w:r>
          </w:p>
        </w:tc>
        <w:tc>
          <w:tcPr>
            <w:tcW w:w="1079" w:type="dxa"/>
            <w:tcBorders>
              <w:top w:val="single" w:color="auto" w:sz="10" w:space="0"/>
              <w:left w:val="single" w:color="auto" w:sz="10" w:space="0"/>
              <w:bottom w:val="single" w:color="auto" w:sz="10" w:space="0"/>
              <w:right w:val="single" w:color="auto" w:sz="10" w:space="0"/>
              <w:insideV w:val="single" w:sz="10" w:space="0"/>
            </w:tcBorders>
            <w:vAlign w:val="center"/>
          </w:tcPr>
          <w:p w14:paraId="07045B09">
            <w:pPr>
              <w:jc w:val="center"/>
            </w:pPr>
            <w:r>
              <w:rPr>
                <w:rFonts w:ascii="宋体" w:hAnsi="宋体" w:eastAsia="宋体"/>
                <w:sz w:val="16"/>
              </w:rPr>
              <w:t>全年预算数</w:t>
            </w:r>
          </w:p>
        </w:tc>
        <w:tc>
          <w:tcPr>
            <w:tcW w:w="844" w:type="dxa"/>
            <w:tcBorders>
              <w:top w:val="single" w:color="auto" w:sz="10" w:space="0"/>
              <w:left w:val="single" w:color="auto" w:sz="10" w:space="0"/>
              <w:bottom w:val="single" w:color="auto" w:sz="10" w:space="0"/>
              <w:right w:val="single" w:color="auto" w:sz="10" w:space="0"/>
              <w:insideV w:val="single" w:sz="10" w:space="0"/>
            </w:tcBorders>
            <w:vAlign w:val="center"/>
          </w:tcPr>
          <w:p w14:paraId="6371B1EF">
            <w:pPr>
              <w:jc w:val="center"/>
            </w:pPr>
            <w:r>
              <w:rPr>
                <w:rFonts w:ascii="宋体" w:hAnsi="宋体" w:eastAsia="宋体"/>
                <w:sz w:val="16"/>
              </w:rPr>
              <w:t>全年执行数</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77F7AE6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5400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7BEB9">
            <w:pPr>
              <w:jc w:val="center"/>
            </w:pPr>
            <w:r>
              <w:rPr>
                <w:rFonts w:ascii="宋体" w:hAnsi="宋体" w:eastAsia="宋体"/>
                <w:sz w:val="16"/>
              </w:rPr>
              <w:t>得分</w:t>
            </w:r>
          </w:p>
        </w:tc>
      </w:tr>
      <w:tr w14:paraId="160C86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EBF9D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ED011">
            <w:pPr>
              <w:jc w:val="center"/>
            </w:pPr>
            <w:r>
              <w:rPr>
                <w:rFonts w:ascii="宋体" w:hAnsi="宋体" w:eastAsia="宋体"/>
                <w:sz w:val="16"/>
              </w:rPr>
              <w:t>年度资金总额</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BFFF7">
            <w:pPr>
              <w:jc w:val="center"/>
            </w:pPr>
            <w:r>
              <w:rPr>
                <w:rFonts w:ascii="宋体" w:hAnsi="宋体" w:eastAsia="宋体"/>
                <w:sz w:val="16"/>
              </w:rPr>
              <w:t>9.60</w:t>
            </w:r>
          </w:p>
        </w:tc>
        <w:tc>
          <w:tcPr>
            <w:tcW w:w="1079" w:type="dxa"/>
            <w:tcBorders>
              <w:top w:val="single" w:color="auto" w:sz="10" w:space="0"/>
              <w:left w:val="single" w:color="auto" w:sz="10" w:space="0"/>
              <w:bottom w:val="single" w:color="auto" w:sz="10" w:space="0"/>
              <w:right w:val="single" w:color="auto" w:sz="10" w:space="0"/>
              <w:insideV w:val="single" w:sz="10" w:space="0"/>
            </w:tcBorders>
            <w:vAlign w:val="center"/>
          </w:tcPr>
          <w:p w14:paraId="4E022BC6">
            <w:pPr>
              <w:jc w:val="center"/>
            </w:pPr>
            <w:r>
              <w:rPr>
                <w:rFonts w:ascii="宋体" w:hAnsi="宋体" w:eastAsia="宋体"/>
                <w:sz w:val="16"/>
              </w:rPr>
              <w:t>9.60</w:t>
            </w:r>
          </w:p>
        </w:tc>
        <w:tc>
          <w:tcPr>
            <w:tcW w:w="844" w:type="dxa"/>
            <w:tcBorders>
              <w:top w:val="single" w:color="auto" w:sz="10" w:space="0"/>
              <w:left w:val="single" w:color="auto" w:sz="10" w:space="0"/>
              <w:bottom w:val="single" w:color="auto" w:sz="10" w:space="0"/>
              <w:right w:val="single" w:color="auto" w:sz="10" w:space="0"/>
              <w:insideV w:val="single" w:sz="10" w:space="0"/>
            </w:tcBorders>
            <w:vAlign w:val="center"/>
          </w:tcPr>
          <w:p w14:paraId="37E01019">
            <w:pPr>
              <w:jc w:val="center"/>
            </w:pPr>
            <w:r>
              <w:rPr>
                <w:rFonts w:ascii="宋体" w:hAnsi="宋体" w:eastAsia="宋体"/>
                <w:sz w:val="16"/>
              </w:rPr>
              <w:t>7.20</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663781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63827">
            <w:pPr>
              <w:jc w:val="center"/>
            </w:pPr>
            <w:r>
              <w:rPr>
                <w:rFonts w:ascii="宋体" w:hAnsi="宋体" w:eastAsia="宋体"/>
                <w:sz w:val="16"/>
              </w:rPr>
              <w:t xml:space="preserve">75.00%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D5E36">
            <w:pPr>
              <w:jc w:val="center"/>
            </w:pPr>
            <w:r>
              <w:rPr>
                <w:rFonts w:ascii="宋体" w:hAnsi="宋体" w:eastAsia="宋体"/>
                <w:sz w:val="16"/>
              </w:rPr>
              <w:t>3.75分</w:t>
            </w:r>
          </w:p>
        </w:tc>
      </w:tr>
      <w:tr w14:paraId="16C42E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28675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F6B90">
            <w:pPr>
              <w:jc w:val="center"/>
            </w:pPr>
            <w:r>
              <w:rPr>
                <w:rFonts w:ascii="宋体" w:hAnsi="宋体" w:eastAsia="宋体"/>
                <w:sz w:val="16"/>
              </w:rPr>
              <w:t>其中：当年财政拨款</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CFADC">
            <w:pPr>
              <w:jc w:val="center"/>
            </w:pPr>
            <w:r>
              <w:rPr>
                <w:rFonts w:ascii="宋体" w:hAnsi="宋体" w:eastAsia="宋体"/>
                <w:sz w:val="16"/>
              </w:rPr>
              <w:t>9.60</w:t>
            </w:r>
          </w:p>
        </w:tc>
        <w:tc>
          <w:tcPr>
            <w:tcW w:w="1079" w:type="dxa"/>
            <w:tcBorders>
              <w:top w:val="single" w:color="auto" w:sz="10" w:space="0"/>
              <w:left w:val="single" w:color="auto" w:sz="10" w:space="0"/>
              <w:bottom w:val="single" w:color="auto" w:sz="10" w:space="0"/>
              <w:right w:val="single" w:color="auto" w:sz="10" w:space="0"/>
              <w:insideV w:val="single" w:sz="10" w:space="0"/>
            </w:tcBorders>
            <w:vAlign w:val="center"/>
          </w:tcPr>
          <w:p w14:paraId="389487A3">
            <w:pPr>
              <w:jc w:val="center"/>
            </w:pPr>
            <w:r>
              <w:rPr>
                <w:rFonts w:ascii="宋体" w:hAnsi="宋体" w:eastAsia="宋体"/>
                <w:sz w:val="16"/>
              </w:rPr>
              <w:t>9.60</w:t>
            </w:r>
          </w:p>
        </w:tc>
        <w:tc>
          <w:tcPr>
            <w:tcW w:w="844" w:type="dxa"/>
            <w:tcBorders>
              <w:top w:val="single" w:color="auto" w:sz="10" w:space="0"/>
              <w:left w:val="single" w:color="auto" w:sz="10" w:space="0"/>
              <w:bottom w:val="single" w:color="auto" w:sz="10" w:space="0"/>
              <w:right w:val="single" w:color="auto" w:sz="10" w:space="0"/>
              <w:insideV w:val="single" w:sz="10" w:space="0"/>
            </w:tcBorders>
            <w:vAlign w:val="center"/>
          </w:tcPr>
          <w:p w14:paraId="07E7019E">
            <w:pPr>
              <w:jc w:val="center"/>
            </w:pPr>
            <w:r>
              <w:rPr>
                <w:rFonts w:ascii="宋体" w:hAnsi="宋体" w:eastAsia="宋体"/>
                <w:sz w:val="16"/>
              </w:rPr>
              <w:t>7.20</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221FCB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3F04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E4B3C">
            <w:pPr>
              <w:jc w:val="center"/>
            </w:pPr>
            <w:r>
              <w:rPr>
                <w:rFonts w:ascii="宋体" w:hAnsi="宋体" w:eastAsia="宋体"/>
                <w:sz w:val="16"/>
              </w:rPr>
              <w:t>—</w:t>
            </w:r>
          </w:p>
        </w:tc>
      </w:tr>
      <w:tr w14:paraId="240078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AB3DB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0A238">
            <w:pPr>
              <w:jc w:val="center"/>
            </w:pPr>
            <w:r>
              <w:rPr>
                <w:rFonts w:ascii="宋体" w:hAnsi="宋体" w:eastAsia="宋体"/>
                <w:sz w:val="16"/>
              </w:rPr>
              <w:t xml:space="preserve">      上年结转资金</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8F2A3">
            <w:pPr>
              <w:jc w:val="center"/>
            </w:pPr>
            <w:r>
              <w:rPr>
                <w:rFonts w:ascii="宋体" w:hAnsi="宋体" w:eastAsia="宋体"/>
                <w:sz w:val="16"/>
              </w:rPr>
              <w:t>0.00</w:t>
            </w:r>
          </w:p>
        </w:tc>
        <w:tc>
          <w:tcPr>
            <w:tcW w:w="1079" w:type="dxa"/>
            <w:tcBorders>
              <w:top w:val="single" w:color="auto" w:sz="10" w:space="0"/>
              <w:left w:val="single" w:color="auto" w:sz="10" w:space="0"/>
              <w:bottom w:val="single" w:color="auto" w:sz="10" w:space="0"/>
              <w:right w:val="single" w:color="auto" w:sz="10" w:space="0"/>
              <w:insideV w:val="single" w:sz="10" w:space="0"/>
            </w:tcBorders>
            <w:vAlign w:val="center"/>
          </w:tcPr>
          <w:p w14:paraId="42283AC7">
            <w:pPr>
              <w:jc w:val="center"/>
            </w:pPr>
            <w:r>
              <w:rPr>
                <w:rFonts w:ascii="宋体" w:hAnsi="宋体" w:eastAsia="宋体"/>
                <w:sz w:val="16"/>
              </w:rPr>
              <w:t>0.00</w:t>
            </w:r>
          </w:p>
        </w:tc>
        <w:tc>
          <w:tcPr>
            <w:tcW w:w="844" w:type="dxa"/>
            <w:tcBorders>
              <w:top w:val="single" w:color="auto" w:sz="10" w:space="0"/>
              <w:left w:val="single" w:color="auto" w:sz="10" w:space="0"/>
              <w:bottom w:val="single" w:color="auto" w:sz="10" w:space="0"/>
              <w:right w:val="single" w:color="auto" w:sz="10" w:space="0"/>
              <w:insideV w:val="single" w:sz="10" w:space="0"/>
            </w:tcBorders>
            <w:vAlign w:val="center"/>
          </w:tcPr>
          <w:p w14:paraId="3CDD6412">
            <w:pPr>
              <w:jc w:val="center"/>
            </w:pPr>
            <w:r>
              <w:rPr>
                <w:rFonts w:ascii="宋体" w:hAnsi="宋体" w:eastAsia="宋体"/>
                <w:sz w:val="16"/>
              </w:rPr>
              <w:t>0.00</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5EF820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F36C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EDA0E">
            <w:pPr>
              <w:jc w:val="center"/>
            </w:pPr>
            <w:r>
              <w:rPr>
                <w:rFonts w:ascii="宋体" w:hAnsi="宋体" w:eastAsia="宋体"/>
                <w:sz w:val="16"/>
              </w:rPr>
              <w:t>—</w:t>
            </w:r>
          </w:p>
        </w:tc>
      </w:tr>
      <w:tr w14:paraId="24154F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DFCD5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D88F8">
            <w:pPr>
              <w:jc w:val="center"/>
            </w:pPr>
            <w:r>
              <w:rPr>
                <w:rFonts w:ascii="宋体" w:hAnsi="宋体" w:eastAsia="宋体"/>
                <w:sz w:val="16"/>
              </w:rPr>
              <w:t xml:space="preserve">  其他资金</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68451">
            <w:pPr>
              <w:jc w:val="center"/>
            </w:pPr>
            <w:r>
              <w:rPr>
                <w:rFonts w:ascii="宋体" w:hAnsi="宋体" w:eastAsia="宋体"/>
                <w:sz w:val="16"/>
              </w:rPr>
              <w:t>0.00</w:t>
            </w:r>
          </w:p>
        </w:tc>
        <w:tc>
          <w:tcPr>
            <w:tcW w:w="1079" w:type="dxa"/>
            <w:tcBorders>
              <w:top w:val="single" w:color="auto" w:sz="10" w:space="0"/>
              <w:left w:val="single" w:color="auto" w:sz="10" w:space="0"/>
              <w:bottom w:val="single" w:color="auto" w:sz="10" w:space="0"/>
              <w:right w:val="single" w:color="auto" w:sz="10" w:space="0"/>
              <w:insideV w:val="single" w:sz="10" w:space="0"/>
            </w:tcBorders>
            <w:vAlign w:val="center"/>
          </w:tcPr>
          <w:p w14:paraId="3334F17D">
            <w:pPr>
              <w:jc w:val="center"/>
            </w:pPr>
            <w:r>
              <w:rPr>
                <w:rFonts w:ascii="宋体" w:hAnsi="宋体" w:eastAsia="宋体"/>
                <w:sz w:val="16"/>
              </w:rPr>
              <w:t>0.00</w:t>
            </w:r>
          </w:p>
        </w:tc>
        <w:tc>
          <w:tcPr>
            <w:tcW w:w="844" w:type="dxa"/>
            <w:tcBorders>
              <w:top w:val="single" w:color="auto" w:sz="10" w:space="0"/>
              <w:left w:val="single" w:color="auto" w:sz="10" w:space="0"/>
              <w:bottom w:val="single" w:color="auto" w:sz="10" w:space="0"/>
              <w:right w:val="single" w:color="auto" w:sz="10" w:space="0"/>
              <w:insideV w:val="single" w:sz="10" w:space="0"/>
            </w:tcBorders>
            <w:vAlign w:val="center"/>
          </w:tcPr>
          <w:p w14:paraId="11E9AC46">
            <w:pPr>
              <w:jc w:val="center"/>
            </w:pPr>
            <w:r>
              <w:rPr>
                <w:rFonts w:ascii="宋体" w:hAnsi="宋体" w:eastAsia="宋体"/>
                <w:sz w:val="16"/>
              </w:rPr>
              <w:t>0.00</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09D3B85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4F3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0AC7E">
            <w:pPr>
              <w:jc w:val="center"/>
            </w:pPr>
            <w:r>
              <w:rPr>
                <w:rFonts w:ascii="宋体" w:hAnsi="宋体" w:eastAsia="宋体"/>
                <w:sz w:val="16"/>
              </w:rPr>
              <w:t>—</w:t>
            </w:r>
          </w:p>
        </w:tc>
      </w:tr>
      <w:tr w14:paraId="0E4861E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3F02A0">
            <w:pPr>
              <w:jc w:val="center"/>
            </w:pPr>
            <w:r>
              <w:rPr>
                <w:rFonts w:ascii="宋体" w:hAnsi="宋体" w:eastAsia="宋体"/>
                <w:sz w:val="16"/>
              </w:rPr>
              <w:t>年度总体目标</w:t>
            </w:r>
          </w:p>
        </w:tc>
        <w:tc>
          <w:tcPr>
            <w:tcW w:w="321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2645B7">
            <w:pPr>
              <w:jc w:val="center"/>
            </w:pPr>
            <w:r>
              <w:rPr>
                <w:rFonts w:ascii="宋体" w:hAnsi="宋体" w:eastAsia="宋体"/>
                <w:sz w:val="16"/>
              </w:rPr>
              <w:t>预期目标</w:t>
            </w:r>
          </w:p>
        </w:tc>
        <w:tc>
          <w:tcPr>
            <w:tcW w:w="464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C80753">
            <w:pPr>
              <w:jc w:val="center"/>
            </w:pPr>
            <w:r>
              <w:rPr>
                <w:rFonts w:ascii="宋体" w:hAnsi="宋体" w:eastAsia="宋体"/>
                <w:sz w:val="16"/>
              </w:rPr>
              <w:t>实际完成情况</w:t>
            </w:r>
          </w:p>
        </w:tc>
      </w:tr>
      <w:tr w14:paraId="6EC0A078">
        <w:tblPrEx>
          <w:tblCellMar>
            <w:top w:w="0" w:type="dxa"/>
            <w:left w:w="108" w:type="dxa"/>
            <w:bottom w:w="0" w:type="dxa"/>
            <w:right w:w="108" w:type="dxa"/>
          </w:tblCellMar>
        </w:tblPrEx>
        <w:trPr>
          <w:trHeight w:val="118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24A83B"/>
        </w:tc>
        <w:tc>
          <w:tcPr>
            <w:tcW w:w="321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55A2FF">
            <w:pPr>
              <w:jc w:val="both"/>
              <w:rPr>
                <w:rFonts w:hint="eastAsia" w:eastAsia="宋体"/>
                <w:lang w:eastAsia="zh-CN"/>
              </w:rPr>
            </w:pPr>
            <w:r>
              <w:rPr>
                <w:rFonts w:ascii="宋体" w:hAnsi="宋体" w:eastAsia="宋体"/>
                <w:sz w:val="16"/>
              </w:rPr>
              <w:t>本项目主要实施内容为：项目总投资为7.2万元，通过本项目的实施，可有效改善国有企业办职教幼教生活</w:t>
            </w:r>
            <w:r>
              <w:rPr>
                <w:rFonts w:hint="eastAsia" w:ascii="宋体" w:hAnsi="宋体"/>
                <w:sz w:val="16"/>
                <w:lang w:eastAsia="zh-CN"/>
              </w:rPr>
              <w:t>。</w:t>
            </w:r>
          </w:p>
        </w:tc>
        <w:tc>
          <w:tcPr>
            <w:tcW w:w="464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0FA9A0">
            <w:pPr>
              <w:jc w:val="both"/>
            </w:pPr>
            <w:r>
              <w:rPr>
                <w:rFonts w:hint="eastAsia" w:ascii="宋体" w:hAnsi="宋体"/>
                <w:sz w:val="16"/>
                <w:lang w:eastAsia="zh-CN"/>
              </w:rPr>
              <w:t>截至</w:t>
            </w:r>
            <w:r>
              <w:rPr>
                <w:rFonts w:ascii="宋体" w:hAnsi="宋体" w:eastAsia="宋体"/>
                <w:sz w:val="16"/>
              </w:rPr>
              <w:t>2024年12月31日，本项目实际形成支出7.2万元，完成为3名退休职教幼教教师发放1次补助任务，达到了有效改善国有企业办职教幼教生活的效益，服务对象满意度达到100%。</w:t>
            </w:r>
          </w:p>
        </w:tc>
      </w:tr>
      <w:tr w14:paraId="5FC7D81A">
        <w:tblPrEx>
          <w:tblCellMar>
            <w:top w:w="0" w:type="dxa"/>
            <w:left w:w="108" w:type="dxa"/>
            <w:bottom w:w="0" w:type="dxa"/>
            <w:right w:w="108" w:type="dxa"/>
          </w:tblCellMar>
        </w:tblPrEx>
        <w:trPr>
          <w:trHeight w:val="755" w:hRule="atLeast"/>
        </w:trPr>
        <w:tc>
          <w:tcPr>
            <w:tcW w:w="983" w:type="dxa"/>
            <w:tcBorders>
              <w:top w:val="single" w:color="auto" w:sz="10" w:space="0"/>
              <w:left w:val="single" w:color="auto" w:sz="10" w:space="0"/>
              <w:bottom w:val="single" w:color="auto" w:sz="10" w:space="0"/>
              <w:right w:val="single" w:color="auto" w:sz="10" w:space="0"/>
              <w:insideV w:val="single" w:sz="10" w:space="0"/>
            </w:tcBorders>
          </w:tcPr>
          <w:p w14:paraId="082F55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BE3C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4EC88">
            <w:pPr>
              <w:jc w:val="center"/>
            </w:pPr>
            <w:r>
              <w:rPr>
                <w:rFonts w:ascii="宋体" w:hAnsi="宋体" w:eastAsia="宋体"/>
                <w:sz w:val="16"/>
              </w:rPr>
              <w:t>二级指标</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CD28F">
            <w:pPr>
              <w:jc w:val="center"/>
            </w:pPr>
            <w:r>
              <w:rPr>
                <w:rFonts w:ascii="宋体" w:hAnsi="宋体" w:eastAsia="宋体"/>
                <w:sz w:val="16"/>
              </w:rPr>
              <w:t>三级指标</w:t>
            </w:r>
          </w:p>
        </w:tc>
        <w:tc>
          <w:tcPr>
            <w:tcW w:w="1079" w:type="dxa"/>
            <w:tcBorders>
              <w:top w:val="single" w:color="auto" w:sz="10" w:space="0"/>
              <w:left w:val="single" w:color="auto" w:sz="10" w:space="0"/>
              <w:bottom w:val="single" w:color="auto" w:sz="10" w:space="0"/>
              <w:right w:val="single" w:color="auto" w:sz="10" w:space="0"/>
              <w:insideV w:val="single" w:sz="10" w:space="0"/>
            </w:tcBorders>
            <w:vAlign w:val="center"/>
          </w:tcPr>
          <w:p w14:paraId="116B7FFB">
            <w:pPr>
              <w:jc w:val="center"/>
            </w:pPr>
            <w:r>
              <w:rPr>
                <w:rFonts w:ascii="宋体" w:hAnsi="宋体" w:eastAsia="宋体"/>
                <w:sz w:val="16"/>
              </w:rPr>
              <w:t>年度指标值</w:t>
            </w:r>
          </w:p>
        </w:tc>
        <w:tc>
          <w:tcPr>
            <w:tcW w:w="844" w:type="dxa"/>
            <w:tcBorders>
              <w:top w:val="single" w:color="auto" w:sz="10" w:space="0"/>
              <w:left w:val="single" w:color="auto" w:sz="10" w:space="0"/>
              <w:bottom w:val="single" w:color="auto" w:sz="10" w:space="0"/>
              <w:right w:val="single" w:color="auto" w:sz="10" w:space="0"/>
              <w:insideV w:val="single" w:sz="10" w:space="0"/>
            </w:tcBorders>
            <w:vAlign w:val="center"/>
          </w:tcPr>
          <w:p w14:paraId="4D346247">
            <w:pPr>
              <w:jc w:val="center"/>
            </w:pPr>
            <w:r>
              <w:rPr>
                <w:rFonts w:ascii="宋体" w:hAnsi="宋体" w:eastAsia="宋体"/>
                <w:sz w:val="16"/>
              </w:rPr>
              <w:t>实际完成值</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1B71268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B9BC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24CC8">
            <w:pPr>
              <w:jc w:val="center"/>
            </w:pPr>
            <w:r>
              <w:rPr>
                <w:rFonts w:ascii="宋体" w:hAnsi="宋体" w:eastAsia="宋体"/>
                <w:sz w:val="16"/>
              </w:rPr>
              <w:t>偏差原因分析及改进措施</w:t>
            </w:r>
          </w:p>
        </w:tc>
      </w:tr>
      <w:tr w14:paraId="476BBFC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38300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E0CC5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1C154E">
            <w:pPr>
              <w:jc w:val="center"/>
            </w:pPr>
            <w:r>
              <w:rPr>
                <w:rFonts w:ascii="宋体" w:hAnsi="宋体" w:eastAsia="宋体"/>
                <w:sz w:val="16"/>
              </w:rPr>
              <w:t>数量指标</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71E30">
            <w:pPr>
              <w:jc w:val="center"/>
            </w:pPr>
            <w:r>
              <w:rPr>
                <w:rFonts w:ascii="宋体" w:hAnsi="宋体" w:eastAsia="宋体"/>
                <w:sz w:val="16"/>
              </w:rPr>
              <w:t>国有企业办职教幼教退休教师人数</w:t>
            </w:r>
          </w:p>
        </w:tc>
        <w:tc>
          <w:tcPr>
            <w:tcW w:w="1079" w:type="dxa"/>
            <w:tcBorders>
              <w:top w:val="single" w:color="auto" w:sz="10" w:space="0"/>
              <w:left w:val="single" w:color="auto" w:sz="10" w:space="0"/>
              <w:bottom w:val="single" w:color="auto" w:sz="10" w:space="0"/>
              <w:right w:val="single" w:color="auto" w:sz="10" w:space="0"/>
              <w:insideV w:val="single" w:sz="10" w:space="0"/>
            </w:tcBorders>
            <w:vAlign w:val="center"/>
          </w:tcPr>
          <w:p w14:paraId="5147A44B">
            <w:pPr>
              <w:jc w:val="center"/>
            </w:pPr>
            <w:r>
              <w:rPr>
                <w:rFonts w:hint="eastAsia" w:ascii="宋体" w:hAnsi="宋体"/>
                <w:sz w:val="16"/>
                <w:lang w:eastAsia="zh-CN"/>
              </w:rPr>
              <w:t>≥</w:t>
            </w:r>
            <w:r>
              <w:rPr>
                <w:rFonts w:ascii="宋体" w:hAnsi="宋体" w:eastAsia="宋体"/>
                <w:sz w:val="16"/>
              </w:rPr>
              <w:t>3人</w:t>
            </w:r>
          </w:p>
        </w:tc>
        <w:tc>
          <w:tcPr>
            <w:tcW w:w="844" w:type="dxa"/>
            <w:tcBorders>
              <w:top w:val="single" w:color="auto" w:sz="10" w:space="0"/>
              <w:left w:val="single" w:color="auto" w:sz="10" w:space="0"/>
              <w:bottom w:val="single" w:color="auto" w:sz="10" w:space="0"/>
              <w:right w:val="single" w:color="auto" w:sz="10" w:space="0"/>
              <w:insideV w:val="single" w:sz="10" w:space="0"/>
            </w:tcBorders>
            <w:vAlign w:val="center"/>
          </w:tcPr>
          <w:p w14:paraId="3C6B3643">
            <w:pPr>
              <w:jc w:val="center"/>
            </w:pPr>
            <w:r>
              <w:rPr>
                <w:rFonts w:ascii="宋体" w:hAnsi="宋体" w:eastAsia="宋体"/>
                <w:sz w:val="16"/>
              </w:rPr>
              <w:t>=3人</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25A94F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1A0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0552A">
            <w:pPr>
              <w:jc w:val="center"/>
            </w:pPr>
          </w:p>
        </w:tc>
      </w:tr>
      <w:tr w14:paraId="7F052F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9822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D285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50D6E9"/>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AA172">
            <w:pPr>
              <w:jc w:val="center"/>
            </w:pPr>
            <w:r>
              <w:rPr>
                <w:rFonts w:ascii="宋体" w:hAnsi="宋体" w:eastAsia="宋体"/>
                <w:sz w:val="16"/>
              </w:rPr>
              <w:t>补助发放次数</w:t>
            </w:r>
          </w:p>
        </w:tc>
        <w:tc>
          <w:tcPr>
            <w:tcW w:w="1079" w:type="dxa"/>
            <w:tcBorders>
              <w:top w:val="single" w:color="auto" w:sz="10" w:space="0"/>
              <w:left w:val="single" w:color="auto" w:sz="10" w:space="0"/>
              <w:bottom w:val="single" w:color="auto" w:sz="10" w:space="0"/>
              <w:right w:val="single" w:color="auto" w:sz="10" w:space="0"/>
              <w:insideV w:val="single" w:sz="10" w:space="0"/>
            </w:tcBorders>
            <w:vAlign w:val="center"/>
          </w:tcPr>
          <w:p w14:paraId="7D210A49">
            <w:pPr>
              <w:jc w:val="center"/>
            </w:pPr>
            <w:r>
              <w:rPr>
                <w:rFonts w:ascii="宋体" w:hAnsi="宋体" w:eastAsia="宋体"/>
                <w:sz w:val="16"/>
              </w:rPr>
              <w:t>=1次</w:t>
            </w:r>
          </w:p>
        </w:tc>
        <w:tc>
          <w:tcPr>
            <w:tcW w:w="844" w:type="dxa"/>
            <w:tcBorders>
              <w:top w:val="single" w:color="auto" w:sz="10" w:space="0"/>
              <w:left w:val="single" w:color="auto" w:sz="10" w:space="0"/>
              <w:bottom w:val="single" w:color="auto" w:sz="10" w:space="0"/>
              <w:right w:val="single" w:color="auto" w:sz="10" w:space="0"/>
              <w:insideV w:val="single" w:sz="10" w:space="0"/>
            </w:tcBorders>
            <w:vAlign w:val="center"/>
          </w:tcPr>
          <w:p w14:paraId="26377162">
            <w:pPr>
              <w:jc w:val="center"/>
            </w:pPr>
            <w:r>
              <w:rPr>
                <w:rFonts w:ascii="宋体" w:hAnsi="宋体" w:eastAsia="宋体"/>
                <w:sz w:val="16"/>
              </w:rPr>
              <w:t>=1次</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264566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78A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0BE96">
            <w:pPr>
              <w:jc w:val="center"/>
            </w:pPr>
          </w:p>
        </w:tc>
      </w:tr>
      <w:tr w14:paraId="7A5D15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82DE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6791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D1ABE">
            <w:pPr>
              <w:jc w:val="center"/>
            </w:pPr>
            <w:r>
              <w:rPr>
                <w:rFonts w:ascii="宋体" w:hAnsi="宋体" w:eastAsia="宋体"/>
                <w:sz w:val="16"/>
              </w:rPr>
              <w:t>质量指标</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9120E">
            <w:pPr>
              <w:jc w:val="center"/>
            </w:pPr>
            <w:r>
              <w:rPr>
                <w:rFonts w:ascii="宋体" w:hAnsi="宋体" w:eastAsia="宋体"/>
                <w:sz w:val="16"/>
              </w:rPr>
              <w:t>资金使用合格率</w:t>
            </w:r>
          </w:p>
        </w:tc>
        <w:tc>
          <w:tcPr>
            <w:tcW w:w="1079" w:type="dxa"/>
            <w:tcBorders>
              <w:top w:val="single" w:color="auto" w:sz="10" w:space="0"/>
              <w:left w:val="single" w:color="auto" w:sz="10" w:space="0"/>
              <w:bottom w:val="single" w:color="auto" w:sz="10" w:space="0"/>
              <w:right w:val="single" w:color="auto" w:sz="10" w:space="0"/>
              <w:insideV w:val="single" w:sz="10" w:space="0"/>
            </w:tcBorders>
            <w:vAlign w:val="center"/>
          </w:tcPr>
          <w:p w14:paraId="11B78F57">
            <w:pPr>
              <w:jc w:val="center"/>
            </w:pPr>
            <w:r>
              <w:rPr>
                <w:rFonts w:ascii="宋体" w:hAnsi="宋体" w:eastAsia="宋体"/>
                <w:sz w:val="16"/>
              </w:rPr>
              <w:t>=100%</w:t>
            </w:r>
          </w:p>
        </w:tc>
        <w:tc>
          <w:tcPr>
            <w:tcW w:w="844" w:type="dxa"/>
            <w:tcBorders>
              <w:top w:val="single" w:color="auto" w:sz="10" w:space="0"/>
              <w:left w:val="single" w:color="auto" w:sz="10" w:space="0"/>
              <w:bottom w:val="single" w:color="auto" w:sz="10" w:space="0"/>
              <w:right w:val="single" w:color="auto" w:sz="10" w:space="0"/>
              <w:insideV w:val="single" w:sz="10" w:space="0"/>
            </w:tcBorders>
            <w:vAlign w:val="center"/>
          </w:tcPr>
          <w:p w14:paraId="5EDF44AD">
            <w:pPr>
              <w:jc w:val="center"/>
            </w:pPr>
            <w:r>
              <w:rPr>
                <w:rFonts w:ascii="宋体" w:hAnsi="宋体" w:eastAsia="宋体"/>
                <w:sz w:val="16"/>
              </w:rPr>
              <w:t>=100%</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065A425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5E17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1FDD2">
            <w:pPr>
              <w:jc w:val="center"/>
            </w:pPr>
          </w:p>
        </w:tc>
      </w:tr>
      <w:tr w14:paraId="5F773F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8E57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1EED5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F5E4DD">
            <w:pPr>
              <w:jc w:val="center"/>
            </w:pPr>
            <w:r>
              <w:rPr>
                <w:rFonts w:ascii="宋体" w:hAnsi="宋体" w:eastAsia="宋体"/>
                <w:sz w:val="16"/>
              </w:rPr>
              <w:t>时效指标</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27EB2">
            <w:pPr>
              <w:jc w:val="center"/>
            </w:pPr>
            <w:r>
              <w:rPr>
                <w:rFonts w:ascii="宋体" w:hAnsi="宋体" w:eastAsia="宋体"/>
                <w:sz w:val="16"/>
              </w:rPr>
              <w:t>项目完成时间</w:t>
            </w:r>
          </w:p>
        </w:tc>
        <w:tc>
          <w:tcPr>
            <w:tcW w:w="1079" w:type="dxa"/>
            <w:tcBorders>
              <w:top w:val="single" w:color="auto" w:sz="10" w:space="0"/>
              <w:left w:val="single" w:color="auto" w:sz="10" w:space="0"/>
              <w:bottom w:val="single" w:color="auto" w:sz="10" w:space="0"/>
              <w:right w:val="single" w:color="auto" w:sz="10" w:space="0"/>
              <w:insideV w:val="single" w:sz="10" w:space="0"/>
            </w:tcBorders>
            <w:vAlign w:val="center"/>
          </w:tcPr>
          <w:p w14:paraId="128479D9">
            <w:pPr>
              <w:jc w:val="center"/>
            </w:pPr>
            <w:r>
              <w:rPr>
                <w:rFonts w:ascii="宋体" w:hAnsi="宋体" w:eastAsia="宋体"/>
                <w:sz w:val="16"/>
              </w:rPr>
              <w:t>2024年12月底前</w:t>
            </w:r>
          </w:p>
        </w:tc>
        <w:tc>
          <w:tcPr>
            <w:tcW w:w="844" w:type="dxa"/>
            <w:tcBorders>
              <w:top w:val="single" w:color="auto" w:sz="10" w:space="0"/>
              <w:left w:val="single" w:color="auto" w:sz="10" w:space="0"/>
              <w:bottom w:val="single" w:color="auto" w:sz="10" w:space="0"/>
              <w:right w:val="single" w:color="auto" w:sz="10" w:space="0"/>
              <w:insideV w:val="single" w:sz="10" w:space="0"/>
            </w:tcBorders>
            <w:vAlign w:val="center"/>
          </w:tcPr>
          <w:p w14:paraId="0EAB79F0">
            <w:pPr>
              <w:jc w:val="center"/>
            </w:pPr>
            <w:r>
              <w:rPr>
                <w:rFonts w:ascii="宋体" w:hAnsi="宋体" w:eastAsia="宋体"/>
                <w:sz w:val="16"/>
              </w:rPr>
              <w:t>=2024年12月31日</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1CB7FBE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F273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3F517">
            <w:pPr>
              <w:jc w:val="center"/>
            </w:pPr>
          </w:p>
        </w:tc>
      </w:tr>
      <w:tr w14:paraId="570659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57B1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52A3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0EA75B"/>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C440A">
            <w:pPr>
              <w:jc w:val="center"/>
            </w:pPr>
            <w:r>
              <w:rPr>
                <w:rFonts w:ascii="宋体" w:hAnsi="宋体" w:eastAsia="宋体"/>
                <w:sz w:val="16"/>
              </w:rPr>
              <w:t>资金支付及时率</w:t>
            </w:r>
          </w:p>
        </w:tc>
        <w:tc>
          <w:tcPr>
            <w:tcW w:w="1079" w:type="dxa"/>
            <w:tcBorders>
              <w:top w:val="single" w:color="auto" w:sz="10" w:space="0"/>
              <w:left w:val="single" w:color="auto" w:sz="10" w:space="0"/>
              <w:bottom w:val="single" w:color="auto" w:sz="10" w:space="0"/>
              <w:right w:val="single" w:color="auto" w:sz="10" w:space="0"/>
              <w:insideV w:val="single" w:sz="10" w:space="0"/>
            </w:tcBorders>
            <w:vAlign w:val="center"/>
          </w:tcPr>
          <w:p w14:paraId="77127192">
            <w:pPr>
              <w:jc w:val="center"/>
            </w:pPr>
            <w:r>
              <w:rPr>
                <w:rFonts w:ascii="宋体" w:hAnsi="宋体" w:eastAsia="宋体"/>
                <w:sz w:val="16"/>
              </w:rPr>
              <w:t>=100%</w:t>
            </w:r>
          </w:p>
        </w:tc>
        <w:tc>
          <w:tcPr>
            <w:tcW w:w="844" w:type="dxa"/>
            <w:tcBorders>
              <w:top w:val="single" w:color="auto" w:sz="10" w:space="0"/>
              <w:left w:val="single" w:color="auto" w:sz="10" w:space="0"/>
              <w:bottom w:val="single" w:color="auto" w:sz="10" w:space="0"/>
              <w:right w:val="single" w:color="auto" w:sz="10" w:space="0"/>
              <w:insideV w:val="single" w:sz="10" w:space="0"/>
            </w:tcBorders>
            <w:vAlign w:val="center"/>
          </w:tcPr>
          <w:p w14:paraId="2914ED96">
            <w:pPr>
              <w:jc w:val="center"/>
            </w:pPr>
            <w:r>
              <w:rPr>
                <w:rFonts w:ascii="宋体" w:hAnsi="宋体" w:eastAsia="宋体"/>
                <w:sz w:val="16"/>
              </w:rPr>
              <w:t>=100%</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50AAF79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78D4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E9EA5">
            <w:pPr>
              <w:jc w:val="center"/>
            </w:pPr>
          </w:p>
        </w:tc>
      </w:tr>
      <w:tr w14:paraId="5512FE11">
        <w:tblPrEx>
          <w:tblCellMar>
            <w:top w:w="0" w:type="dxa"/>
            <w:left w:w="108" w:type="dxa"/>
            <w:bottom w:w="0" w:type="dxa"/>
            <w:right w:w="108" w:type="dxa"/>
          </w:tblCellMar>
        </w:tblPrEx>
        <w:trPr>
          <w:trHeight w:val="466"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27FA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B9DF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CAB0A">
            <w:pPr>
              <w:jc w:val="center"/>
            </w:pPr>
            <w:r>
              <w:rPr>
                <w:rFonts w:ascii="宋体" w:hAnsi="宋体" w:eastAsia="宋体"/>
                <w:sz w:val="16"/>
              </w:rPr>
              <w:t>经济成本指标</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0E343">
            <w:pPr>
              <w:jc w:val="center"/>
            </w:pPr>
            <w:r>
              <w:rPr>
                <w:rFonts w:ascii="宋体" w:hAnsi="宋体" w:eastAsia="宋体"/>
                <w:sz w:val="16"/>
              </w:rPr>
              <w:t>保障经费</w:t>
            </w:r>
          </w:p>
        </w:tc>
        <w:tc>
          <w:tcPr>
            <w:tcW w:w="1079" w:type="dxa"/>
            <w:tcBorders>
              <w:top w:val="single" w:color="auto" w:sz="10" w:space="0"/>
              <w:left w:val="single" w:color="auto" w:sz="10" w:space="0"/>
              <w:bottom w:val="single" w:color="auto" w:sz="10" w:space="0"/>
              <w:right w:val="single" w:color="auto" w:sz="10" w:space="0"/>
              <w:insideV w:val="single" w:sz="10" w:space="0"/>
            </w:tcBorders>
            <w:vAlign w:val="center"/>
          </w:tcPr>
          <w:p w14:paraId="74ED56B0">
            <w:pPr>
              <w:jc w:val="center"/>
            </w:pPr>
            <w:r>
              <w:rPr>
                <w:rFonts w:hint="eastAsia" w:ascii="宋体" w:hAnsi="宋体" w:cs="宋体"/>
                <w:sz w:val="16"/>
                <w:lang w:eastAsia="zh-CN"/>
              </w:rPr>
              <w:t>≤</w:t>
            </w:r>
            <w:r>
              <w:rPr>
                <w:rFonts w:ascii="宋体" w:hAnsi="宋体" w:eastAsia="宋体"/>
                <w:sz w:val="16"/>
              </w:rPr>
              <w:t>7.20万元</w:t>
            </w:r>
          </w:p>
        </w:tc>
        <w:tc>
          <w:tcPr>
            <w:tcW w:w="844" w:type="dxa"/>
            <w:tcBorders>
              <w:top w:val="single" w:color="auto" w:sz="10" w:space="0"/>
              <w:left w:val="single" w:color="auto" w:sz="10" w:space="0"/>
              <w:bottom w:val="single" w:color="auto" w:sz="10" w:space="0"/>
              <w:right w:val="single" w:color="auto" w:sz="10" w:space="0"/>
              <w:insideV w:val="single" w:sz="10" w:space="0"/>
            </w:tcBorders>
            <w:vAlign w:val="center"/>
          </w:tcPr>
          <w:p w14:paraId="79BBD3B2">
            <w:pPr>
              <w:jc w:val="center"/>
            </w:pPr>
            <w:r>
              <w:rPr>
                <w:rFonts w:ascii="宋体" w:hAnsi="宋体" w:eastAsia="宋体"/>
                <w:sz w:val="16"/>
              </w:rPr>
              <w:t>=7.2万元</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5A4B3AA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2284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E7030">
            <w:pPr>
              <w:jc w:val="center"/>
            </w:pPr>
          </w:p>
        </w:tc>
      </w:tr>
      <w:tr w14:paraId="46F5FC19">
        <w:tblPrEx>
          <w:tblCellMar>
            <w:top w:w="0" w:type="dxa"/>
            <w:left w:w="108" w:type="dxa"/>
            <w:bottom w:w="0" w:type="dxa"/>
            <w:right w:w="108" w:type="dxa"/>
          </w:tblCellMar>
        </w:tblPrEx>
        <w:trPr>
          <w:trHeight w:val="901"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FF07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3554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464A4">
            <w:pPr>
              <w:jc w:val="center"/>
            </w:pPr>
            <w:r>
              <w:rPr>
                <w:rFonts w:ascii="宋体" w:hAnsi="宋体" w:eastAsia="宋体"/>
                <w:sz w:val="16"/>
              </w:rPr>
              <w:t>社会效益指标</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79933">
            <w:pPr>
              <w:jc w:val="center"/>
            </w:pPr>
            <w:r>
              <w:rPr>
                <w:rFonts w:ascii="宋体" w:hAnsi="宋体" w:eastAsia="宋体"/>
                <w:sz w:val="16"/>
              </w:rPr>
              <w:t>改善国有企业办职教幼教生活</w:t>
            </w:r>
          </w:p>
        </w:tc>
        <w:tc>
          <w:tcPr>
            <w:tcW w:w="1079" w:type="dxa"/>
            <w:tcBorders>
              <w:top w:val="single" w:color="auto" w:sz="10" w:space="0"/>
              <w:left w:val="single" w:color="auto" w:sz="10" w:space="0"/>
              <w:bottom w:val="single" w:color="auto" w:sz="10" w:space="0"/>
              <w:right w:val="single" w:color="auto" w:sz="10" w:space="0"/>
              <w:insideV w:val="single" w:sz="10" w:space="0"/>
            </w:tcBorders>
            <w:vAlign w:val="center"/>
          </w:tcPr>
          <w:p w14:paraId="318C226E">
            <w:pPr>
              <w:jc w:val="center"/>
            </w:pPr>
            <w:r>
              <w:rPr>
                <w:rFonts w:ascii="宋体" w:hAnsi="宋体" w:eastAsia="宋体"/>
                <w:sz w:val="16"/>
              </w:rPr>
              <w:t>有效改善</w:t>
            </w:r>
          </w:p>
        </w:tc>
        <w:tc>
          <w:tcPr>
            <w:tcW w:w="844" w:type="dxa"/>
            <w:tcBorders>
              <w:top w:val="single" w:color="auto" w:sz="10" w:space="0"/>
              <w:left w:val="single" w:color="auto" w:sz="10" w:space="0"/>
              <w:bottom w:val="single" w:color="auto" w:sz="10" w:space="0"/>
              <w:right w:val="single" w:color="auto" w:sz="10" w:space="0"/>
              <w:insideV w:val="single" w:sz="10" w:space="0"/>
            </w:tcBorders>
            <w:vAlign w:val="center"/>
          </w:tcPr>
          <w:p w14:paraId="53457C93">
            <w:pPr>
              <w:jc w:val="center"/>
            </w:pPr>
            <w:r>
              <w:rPr>
                <w:rFonts w:ascii="宋体" w:hAnsi="宋体" w:eastAsia="宋体"/>
                <w:sz w:val="16"/>
              </w:rPr>
              <w:t>基本达成目标</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2ADA503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7364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0665C">
            <w:pPr>
              <w:jc w:val="center"/>
            </w:pPr>
          </w:p>
        </w:tc>
      </w:tr>
      <w:tr w14:paraId="20EDC3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A995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8EA4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35C00">
            <w:pPr>
              <w:jc w:val="center"/>
            </w:pPr>
            <w:r>
              <w:rPr>
                <w:rFonts w:ascii="宋体" w:hAnsi="宋体" w:eastAsia="宋体"/>
                <w:sz w:val="16"/>
              </w:rPr>
              <w:t>满意度指标</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519C3">
            <w:pPr>
              <w:jc w:val="center"/>
            </w:pPr>
            <w:r>
              <w:rPr>
                <w:rFonts w:ascii="宋体" w:hAnsi="宋体" w:eastAsia="宋体"/>
                <w:sz w:val="16"/>
              </w:rPr>
              <w:t>服务对象满意度</w:t>
            </w:r>
          </w:p>
        </w:tc>
        <w:tc>
          <w:tcPr>
            <w:tcW w:w="1079" w:type="dxa"/>
            <w:tcBorders>
              <w:top w:val="single" w:color="auto" w:sz="10" w:space="0"/>
              <w:left w:val="single" w:color="auto" w:sz="10" w:space="0"/>
              <w:bottom w:val="single" w:color="auto" w:sz="10" w:space="0"/>
              <w:right w:val="single" w:color="auto" w:sz="10" w:space="0"/>
              <w:insideV w:val="single" w:sz="10" w:space="0"/>
            </w:tcBorders>
            <w:vAlign w:val="center"/>
          </w:tcPr>
          <w:p w14:paraId="1D5EAF72">
            <w:pPr>
              <w:jc w:val="center"/>
            </w:pPr>
            <w:r>
              <w:rPr>
                <w:rFonts w:hint="eastAsia" w:ascii="宋体" w:hAnsi="宋体"/>
                <w:sz w:val="16"/>
                <w:lang w:eastAsia="zh-CN"/>
              </w:rPr>
              <w:t>≥</w:t>
            </w:r>
            <w:r>
              <w:rPr>
                <w:rFonts w:ascii="宋体" w:hAnsi="宋体" w:eastAsia="宋体"/>
                <w:sz w:val="16"/>
              </w:rPr>
              <w:t>95%</w:t>
            </w:r>
          </w:p>
        </w:tc>
        <w:tc>
          <w:tcPr>
            <w:tcW w:w="844" w:type="dxa"/>
            <w:tcBorders>
              <w:top w:val="single" w:color="auto" w:sz="10" w:space="0"/>
              <w:left w:val="single" w:color="auto" w:sz="10" w:space="0"/>
              <w:bottom w:val="single" w:color="auto" w:sz="10" w:space="0"/>
              <w:right w:val="single" w:color="auto" w:sz="10" w:space="0"/>
              <w:insideV w:val="single" w:sz="10" w:space="0"/>
            </w:tcBorders>
            <w:vAlign w:val="center"/>
          </w:tcPr>
          <w:p w14:paraId="6BC3A945">
            <w:pPr>
              <w:jc w:val="center"/>
            </w:pPr>
            <w:r>
              <w:rPr>
                <w:rFonts w:ascii="宋体" w:hAnsi="宋体" w:eastAsia="宋体"/>
                <w:sz w:val="16"/>
              </w:rPr>
              <w:t>=100%</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75EDAB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2CB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46BF4">
            <w:pPr>
              <w:jc w:val="center"/>
            </w:pPr>
          </w:p>
        </w:tc>
      </w:tr>
      <w:tr w14:paraId="5085D1C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7BA32">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BBAE75">
            <w:pPr>
              <w:jc w:val="center"/>
            </w:pPr>
            <w:r>
              <w:rPr>
                <w:rFonts w:ascii="宋体" w:hAnsi="宋体" w:eastAsia="宋体"/>
                <w:sz w:val="16"/>
              </w:rPr>
              <w:t>100</w:t>
            </w:r>
          </w:p>
        </w:tc>
        <w:tc>
          <w:tcPr>
            <w:tcW w:w="13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6E0EB">
            <w:pPr>
              <w:jc w:val="center"/>
            </w:pPr>
            <w:r>
              <w:rPr>
                <w:rFonts w:ascii="宋体" w:hAnsi="宋体" w:eastAsia="宋体"/>
                <w:sz w:val="16"/>
              </w:rPr>
              <w:t>得分</w:t>
            </w:r>
          </w:p>
        </w:tc>
        <w:tc>
          <w:tcPr>
            <w:tcW w:w="3566"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54C14C">
            <w:pPr>
              <w:jc w:val="center"/>
            </w:pPr>
            <w:r>
              <w:rPr>
                <w:rFonts w:ascii="宋体" w:hAnsi="宋体" w:eastAsia="宋体"/>
                <w:sz w:val="16"/>
              </w:rPr>
              <w:t>93.75分</w:t>
            </w:r>
          </w:p>
        </w:tc>
      </w:tr>
    </w:tbl>
    <w:p w14:paraId="455F4A0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1471967">
        <w:tblPrEx>
          <w:tblCellMar>
            <w:top w:w="0" w:type="dxa"/>
            <w:left w:w="108" w:type="dxa"/>
            <w:bottom w:w="0" w:type="dxa"/>
            <w:right w:w="108" w:type="dxa"/>
          </w:tblCellMar>
        </w:tblPrEx>
        <w:tc>
          <w:tcPr>
            <w:tcW w:w="8847" w:type="dxa"/>
            <w:gridSpan w:val="9"/>
            <w:vAlign w:val="center"/>
          </w:tcPr>
          <w:p w14:paraId="64272CDA">
            <w:pPr>
              <w:jc w:val="center"/>
            </w:pPr>
            <w:r>
              <w:rPr>
                <w:rFonts w:ascii="宋体" w:hAnsi="宋体" w:eastAsia="宋体"/>
                <w:sz w:val="24"/>
              </w:rPr>
              <w:t>项目支出绩效自评表</w:t>
            </w:r>
          </w:p>
        </w:tc>
      </w:tr>
      <w:tr w14:paraId="6F93EE7B">
        <w:tblPrEx>
          <w:tblCellMar>
            <w:top w:w="0" w:type="dxa"/>
            <w:left w:w="108" w:type="dxa"/>
            <w:bottom w:w="0" w:type="dxa"/>
            <w:right w:w="108" w:type="dxa"/>
          </w:tblCellMar>
        </w:tblPrEx>
        <w:tc>
          <w:tcPr>
            <w:tcW w:w="8847" w:type="dxa"/>
            <w:gridSpan w:val="9"/>
            <w:vAlign w:val="center"/>
          </w:tcPr>
          <w:p w14:paraId="53C914A3">
            <w:pPr>
              <w:jc w:val="center"/>
            </w:pPr>
            <w:r>
              <w:rPr>
                <w:rFonts w:ascii="宋体" w:hAnsi="宋体" w:eastAsia="宋体"/>
                <w:sz w:val="24"/>
              </w:rPr>
              <w:t>(2024年度)</w:t>
            </w:r>
          </w:p>
        </w:tc>
      </w:tr>
      <w:tr w14:paraId="18BE0F9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9533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76B64C8">
            <w:pPr>
              <w:jc w:val="center"/>
            </w:pPr>
            <w:r>
              <w:rPr>
                <w:rFonts w:ascii="宋体" w:hAnsi="宋体" w:eastAsia="宋体"/>
                <w:sz w:val="16"/>
              </w:rPr>
              <w:t>2024年自治区社保经办机构业务经费项目</w:t>
            </w:r>
          </w:p>
        </w:tc>
      </w:tr>
      <w:tr w14:paraId="0C4A7DF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E7AC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E621F5">
            <w:pPr>
              <w:jc w:val="center"/>
            </w:pPr>
            <w:r>
              <w:rPr>
                <w:rFonts w:ascii="宋体" w:hAnsi="宋体" w:eastAsia="宋体"/>
                <w:sz w:val="16"/>
              </w:rPr>
              <w:t>和田地区社会保险中心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E7AD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349DCC">
            <w:pPr>
              <w:jc w:val="center"/>
            </w:pPr>
            <w:r>
              <w:rPr>
                <w:rFonts w:ascii="宋体" w:hAnsi="宋体" w:eastAsia="宋体"/>
                <w:sz w:val="16"/>
              </w:rPr>
              <w:t>和田地区社会保险中心</w:t>
            </w:r>
          </w:p>
        </w:tc>
      </w:tr>
      <w:tr w14:paraId="4F8C9E4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7B3B6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C6B5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A864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C44C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B068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491A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4746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6A186">
            <w:pPr>
              <w:jc w:val="center"/>
            </w:pPr>
            <w:r>
              <w:rPr>
                <w:rFonts w:ascii="宋体" w:hAnsi="宋体" w:eastAsia="宋体"/>
                <w:sz w:val="16"/>
              </w:rPr>
              <w:t>得分</w:t>
            </w:r>
          </w:p>
        </w:tc>
      </w:tr>
      <w:tr w14:paraId="3122CB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5050D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4298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FAEC4">
            <w:pPr>
              <w:jc w:val="center"/>
            </w:pPr>
            <w:r>
              <w:rPr>
                <w:rFonts w:ascii="宋体" w:hAnsi="宋体" w:eastAsia="宋体"/>
                <w:sz w:val="16"/>
              </w:rPr>
              <w:t>17.50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C8EAD">
            <w:pPr>
              <w:jc w:val="center"/>
            </w:pPr>
            <w:r>
              <w:rPr>
                <w:rFonts w:ascii="宋体" w:hAnsi="宋体" w:eastAsia="宋体"/>
                <w:sz w:val="16"/>
              </w:rPr>
              <w:t>17.50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83697">
            <w:pPr>
              <w:jc w:val="center"/>
            </w:pPr>
            <w:r>
              <w:rPr>
                <w:rFonts w:ascii="宋体" w:hAnsi="宋体" w:eastAsia="宋体"/>
                <w:sz w:val="16"/>
              </w:rPr>
              <w:t>17.50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241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48E9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76D6C">
            <w:pPr>
              <w:jc w:val="center"/>
            </w:pPr>
            <w:r>
              <w:rPr>
                <w:rFonts w:ascii="宋体" w:hAnsi="宋体" w:eastAsia="宋体"/>
                <w:sz w:val="16"/>
              </w:rPr>
              <w:t>10.00分</w:t>
            </w:r>
          </w:p>
        </w:tc>
      </w:tr>
      <w:tr w14:paraId="20B784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888B0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0570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52D7E">
            <w:pPr>
              <w:jc w:val="center"/>
            </w:pPr>
            <w:r>
              <w:rPr>
                <w:rFonts w:ascii="宋体" w:hAnsi="宋体" w:eastAsia="宋体"/>
                <w:sz w:val="16"/>
              </w:rPr>
              <w:t>17.50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7E758">
            <w:pPr>
              <w:jc w:val="center"/>
            </w:pPr>
            <w:r>
              <w:rPr>
                <w:rFonts w:ascii="宋体" w:hAnsi="宋体" w:eastAsia="宋体"/>
                <w:sz w:val="16"/>
              </w:rPr>
              <w:t>17.50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F21E0">
            <w:pPr>
              <w:jc w:val="center"/>
            </w:pPr>
            <w:r>
              <w:rPr>
                <w:rFonts w:ascii="宋体" w:hAnsi="宋体" w:eastAsia="宋体"/>
                <w:sz w:val="16"/>
              </w:rPr>
              <w:t>17.50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5C0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C82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47239">
            <w:pPr>
              <w:jc w:val="center"/>
            </w:pPr>
            <w:r>
              <w:rPr>
                <w:rFonts w:ascii="宋体" w:hAnsi="宋体" w:eastAsia="宋体"/>
                <w:sz w:val="16"/>
              </w:rPr>
              <w:t>—</w:t>
            </w:r>
          </w:p>
        </w:tc>
      </w:tr>
      <w:tr w14:paraId="0830C2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A0A64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AC33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D724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04C0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4BD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B10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0CBE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D996E">
            <w:pPr>
              <w:jc w:val="center"/>
            </w:pPr>
            <w:r>
              <w:rPr>
                <w:rFonts w:ascii="宋体" w:hAnsi="宋体" w:eastAsia="宋体"/>
                <w:sz w:val="16"/>
              </w:rPr>
              <w:t>—</w:t>
            </w:r>
          </w:p>
        </w:tc>
      </w:tr>
      <w:tr w14:paraId="222B63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8F43A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2E28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4979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4F53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CFD8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99C3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43F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C8948">
            <w:pPr>
              <w:jc w:val="center"/>
            </w:pPr>
            <w:r>
              <w:rPr>
                <w:rFonts w:ascii="宋体" w:hAnsi="宋体" w:eastAsia="宋体"/>
                <w:sz w:val="16"/>
              </w:rPr>
              <w:t>—</w:t>
            </w:r>
          </w:p>
        </w:tc>
      </w:tr>
      <w:tr w14:paraId="3335D26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AB8D74">
            <w:pPr>
              <w:jc w:val="center"/>
            </w:pPr>
            <w:r>
              <w:rPr>
                <w:rFonts w:ascii="宋体" w:hAnsi="宋体" w:eastAsia="宋体"/>
                <w:sz w:val="16"/>
              </w:rPr>
              <w:t>年度总体目标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ADED2B">
            <w:pPr>
              <w:jc w:val="center"/>
            </w:pPr>
            <w:r>
              <w:rPr>
                <w:rFonts w:ascii="宋体" w:hAnsi="宋体" w:eastAsia="宋体"/>
                <w:sz w:val="16"/>
              </w:rPr>
              <w:t>预期目标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FF079A">
            <w:pPr>
              <w:jc w:val="center"/>
            </w:pPr>
            <w:r>
              <w:rPr>
                <w:rFonts w:ascii="宋体" w:hAnsi="宋体" w:eastAsia="宋体"/>
                <w:sz w:val="16"/>
              </w:rPr>
              <w:t>实际完成情况</w:t>
            </w:r>
          </w:p>
        </w:tc>
      </w:tr>
      <w:tr w14:paraId="3BA53A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2519B1"/>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36D6F0">
            <w:pPr>
              <w:jc w:val="both"/>
              <w:rPr>
                <w:rFonts w:hint="eastAsia" w:eastAsia="宋体"/>
                <w:lang w:eastAsia="zh-CN"/>
              </w:rPr>
            </w:pPr>
            <w:r>
              <w:rPr>
                <w:rFonts w:ascii="宋体" w:hAnsi="宋体" w:eastAsia="宋体"/>
                <w:sz w:val="16"/>
              </w:rPr>
              <w:t>通过聘用社会保险代办员及时解决社保经办机构人手不够的问题，加强人员力量，缓解基层人手紧的压力，更好完成社会保险扩面和基金征缴任务。建立各级政府实施全民参保计划目标责任考核机制，实行人人都有享受社会保障的权利</w:t>
            </w:r>
            <w:r>
              <w:rPr>
                <w:rFonts w:hint="eastAsia" w:ascii="宋体" w:hAnsi="宋体"/>
                <w:sz w:val="16"/>
                <w:lang w:eastAsia="zh-CN"/>
              </w:rPr>
              <w:t>。</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1FD0E6">
            <w:pPr>
              <w:jc w:val="both"/>
              <w:rPr>
                <w:rFonts w:hint="eastAsia" w:eastAsia="宋体"/>
                <w:lang w:eastAsia="zh-CN"/>
              </w:rPr>
            </w:pPr>
            <w:r>
              <w:rPr>
                <w:rFonts w:hint="eastAsia" w:ascii="宋体" w:hAnsi="宋体"/>
                <w:sz w:val="16"/>
                <w:lang w:eastAsia="zh-CN"/>
              </w:rPr>
              <w:t>截至</w:t>
            </w:r>
            <w:r>
              <w:rPr>
                <w:rFonts w:ascii="宋体" w:hAnsi="宋体" w:eastAsia="宋体"/>
                <w:sz w:val="16"/>
              </w:rPr>
              <w:t>2024年12月31日，本项目实际形成支出17.5万元，达到了及时解决社保经办机构人手不够的问题，加强人员力量，缓解基层人手紧的压力的效益</w:t>
            </w:r>
            <w:r>
              <w:rPr>
                <w:rFonts w:hint="eastAsia" w:ascii="宋体" w:hAnsi="宋体"/>
                <w:sz w:val="16"/>
                <w:lang w:eastAsia="zh-CN"/>
              </w:rPr>
              <w:t>。</w:t>
            </w:r>
          </w:p>
        </w:tc>
      </w:tr>
      <w:tr w14:paraId="04F9B5B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85418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4D30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3E16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0652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722E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A127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7973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563F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0B9C9">
            <w:pPr>
              <w:jc w:val="center"/>
            </w:pPr>
            <w:r>
              <w:rPr>
                <w:rFonts w:ascii="宋体" w:hAnsi="宋体" w:eastAsia="宋体"/>
                <w:sz w:val="16"/>
              </w:rPr>
              <w:t>偏差原因分析及改进措施</w:t>
            </w:r>
          </w:p>
        </w:tc>
      </w:tr>
      <w:tr w14:paraId="4450E27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23619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D2D45A">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257F9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6963A">
            <w:pPr>
              <w:jc w:val="center"/>
            </w:pPr>
            <w:r>
              <w:rPr>
                <w:rFonts w:ascii="宋体" w:hAnsi="宋体" w:eastAsia="宋体"/>
                <w:sz w:val="16"/>
              </w:rPr>
              <w:t>职工参加养老保险人数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4492B">
            <w:pPr>
              <w:jc w:val="center"/>
            </w:pPr>
            <w:r>
              <w:rPr>
                <w:rFonts w:hint="eastAsia" w:ascii="宋体" w:hAnsi="宋体"/>
                <w:sz w:val="16"/>
                <w:lang w:eastAsia="zh-CN"/>
              </w:rPr>
              <w:t>≥</w:t>
            </w:r>
            <w:r>
              <w:rPr>
                <w:rFonts w:ascii="宋体" w:hAnsi="宋体" w:eastAsia="宋体"/>
                <w:sz w:val="16"/>
              </w:rPr>
              <w:t>27.93万人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5A6D3">
            <w:pPr>
              <w:jc w:val="center"/>
            </w:pPr>
            <w:r>
              <w:rPr>
                <w:rFonts w:ascii="宋体" w:hAnsi="宋体" w:eastAsia="宋体"/>
                <w:sz w:val="16"/>
              </w:rPr>
              <w:t>=27.93万人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3AD8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53CE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22177">
            <w:pPr>
              <w:jc w:val="center"/>
            </w:pPr>
          </w:p>
        </w:tc>
      </w:tr>
      <w:tr w14:paraId="087D19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2D95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FD38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FC4A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B05FC">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2EF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B7A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A5A3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065A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1C927">
            <w:pPr>
              <w:jc w:val="center"/>
            </w:pPr>
          </w:p>
        </w:tc>
      </w:tr>
      <w:tr w14:paraId="7651E1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60E3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F561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CD605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D05BA">
            <w:pPr>
              <w:jc w:val="center"/>
            </w:pPr>
            <w:r>
              <w:rPr>
                <w:rFonts w:ascii="宋体" w:hAnsi="宋体" w:eastAsia="宋体"/>
                <w:sz w:val="16"/>
              </w:rPr>
              <w:t>社保经办机构经费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09039">
            <w:pPr>
              <w:jc w:val="center"/>
            </w:pPr>
            <w:r>
              <w:rPr>
                <w:rFonts w:hint="eastAsia" w:ascii="宋体" w:hAnsi="宋体" w:cs="宋体"/>
                <w:sz w:val="16"/>
                <w:lang w:eastAsia="zh-CN"/>
              </w:rPr>
              <w:t>≤</w:t>
            </w:r>
            <w:r>
              <w:rPr>
                <w:rFonts w:ascii="宋体" w:hAnsi="宋体" w:eastAsia="宋体"/>
                <w:sz w:val="16"/>
              </w:rPr>
              <w:t>17.50万元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BD2CA">
            <w:pPr>
              <w:jc w:val="center"/>
            </w:pPr>
            <w:r>
              <w:rPr>
                <w:rFonts w:ascii="宋体" w:hAnsi="宋体" w:eastAsia="宋体"/>
                <w:sz w:val="16"/>
              </w:rPr>
              <w:t>=17.5万元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9A34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8F16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41D70">
            <w:pPr>
              <w:jc w:val="center"/>
            </w:pPr>
          </w:p>
        </w:tc>
      </w:tr>
      <w:tr w14:paraId="79DA7EB9">
        <w:tblPrEx>
          <w:tblCellMar>
            <w:top w:w="0" w:type="dxa"/>
            <w:left w:w="108" w:type="dxa"/>
            <w:bottom w:w="0" w:type="dxa"/>
            <w:right w:w="108" w:type="dxa"/>
          </w:tblCellMar>
        </w:tblPrEx>
        <w:trPr>
          <w:trHeight w:val="623"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AB22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4C34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96DF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BAC04">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6AA0F">
            <w:pPr>
              <w:jc w:val="center"/>
            </w:pPr>
            <w:r>
              <w:rPr>
                <w:rFonts w:hint="eastAsia" w:ascii="宋体" w:hAnsi="宋体"/>
                <w:sz w:val="16"/>
                <w:lang w:eastAsia="zh-CN"/>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2ACE6">
            <w:pPr>
              <w:jc w:val="center"/>
            </w:pPr>
            <w:r>
              <w:rPr>
                <w:rFonts w:ascii="宋体" w:hAnsi="宋体" w:eastAsia="宋体"/>
                <w:sz w:val="16"/>
              </w:rPr>
              <w:t>=99.6%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EA8E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3E0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AAA1B">
            <w:pPr>
              <w:jc w:val="center"/>
            </w:pPr>
          </w:p>
        </w:tc>
      </w:tr>
      <w:tr w14:paraId="672F41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CB0B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E35C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959A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5A17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D905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FF9D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4797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C103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AFC69">
            <w:pPr>
              <w:jc w:val="center"/>
            </w:pPr>
          </w:p>
        </w:tc>
      </w:tr>
      <w:tr w14:paraId="172CE1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535A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967F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9C53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A9D0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5D3B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583C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4433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1471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90010">
            <w:pPr>
              <w:jc w:val="center"/>
            </w:pPr>
          </w:p>
        </w:tc>
      </w:tr>
      <w:tr w14:paraId="045E03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F183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8259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EE95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2F6A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8CC4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02E9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1166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9897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2F83E">
            <w:pPr>
              <w:jc w:val="center"/>
            </w:pPr>
          </w:p>
        </w:tc>
      </w:tr>
      <w:tr w14:paraId="7ED1EA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6D40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AE1B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544D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9C1A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F2A7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0977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7C38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AE94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56C11">
            <w:pPr>
              <w:jc w:val="center"/>
            </w:pPr>
          </w:p>
        </w:tc>
      </w:tr>
      <w:tr w14:paraId="46419A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D878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4531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5F4B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76BD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7B66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8D2D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D268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09D0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C353A">
            <w:pPr>
              <w:jc w:val="center"/>
            </w:pPr>
          </w:p>
        </w:tc>
      </w:tr>
      <w:tr w14:paraId="6C460E3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B78FB">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69DE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13130">
            <w:pPr>
              <w:jc w:val="center"/>
            </w:pP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DAD07B">
            <w:pPr>
              <w:jc w:val="center"/>
            </w:pPr>
          </w:p>
        </w:tc>
      </w:tr>
    </w:tbl>
    <w:p w14:paraId="0B6EDEB2">
      <w:r>
        <w:br w:type="page"/>
      </w:r>
    </w:p>
    <w:p w14:paraId="657F46BD">
      <w:pPr>
        <w:spacing w:line="640" w:lineRule="exact"/>
        <w:ind w:firstLine="640"/>
        <w:jc w:val="both"/>
        <w:outlineLvl w:val="2"/>
      </w:pPr>
      <w:r>
        <w:rPr>
          <w:rFonts w:ascii="黑体" w:hAnsi="黑体" w:eastAsia="黑体"/>
          <w:sz w:val="32"/>
        </w:rPr>
        <w:t>十二、其他需说明的事项</w:t>
      </w:r>
    </w:p>
    <w:p w14:paraId="4FBC18FB">
      <w:pPr>
        <w:spacing w:line="580" w:lineRule="exact"/>
        <w:ind w:firstLine="640"/>
        <w:jc w:val="both"/>
      </w:pPr>
      <w:r>
        <w:rPr>
          <w:rFonts w:ascii="仿宋_GB2312" w:hAnsi="仿宋_GB2312" w:eastAsia="仿宋_GB2312"/>
          <w:b w:val="0"/>
          <w:sz w:val="32"/>
        </w:rPr>
        <w:t>本单位无其他需说明的事项。</w:t>
      </w:r>
    </w:p>
    <w:p w14:paraId="3D32A4E0">
      <w:r>
        <w:br w:type="page"/>
      </w:r>
    </w:p>
    <w:p w14:paraId="081CDBFE">
      <w:pPr>
        <w:spacing w:line="240" w:lineRule="auto"/>
        <w:jc w:val="center"/>
        <w:outlineLvl w:val="1"/>
      </w:pPr>
      <w:r>
        <w:rPr>
          <w:rFonts w:ascii="黑体" w:hAnsi="黑体" w:eastAsia="黑体"/>
          <w:sz w:val="32"/>
        </w:rPr>
        <w:t>第三部分 专业名词解释</w:t>
      </w:r>
    </w:p>
    <w:p w14:paraId="7AAE895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C2FC76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95BC48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EF61E3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8688C5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F809EB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A61969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2A8F3C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6004F3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8440B6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5877BB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718908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F74105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83B238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9142E2C">
      <w:r>
        <w:br w:type="page"/>
      </w:r>
    </w:p>
    <w:p w14:paraId="09C2A612">
      <w:pPr>
        <w:spacing w:line="240" w:lineRule="auto"/>
        <w:jc w:val="center"/>
        <w:outlineLvl w:val="1"/>
      </w:pPr>
      <w:r>
        <w:rPr>
          <w:rFonts w:ascii="黑体" w:hAnsi="黑体" w:eastAsia="黑体"/>
          <w:sz w:val="32"/>
        </w:rPr>
        <w:t>第四部分 部门决算报表（见附表）</w:t>
      </w:r>
    </w:p>
    <w:p w14:paraId="7F3117F1">
      <w:pPr>
        <w:spacing w:line="240" w:lineRule="auto"/>
        <w:ind w:firstLine="640"/>
        <w:jc w:val="both"/>
      </w:pPr>
      <w:r>
        <w:rPr>
          <w:rFonts w:ascii="仿宋_GB2312" w:hAnsi="仿宋_GB2312" w:eastAsia="仿宋_GB2312"/>
          <w:b w:val="0"/>
          <w:sz w:val="32"/>
        </w:rPr>
        <w:t>一、《收入支出决算总表》</w:t>
      </w:r>
    </w:p>
    <w:p w14:paraId="58B446BD">
      <w:pPr>
        <w:spacing w:line="240" w:lineRule="auto"/>
        <w:ind w:firstLine="640"/>
        <w:jc w:val="both"/>
      </w:pPr>
      <w:r>
        <w:rPr>
          <w:rFonts w:ascii="仿宋_GB2312" w:hAnsi="仿宋_GB2312" w:eastAsia="仿宋_GB2312"/>
          <w:b w:val="0"/>
          <w:sz w:val="32"/>
        </w:rPr>
        <w:t>二、《收入决算表》</w:t>
      </w:r>
    </w:p>
    <w:p w14:paraId="14384E79">
      <w:pPr>
        <w:spacing w:line="240" w:lineRule="auto"/>
        <w:ind w:firstLine="640"/>
        <w:jc w:val="both"/>
      </w:pPr>
      <w:r>
        <w:rPr>
          <w:rFonts w:ascii="仿宋_GB2312" w:hAnsi="仿宋_GB2312" w:eastAsia="仿宋_GB2312"/>
          <w:b w:val="0"/>
          <w:sz w:val="32"/>
        </w:rPr>
        <w:t>三、《支出决算表》</w:t>
      </w:r>
    </w:p>
    <w:p w14:paraId="0DCA497A">
      <w:pPr>
        <w:spacing w:line="240" w:lineRule="auto"/>
        <w:ind w:firstLine="640"/>
        <w:jc w:val="both"/>
      </w:pPr>
      <w:r>
        <w:rPr>
          <w:rFonts w:ascii="仿宋_GB2312" w:hAnsi="仿宋_GB2312" w:eastAsia="仿宋_GB2312"/>
          <w:b w:val="0"/>
          <w:sz w:val="32"/>
        </w:rPr>
        <w:t>四、《财政拨款收入支出决算总表》</w:t>
      </w:r>
    </w:p>
    <w:p w14:paraId="3668AA4B">
      <w:pPr>
        <w:spacing w:line="240" w:lineRule="auto"/>
        <w:ind w:firstLine="640"/>
        <w:jc w:val="both"/>
      </w:pPr>
      <w:r>
        <w:rPr>
          <w:rFonts w:ascii="仿宋_GB2312" w:hAnsi="仿宋_GB2312" w:eastAsia="仿宋_GB2312"/>
          <w:b w:val="0"/>
          <w:sz w:val="32"/>
        </w:rPr>
        <w:t>五、《一般公共预算财政拨款支出决算表》</w:t>
      </w:r>
    </w:p>
    <w:p w14:paraId="0D514188">
      <w:pPr>
        <w:spacing w:line="240" w:lineRule="auto"/>
        <w:ind w:firstLine="640"/>
        <w:jc w:val="both"/>
      </w:pPr>
      <w:r>
        <w:rPr>
          <w:rFonts w:ascii="仿宋_GB2312" w:hAnsi="仿宋_GB2312" w:eastAsia="仿宋_GB2312"/>
          <w:b w:val="0"/>
          <w:sz w:val="32"/>
        </w:rPr>
        <w:t>六、《一般公共预算财政拨款基本支出决算表》</w:t>
      </w:r>
    </w:p>
    <w:p w14:paraId="77F4E7B4">
      <w:pPr>
        <w:spacing w:line="240" w:lineRule="auto"/>
        <w:ind w:firstLine="640"/>
        <w:jc w:val="both"/>
      </w:pPr>
      <w:r>
        <w:rPr>
          <w:rFonts w:ascii="仿宋_GB2312" w:hAnsi="仿宋_GB2312" w:eastAsia="仿宋_GB2312"/>
          <w:b w:val="0"/>
          <w:sz w:val="32"/>
        </w:rPr>
        <w:t>七、《政府性基金预算财政拨款收入支出决算表》</w:t>
      </w:r>
    </w:p>
    <w:p w14:paraId="52F5B936">
      <w:pPr>
        <w:spacing w:line="240" w:lineRule="auto"/>
        <w:ind w:firstLine="640"/>
        <w:jc w:val="both"/>
      </w:pPr>
      <w:r>
        <w:rPr>
          <w:rFonts w:ascii="仿宋_GB2312" w:hAnsi="仿宋_GB2312" w:eastAsia="仿宋_GB2312"/>
          <w:b w:val="0"/>
          <w:sz w:val="32"/>
        </w:rPr>
        <w:t>八、《国有资本经营预算财政拨款收入支出决算表》</w:t>
      </w:r>
    </w:p>
    <w:p w14:paraId="137062F3">
      <w:pPr>
        <w:spacing w:line="240" w:lineRule="auto"/>
        <w:ind w:firstLine="640"/>
        <w:jc w:val="both"/>
      </w:pPr>
      <w:r>
        <w:rPr>
          <w:rFonts w:ascii="仿宋_GB2312" w:hAnsi="仿宋_GB2312" w:eastAsia="仿宋_GB2312"/>
          <w:b w:val="0"/>
          <w:sz w:val="32"/>
        </w:rPr>
        <w:t>九、《财政拨款“三公”经费支出决算表》</w:t>
      </w:r>
    </w:p>
    <w:p w14:paraId="600BB273">
      <w:pPr>
        <w:spacing w:line="240" w:lineRule="auto"/>
        <w:ind w:firstLine="640"/>
        <w:jc w:val="both"/>
      </w:pPr>
    </w:p>
    <w:p w14:paraId="5CAA4797">
      <w:pPr>
        <w:spacing w:line="240" w:lineRule="auto"/>
        <w:ind w:firstLine="640"/>
        <w:jc w:val="both"/>
      </w:pPr>
    </w:p>
    <w:p w14:paraId="381A4ED1">
      <w:pPr>
        <w:spacing w:line="240" w:lineRule="auto"/>
        <w:ind w:firstLine="640"/>
        <w:jc w:val="both"/>
      </w:pPr>
    </w:p>
    <w:p w14:paraId="2EBD61A8">
      <w:pPr>
        <w:spacing w:line="240" w:lineRule="auto"/>
        <w:ind w:firstLine="640"/>
        <w:jc w:val="both"/>
      </w:pPr>
    </w:p>
    <w:p w14:paraId="08F9B7D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06D1684"/>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40A6D0C"/>
    <w:rsid w:val="464B7E04"/>
    <w:rsid w:val="464F7E64"/>
    <w:rsid w:val="46901EEE"/>
    <w:rsid w:val="469C74D2"/>
    <w:rsid w:val="47445515"/>
    <w:rsid w:val="49070BA4"/>
    <w:rsid w:val="4B4C0111"/>
    <w:rsid w:val="4BB23021"/>
    <w:rsid w:val="4F3F074E"/>
    <w:rsid w:val="50DB5F45"/>
    <w:rsid w:val="52F92565"/>
    <w:rsid w:val="543D17CB"/>
    <w:rsid w:val="55DA564E"/>
    <w:rsid w:val="56E07045"/>
    <w:rsid w:val="583059FA"/>
    <w:rsid w:val="587E6212"/>
    <w:rsid w:val="5AFC6609"/>
    <w:rsid w:val="5F842CE5"/>
    <w:rsid w:val="5FA17648"/>
    <w:rsid w:val="5FD320BD"/>
    <w:rsid w:val="60DE4D57"/>
    <w:rsid w:val="613409CB"/>
    <w:rsid w:val="61A46A97"/>
    <w:rsid w:val="62DD7D21"/>
    <w:rsid w:val="65D97752"/>
    <w:rsid w:val="662D1267"/>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5145</Words>
  <Characters>5821</Characters>
  <Lines>0</Lines>
  <Paragraphs>0</Paragraphs>
  <TotalTime>0</TotalTime>
  <ScaleCrop>false</ScaleCrop>
  <LinksUpToDate>false</LinksUpToDate>
  <CharactersWithSpaces>5830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2025-09-12T09:26:05Z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