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B31846"/>
    <w:p w14:paraId="58ADC29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D82DE66">
      <w:pPr>
        <w:spacing w:line="540" w:lineRule="exact"/>
        <w:jc w:val="center"/>
        <w:rPr>
          <w:rFonts w:ascii="华文中宋" w:hAnsi="华文中宋" w:eastAsia="华文中宋" w:cs="宋体"/>
          <w:b/>
          <w:kern w:val="0"/>
          <w:sz w:val="52"/>
          <w:szCs w:val="52"/>
        </w:rPr>
      </w:pPr>
    </w:p>
    <w:p w14:paraId="5F74F543">
      <w:pPr>
        <w:spacing w:line="540" w:lineRule="exact"/>
        <w:jc w:val="center"/>
        <w:rPr>
          <w:rFonts w:ascii="华文中宋" w:hAnsi="华文中宋" w:eastAsia="华文中宋" w:cs="宋体"/>
          <w:b/>
          <w:kern w:val="0"/>
          <w:sz w:val="52"/>
          <w:szCs w:val="52"/>
        </w:rPr>
      </w:pPr>
    </w:p>
    <w:p w14:paraId="1C303960">
      <w:pPr>
        <w:spacing w:line="540" w:lineRule="exact"/>
        <w:jc w:val="center"/>
        <w:rPr>
          <w:rFonts w:ascii="华文中宋" w:hAnsi="华文中宋" w:eastAsia="华文中宋" w:cs="宋体"/>
          <w:b/>
          <w:kern w:val="0"/>
          <w:sz w:val="52"/>
          <w:szCs w:val="52"/>
        </w:rPr>
      </w:pPr>
    </w:p>
    <w:p w14:paraId="64D2102A">
      <w:pPr>
        <w:spacing w:line="540" w:lineRule="exact"/>
        <w:jc w:val="center"/>
        <w:rPr>
          <w:rFonts w:ascii="华文中宋" w:hAnsi="华文中宋" w:eastAsia="华文中宋" w:cs="宋体"/>
          <w:b/>
          <w:kern w:val="0"/>
          <w:sz w:val="52"/>
          <w:szCs w:val="52"/>
        </w:rPr>
      </w:pPr>
    </w:p>
    <w:p w14:paraId="550517D0">
      <w:pPr>
        <w:spacing w:line="540" w:lineRule="exact"/>
        <w:jc w:val="center"/>
        <w:rPr>
          <w:rFonts w:ascii="华文中宋" w:hAnsi="华文中宋" w:eastAsia="华文中宋" w:cs="宋体"/>
          <w:b/>
          <w:kern w:val="0"/>
          <w:sz w:val="52"/>
          <w:szCs w:val="52"/>
        </w:rPr>
      </w:pPr>
    </w:p>
    <w:p w14:paraId="7D0B0D4E">
      <w:pPr>
        <w:spacing w:line="540" w:lineRule="exact"/>
        <w:jc w:val="center"/>
        <w:rPr>
          <w:rFonts w:ascii="华文中宋" w:hAnsi="华文中宋" w:eastAsia="华文中宋" w:cs="宋体"/>
          <w:b/>
          <w:kern w:val="0"/>
          <w:sz w:val="52"/>
          <w:szCs w:val="52"/>
        </w:rPr>
      </w:pPr>
    </w:p>
    <w:p w14:paraId="6CEEA5C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7C9F17D">
      <w:pPr>
        <w:spacing w:line="540" w:lineRule="exact"/>
        <w:jc w:val="center"/>
        <w:rPr>
          <w:rFonts w:ascii="华文中宋" w:hAnsi="华文中宋" w:eastAsia="华文中宋" w:cs="宋体"/>
          <w:b/>
          <w:kern w:val="0"/>
          <w:sz w:val="52"/>
          <w:szCs w:val="52"/>
        </w:rPr>
      </w:pPr>
    </w:p>
    <w:p w14:paraId="2D3B5D84">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11A201C8">
      <w:pPr>
        <w:spacing w:line="540" w:lineRule="exact"/>
        <w:jc w:val="center"/>
        <w:rPr>
          <w:rFonts w:hAnsi="宋体" w:eastAsia="仿宋_GB2312" w:cs="宋体"/>
          <w:kern w:val="0"/>
          <w:sz w:val="30"/>
          <w:szCs w:val="30"/>
        </w:rPr>
      </w:pPr>
    </w:p>
    <w:p w14:paraId="06A48023">
      <w:pPr>
        <w:spacing w:line="540" w:lineRule="exact"/>
        <w:jc w:val="center"/>
        <w:rPr>
          <w:rFonts w:hAnsi="宋体" w:eastAsia="仿宋_GB2312" w:cs="宋体"/>
          <w:kern w:val="0"/>
          <w:sz w:val="30"/>
          <w:szCs w:val="30"/>
        </w:rPr>
      </w:pPr>
    </w:p>
    <w:p w14:paraId="40E92C6B">
      <w:pPr>
        <w:spacing w:line="540" w:lineRule="exact"/>
        <w:jc w:val="center"/>
        <w:rPr>
          <w:rFonts w:hAnsi="宋体" w:eastAsia="仿宋_GB2312" w:cs="宋体"/>
          <w:kern w:val="0"/>
          <w:sz w:val="30"/>
          <w:szCs w:val="30"/>
        </w:rPr>
      </w:pPr>
    </w:p>
    <w:p w14:paraId="6BB7B523">
      <w:pPr>
        <w:spacing w:line="540" w:lineRule="exact"/>
        <w:jc w:val="center"/>
        <w:rPr>
          <w:rFonts w:hAnsi="宋体" w:eastAsia="仿宋_GB2312" w:cs="宋体"/>
          <w:kern w:val="0"/>
          <w:sz w:val="30"/>
          <w:szCs w:val="30"/>
        </w:rPr>
      </w:pPr>
    </w:p>
    <w:p w14:paraId="058A338C">
      <w:pPr>
        <w:spacing w:line="540" w:lineRule="exact"/>
        <w:jc w:val="center"/>
        <w:rPr>
          <w:rFonts w:hAnsi="宋体" w:eastAsia="仿宋_GB2312" w:cs="宋体"/>
          <w:kern w:val="0"/>
          <w:sz w:val="30"/>
          <w:szCs w:val="30"/>
        </w:rPr>
      </w:pPr>
    </w:p>
    <w:p w14:paraId="1A6D2751">
      <w:pPr>
        <w:spacing w:line="540" w:lineRule="exact"/>
        <w:jc w:val="center"/>
        <w:rPr>
          <w:rFonts w:hAnsi="宋体" w:eastAsia="仿宋_GB2312" w:cs="宋体"/>
          <w:kern w:val="0"/>
          <w:sz w:val="30"/>
          <w:szCs w:val="30"/>
        </w:rPr>
      </w:pPr>
    </w:p>
    <w:p w14:paraId="02FD3DDE">
      <w:pPr>
        <w:spacing w:line="540" w:lineRule="exact"/>
        <w:rPr>
          <w:rFonts w:hAnsi="宋体" w:eastAsia="仿宋_GB2312" w:cs="宋体"/>
          <w:kern w:val="0"/>
          <w:sz w:val="30"/>
          <w:szCs w:val="30"/>
        </w:rPr>
      </w:pPr>
    </w:p>
    <w:p w14:paraId="68D1065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2D3C1EE">
      <w:pPr>
        <w:spacing w:line="700" w:lineRule="exact"/>
        <w:ind w:left="2697" w:leftChars="513" w:hanging="1620" w:hangingChars="4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1995年前退休（退职）人生活补助资金预算项目</w:t>
      </w:r>
    </w:p>
    <w:p w14:paraId="550D509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和田地区社会保险中心</w:t>
      </w:r>
    </w:p>
    <w:p w14:paraId="5A696FD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和田地区社会保险中心</w:t>
      </w:r>
    </w:p>
    <w:p w14:paraId="6329AB40">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秦晓龙</w:t>
      </w:r>
    </w:p>
    <w:p w14:paraId="25F16EE4">
      <w:pPr>
        <w:spacing w:line="540" w:lineRule="exact"/>
        <w:ind w:left="273" w:firstLine="567"/>
        <w:rPr>
          <w:rStyle w:val="19"/>
          <w:rFonts w:ascii="黑体" w:hAnsi="黑体" w:eastAsia="黑体"/>
          <w:b w:val="0"/>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2025年03月24日</w:t>
      </w:r>
    </w:p>
    <w:p w14:paraId="0937D05F">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left"/>
        <w:textAlignment w:val="top"/>
        <w:rPr>
          <w:rStyle w:val="19"/>
          <w:rFonts w:hint="eastAsia" w:ascii="方正仿宋_GBK" w:hAnsi="方正仿宋_GBK" w:eastAsia="方正仿宋_GBK" w:cs="方正仿宋_GBK"/>
          <w:b w:val="0"/>
          <w:spacing w:val="-4"/>
          <w:sz w:val="32"/>
          <w:szCs w:val="32"/>
        </w:rPr>
      </w:pPr>
      <w:r>
        <w:rPr>
          <w:rStyle w:val="19"/>
          <w:rFonts w:hint="eastAsia" w:ascii="方正仿宋_GBK" w:hAnsi="方正仿宋_GBK" w:eastAsia="方正仿宋_GBK" w:cs="方正仿宋_GBK"/>
          <w:b w:val="0"/>
          <w:spacing w:val="-4"/>
          <w:sz w:val="32"/>
          <w:szCs w:val="32"/>
        </w:rPr>
        <w:t>一、基本情况</w:t>
      </w:r>
    </w:p>
    <w:p w14:paraId="4FE8CA79">
      <w:pPr>
        <w:keepNext w:val="0"/>
        <w:keepLines w:val="0"/>
        <w:pageBreakBefore w:val="0"/>
        <w:widowControl w:val="0"/>
        <w:kinsoku/>
        <w:wordWrap/>
        <w:overflowPunct/>
        <w:topLinePunct w:val="0"/>
        <w:autoSpaceDE w:val="0"/>
        <w:autoSpaceDN w:val="0"/>
        <w:bidi w:val="0"/>
        <w:adjustRightInd/>
        <w:snapToGrid/>
        <w:spacing w:line="560" w:lineRule="exact"/>
        <w:ind w:firstLine="627" w:firstLineChars="200"/>
        <w:jc w:val="left"/>
        <w:textAlignment w:val="top"/>
        <w:rPr>
          <w:rStyle w:val="19"/>
          <w:rFonts w:hint="eastAsia" w:ascii="方正仿宋_GBK" w:hAnsi="方正仿宋_GBK" w:eastAsia="方正仿宋_GBK" w:cs="方正仿宋_GBK"/>
          <w:spacing w:val="-4"/>
          <w:sz w:val="32"/>
          <w:szCs w:val="32"/>
        </w:rPr>
      </w:pPr>
      <w:r>
        <w:rPr>
          <w:rStyle w:val="19"/>
          <w:rFonts w:hint="eastAsia" w:ascii="方正仿宋_GBK" w:hAnsi="方正仿宋_GBK" w:eastAsia="方正仿宋_GBK" w:cs="方正仿宋_GBK"/>
          <w:spacing w:val="-4"/>
          <w:sz w:val="32"/>
          <w:szCs w:val="32"/>
        </w:rPr>
        <w:t>（一）项目概况</w:t>
      </w:r>
    </w:p>
    <w:p w14:paraId="56D3DC12">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both"/>
        <w:textAlignment w:val="top"/>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1.项目背景</w:t>
      </w:r>
    </w:p>
    <w:p w14:paraId="57C4B780">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both"/>
        <w:textAlignment w:val="top"/>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以</w:t>
      </w:r>
      <w:r>
        <w:rPr>
          <w:rStyle w:val="19"/>
          <w:rFonts w:hint="eastAsia" w:ascii="方正仿宋_GBK" w:hAnsi="方正仿宋_GBK" w:eastAsia="方正仿宋_GBK" w:cs="方正仿宋_GBK"/>
          <w:b w:val="0"/>
          <w:bCs w:val="0"/>
          <w:spacing w:val="-4"/>
          <w:sz w:val="32"/>
          <w:szCs w:val="32"/>
          <w:lang w:eastAsia="zh-CN"/>
        </w:rPr>
        <w:t>习近平</w:t>
      </w:r>
      <w:r>
        <w:rPr>
          <w:rStyle w:val="19"/>
          <w:rFonts w:hint="eastAsia" w:ascii="方正仿宋_GBK" w:hAnsi="方正仿宋_GBK" w:eastAsia="方正仿宋_GBK" w:cs="方正仿宋_GBK"/>
          <w:b w:val="0"/>
          <w:bCs w:val="0"/>
          <w:spacing w:val="-4"/>
          <w:sz w:val="32"/>
          <w:szCs w:val="32"/>
        </w:rPr>
        <w:t>总书记关于完善覆盖全民的社会保障体系重要讲话精神为指导，按照新政办发〔2010〕168号文件要求,对参加自治区城镇企业职工基本养老保险统筹，并于1995年12月31日前办理退休（退职）手续的企业退休人员，按照每人每月120元标准发放生活补贴。确保和田地区企业1995年前退休（退职）1056人养老金待遇、按时、足额发放养老金待遇合法权益、提高退休人员待遇水平、保证生活质量。严格落实项目管理制度，由和田地区人力资源和社会保障局作为主管部门、和田地区社会保险中心具体负责实施，由综合业务科作为牵头科室、相关科室配合、覆盖全地区，明确职责分工，统一协调解决项目实施过程中出现的各类问题，确保项目的顺利实施。</w:t>
      </w:r>
      <w:r>
        <w:cr/>
      </w:r>
      <w:r>
        <w:rPr>
          <w:rFonts w:hint="eastAsia"/>
          <w:lang w:val="en-US" w:eastAsia="zh-CN"/>
        </w:rPr>
        <w:t xml:space="preserve">      </w:t>
      </w:r>
      <w:bookmarkStart w:id="0" w:name="_GoBack"/>
      <w:bookmarkEnd w:id="0"/>
      <w:r>
        <w:rPr>
          <w:rStyle w:val="19"/>
          <w:rFonts w:hint="eastAsia" w:ascii="方正仿宋_GBK" w:hAnsi="方正仿宋_GBK" w:eastAsia="方正仿宋_GBK" w:cs="方正仿宋_GBK"/>
          <w:b w:val="0"/>
          <w:bCs w:val="0"/>
          <w:spacing w:val="-4"/>
          <w:sz w:val="32"/>
          <w:szCs w:val="32"/>
        </w:rPr>
        <w:t>实施“1995年前退休（退职）人员生活补贴”，有利于加快实现社会保险全覆盖目标，推动加快健全全民共享、公平可及的社会保障体系，更好地维护提高退休人员待遇水平，保证生活质量，按时、足额发放养老金待遇合法权益，促进社会保险制度可持续发展,通过本项目的实施，可有效增加退休人员幸福感。</w:t>
      </w:r>
      <w:r>
        <w:cr/>
      </w:r>
      <w:r>
        <w:rPr>
          <w:rFonts w:hint="eastAsia"/>
          <w:lang w:val="en-US" w:eastAsia="zh-CN"/>
        </w:rPr>
        <w:t xml:space="preserve">       </w:t>
      </w:r>
      <w:r>
        <w:rPr>
          <w:rStyle w:val="19"/>
          <w:rFonts w:hint="eastAsia" w:ascii="方正仿宋_GBK" w:hAnsi="方正仿宋_GBK" w:eastAsia="方正仿宋_GBK" w:cs="方正仿宋_GBK"/>
          <w:b w:val="0"/>
          <w:bCs w:val="0"/>
          <w:spacing w:val="-4"/>
          <w:sz w:val="32"/>
          <w:szCs w:val="32"/>
          <w:lang w:val="en-US" w:eastAsia="zh-CN"/>
        </w:rPr>
        <w:t>2</w:t>
      </w:r>
      <w:r>
        <w:rPr>
          <w:rStyle w:val="19"/>
          <w:rFonts w:hint="eastAsia" w:ascii="方正仿宋_GBK" w:hAnsi="方正仿宋_GBK" w:eastAsia="方正仿宋_GBK" w:cs="方正仿宋_GBK"/>
          <w:b w:val="0"/>
          <w:bCs w:val="0"/>
          <w:spacing w:val="-4"/>
          <w:sz w:val="32"/>
          <w:szCs w:val="32"/>
        </w:rPr>
        <w:t>.主要内容</w:t>
      </w:r>
      <w:r>
        <w:rPr>
          <w:rStyle w:val="19"/>
          <w:rFonts w:hint="eastAsia" w:ascii="方正仿宋_GBK" w:hAnsi="方正仿宋_GBK" w:eastAsia="方正仿宋_GBK" w:cs="方正仿宋_GBK"/>
          <w:b w:val="0"/>
          <w:bCs w:val="0"/>
          <w:spacing w:val="-4"/>
          <w:sz w:val="32"/>
          <w:szCs w:val="32"/>
        </w:rPr>
        <w:cr/>
      </w:r>
      <w:r>
        <w:rPr>
          <w:rStyle w:val="19"/>
          <w:rFonts w:hint="eastAsia" w:ascii="方正仿宋_GBK" w:hAnsi="方正仿宋_GBK" w:eastAsia="方正仿宋_GBK" w:cs="方正仿宋_GBK"/>
          <w:b w:val="0"/>
          <w:bCs w:val="0"/>
          <w:spacing w:val="-4"/>
          <w:sz w:val="32"/>
          <w:szCs w:val="32"/>
          <w:lang w:val="en-US" w:eastAsia="zh-CN"/>
        </w:rPr>
        <w:t xml:space="preserve">     </w:t>
      </w:r>
      <w:r>
        <w:rPr>
          <w:rStyle w:val="19"/>
          <w:rFonts w:hint="eastAsia" w:ascii="方正仿宋_GBK" w:hAnsi="方正仿宋_GBK" w:eastAsia="方正仿宋_GBK" w:cs="方正仿宋_GBK"/>
          <w:b w:val="0"/>
          <w:bCs w:val="0"/>
          <w:spacing w:val="-4"/>
          <w:sz w:val="32"/>
          <w:szCs w:val="32"/>
        </w:rPr>
        <w:t>按照新政办发〔2010〕168号文件要求，对参加自治区城镇企业职工基本养老保险统筹，并于1995年12月31日前办理退休（退职）手续的企业退休人员，按照每人每月120元标准发放生活补贴。</w:t>
      </w:r>
      <w:r>
        <w:cr/>
      </w:r>
      <w:r>
        <w:rPr>
          <w:rStyle w:val="19"/>
          <w:rFonts w:hint="eastAsia" w:ascii="方正仿宋_GBK" w:hAnsi="方正仿宋_GBK" w:eastAsia="方正仿宋_GBK" w:cs="方正仿宋_GBK"/>
          <w:b w:val="0"/>
          <w:bCs w:val="0"/>
          <w:spacing w:val="-4"/>
          <w:sz w:val="32"/>
          <w:szCs w:val="32"/>
        </w:rPr>
        <w:t>3.实施情况</w:t>
      </w:r>
      <w:r>
        <w:cr/>
      </w:r>
      <w:r>
        <w:rPr>
          <w:rStyle w:val="19"/>
          <w:rFonts w:hint="eastAsia" w:ascii="方正仿宋_GBK" w:hAnsi="方正仿宋_GBK" w:eastAsia="方正仿宋_GBK" w:cs="方正仿宋_GBK"/>
          <w:b w:val="0"/>
          <w:bCs w:val="0"/>
          <w:spacing w:val="-4"/>
          <w:sz w:val="32"/>
          <w:szCs w:val="32"/>
        </w:rPr>
        <w:t>实施主体：和田地区社会保险中心。</w:t>
      </w:r>
      <w:r>
        <w:cr/>
      </w:r>
      <w:r>
        <w:rPr>
          <w:rStyle w:val="19"/>
          <w:rFonts w:hint="eastAsia" w:ascii="方正仿宋_GBK" w:hAnsi="方正仿宋_GBK" w:eastAsia="方正仿宋_GBK" w:cs="方正仿宋_GBK"/>
          <w:b w:val="0"/>
          <w:bCs w:val="0"/>
          <w:spacing w:val="-4"/>
          <w:sz w:val="32"/>
          <w:szCs w:val="32"/>
        </w:rPr>
        <w:t>实施时间：本项目实施期限为2024年1月—2024年12月。</w:t>
      </w:r>
      <w:r>
        <w:cr/>
      </w:r>
      <w:r>
        <w:rPr>
          <w:rStyle w:val="19"/>
          <w:rFonts w:hint="eastAsia" w:ascii="方正仿宋_GBK" w:hAnsi="方正仿宋_GBK" w:eastAsia="方正仿宋_GBK" w:cs="方正仿宋_GBK"/>
          <w:b w:val="0"/>
          <w:bCs w:val="0"/>
          <w:spacing w:val="-4"/>
          <w:sz w:val="32"/>
          <w:szCs w:val="32"/>
        </w:rPr>
        <w:t>实施情况：2024年1月—2024年12月，对符合1995年12月31日前办理退休（退职）手续的1056名企业退休人员，按照每人每月120元标准发放生活补贴，有利于加快实现社会保险全覆盖目标，推动加快健全全民共享、公平可及的社会保障体系，更好地维护提高退休人员待遇水平，保证生活质量。</w:t>
      </w:r>
      <w:r>
        <w:cr/>
      </w:r>
      <w:r>
        <w:rPr>
          <w:rStyle w:val="19"/>
          <w:rFonts w:hint="eastAsia" w:ascii="方正仿宋_GBK" w:hAnsi="方正仿宋_GBK" w:eastAsia="方正仿宋_GBK" w:cs="方正仿宋_GBK"/>
          <w:b w:val="0"/>
          <w:bCs w:val="0"/>
          <w:spacing w:val="-4"/>
          <w:sz w:val="32"/>
          <w:szCs w:val="32"/>
        </w:rPr>
        <w:t>4.资金投入和使用情况</w:t>
      </w:r>
      <w:r>
        <w:cr/>
      </w:r>
      <w:r>
        <w:rPr>
          <w:rStyle w:val="19"/>
          <w:rFonts w:hint="eastAsia" w:ascii="方正仿宋_GBK" w:hAnsi="方正仿宋_GBK" w:eastAsia="方正仿宋_GBK" w:cs="方正仿宋_GBK"/>
          <w:b w:val="0"/>
          <w:bCs w:val="0"/>
          <w:spacing w:val="-4"/>
          <w:sz w:val="32"/>
          <w:szCs w:val="32"/>
        </w:rPr>
        <w:t>（1）项目资金安排落实、总投入等情况分析</w:t>
      </w:r>
      <w:r>
        <w:cr/>
      </w:r>
      <w:r>
        <w:rPr>
          <w:rStyle w:val="19"/>
          <w:rFonts w:hint="eastAsia" w:ascii="方正仿宋_GBK" w:hAnsi="方正仿宋_GBK" w:eastAsia="方正仿宋_GBK" w:cs="方正仿宋_GBK"/>
          <w:b w:val="0"/>
          <w:bCs w:val="0"/>
          <w:spacing w:val="-4"/>
          <w:sz w:val="32"/>
          <w:szCs w:val="32"/>
        </w:rPr>
        <w:t>本项目预算金额为120万元，资金来源为自治区专项资金，其中：财政资金120万元，其他资金0万元，2024年实际收到预算资金120万元，预算资金到位率为100%。</w:t>
      </w:r>
    </w:p>
    <w:p w14:paraId="22BE188E">
      <w:pPr>
        <w:keepNext w:val="0"/>
        <w:keepLines w:val="0"/>
        <w:pageBreakBefore w:val="0"/>
        <w:widowControl w:val="0"/>
        <w:kinsoku/>
        <w:wordWrap/>
        <w:overflowPunct/>
        <w:topLinePunct w:val="0"/>
        <w:autoSpaceDE w:val="0"/>
        <w:autoSpaceDN w:val="0"/>
        <w:bidi w:val="0"/>
        <w:adjustRightInd/>
        <w:snapToGrid/>
        <w:spacing w:line="560" w:lineRule="exact"/>
        <w:jc w:val="left"/>
        <w:textAlignment w:val="top"/>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（2）项目资金实际使用情况分析</w:t>
      </w:r>
      <w:r>
        <w:cr/>
      </w:r>
      <w:r>
        <w:rPr>
          <w:rStyle w:val="19"/>
          <w:rFonts w:hint="eastAsia" w:ascii="方正仿宋_GBK" w:hAnsi="方正仿宋_GBK" w:eastAsia="方正仿宋_GBK" w:cs="方正仿宋_GBK"/>
          <w:b w:val="0"/>
          <w:bCs w:val="0"/>
          <w:spacing w:val="-4"/>
          <w:sz w:val="32"/>
          <w:szCs w:val="32"/>
        </w:rPr>
        <w:t>本项目实际支付资金120万元，预算执行率100%。本项目资金主要用于支付1995年12月31日前办理退休（退职）手续的企业退休人员，按照每人每月120元标准发放生活补贴。</w:t>
      </w:r>
    </w:p>
    <w:p w14:paraId="5E31C6BF">
      <w:pPr>
        <w:keepNext w:val="0"/>
        <w:keepLines w:val="0"/>
        <w:pageBreakBefore w:val="0"/>
        <w:widowControl w:val="0"/>
        <w:kinsoku/>
        <w:wordWrap/>
        <w:overflowPunct/>
        <w:topLinePunct w:val="0"/>
        <w:autoSpaceDE w:val="0"/>
        <w:autoSpaceDN w:val="0"/>
        <w:bidi w:val="0"/>
        <w:adjustRightInd/>
        <w:snapToGrid/>
        <w:spacing w:line="560" w:lineRule="exact"/>
        <w:ind w:firstLine="627" w:firstLineChars="200"/>
        <w:jc w:val="left"/>
        <w:textAlignment w:val="top"/>
        <w:rPr>
          <w:rStyle w:val="19"/>
          <w:rFonts w:hint="eastAsia" w:ascii="方正仿宋_GBK" w:hAnsi="方正仿宋_GBK" w:eastAsia="方正仿宋_GBK" w:cs="方正仿宋_GBK"/>
          <w:spacing w:val="-4"/>
          <w:sz w:val="32"/>
          <w:szCs w:val="32"/>
        </w:rPr>
      </w:pPr>
      <w:r>
        <w:rPr>
          <w:rStyle w:val="19"/>
          <w:rFonts w:hint="eastAsia" w:ascii="方正仿宋_GBK" w:hAnsi="方正仿宋_GBK" w:eastAsia="方正仿宋_GBK" w:cs="方正仿宋_GBK"/>
          <w:spacing w:val="-4"/>
          <w:sz w:val="32"/>
          <w:szCs w:val="32"/>
        </w:rPr>
        <w:t>（二）项目绩效目标</w:t>
      </w:r>
    </w:p>
    <w:p w14:paraId="5D4C4228">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left"/>
        <w:textAlignment w:val="top"/>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1.总体目标</w:t>
      </w:r>
      <w:r>
        <w:cr/>
      </w:r>
      <w:r>
        <w:rPr>
          <w:rStyle w:val="19"/>
          <w:rFonts w:hint="eastAsia" w:ascii="方正仿宋_GBK" w:hAnsi="方正仿宋_GBK" w:eastAsia="方正仿宋_GBK" w:cs="方正仿宋_GBK"/>
          <w:b w:val="0"/>
          <w:bCs w:val="0"/>
          <w:spacing w:val="-4"/>
          <w:sz w:val="32"/>
          <w:szCs w:val="32"/>
        </w:rPr>
        <w:t>本项目主要实施内容为：通过本项目的实施，可有效增加退休人员幸福感，待项目实施完成，争取使受益人群满意度不低于95%。</w:t>
      </w:r>
      <w:r>
        <w:cr/>
      </w:r>
      <w:r>
        <w:rPr>
          <w:rStyle w:val="19"/>
          <w:rFonts w:hint="eastAsia" w:ascii="方正仿宋_GBK" w:hAnsi="方正仿宋_GBK" w:eastAsia="方正仿宋_GBK" w:cs="方正仿宋_GBK"/>
          <w:b w:val="0"/>
          <w:bCs w:val="0"/>
          <w:spacing w:val="-4"/>
          <w:sz w:val="32"/>
          <w:szCs w:val="32"/>
        </w:rPr>
        <w:t>2.阶段性目标</w:t>
      </w:r>
      <w:r>
        <w:cr/>
      </w:r>
      <w:r>
        <w:rPr>
          <w:rStyle w:val="19"/>
          <w:rFonts w:hint="eastAsia" w:ascii="方正仿宋_GBK" w:hAnsi="方正仿宋_GBK" w:eastAsia="方正仿宋_GBK" w:cs="方正仿宋_GBK"/>
          <w:b w:val="0"/>
          <w:bCs w:val="0"/>
          <w:spacing w:val="-4"/>
          <w:sz w:val="32"/>
          <w:szCs w:val="32"/>
        </w:rPr>
        <w:t>项目前期准备工作：项目在资金管理过程中，确保了每一笔支出都有据可查，确保了资金使用的透明度。特别是在1995年前退休（退职）人员生活补助资金的支付过程中，通过严格的财务审核，确保了资金使用的合规性。</w:t>
      </w:r>
      <w:r>
        <w:cr/>
      </w:r>
      <w:r>
        <w:rPr>
          <w:rStyle w:val="19"/>
          <w:rFonts w:hint="eastAsia" w:ascii="方正仿宋_GBK" w:hAnsi="方正仿宋_GBK" w:eastAsia="方正仿宋_GBK" w:cs="方正仿宋_GBK"/>
          <w:b w:val="0"/>
          <w:bCs w:val="0"/>
          <w:spacing w:val="-4"/>
          <w:sz w:val="32"/>
          <w:szCs w:val="32"/>
        </w:rPr>
        <w:t>项目实施：2024年1月—2024年12月，对符合1995年12月31日前办理退休（退职）手续的企业退休人员。</w:t>
      </w:r>
      <w:r>
        <w:cr/>
      </w:r>
      <w:r>
        <w:rPr>
          <w:rStyle w:val="19"/>
          <w:rFonts w:hint="eastAsia" w:ascii="方正仿宋_GBK" w:hAnsi="方正仿宋_GBK" w:eastAsia="方正仿宋_GBK" w:cs="方正仿宋_GBK"/>
          <w:b w:val="0"/>
          <w:bCs w:val="0"/>
          <w:spacing w:val="-4"/>
          <w:sz w:val="32"/>
          <w:szCs w:val="32"/>
        </w:rPr>
        <w:t>项目完成：截至2024年12月31日完成。通过本项目的实施，可有效增加退休人员幸福感。有利于加快实现社会保险全覆盖目标，推动加快健全全民共享、公平可及的社会保障体系，更好地维护提高退休人员待遇水平，保证生活质量。</w:t>
      </w:r>
    </w:p>
    <w:p w14:paraId="05AC2B3E">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left"/>
        <w:textAlignment w:val="top"/>
        <w:rPr>
          <w:rStyle w:val="19"/>
          <w:rFonts w:hint="eastAsia" w:ascii="方正仿宋_GBK" w:hAnsi="方正仿宋_GBK" w:eastAsia="方正仿宋_GBK" w:cs="方正仿宋_GBK"/>
          <w:b w:val="0"/>
          <w:spacing w:val="-4"/>
          <w:sz w:val="32"/>
          <w:szCs w:val="32"/>
        </w:rPr>
      </w:pPr>
      <w:r>
        <w:rPr>
          <w:rStyle w:val="19"/>
          <w:rFonts w:hint="eastAsia" w:ascii="方正仿宋_GBK" w:hAnsi="方正仿宋_GBK" w:eastAsia="方正仿宋_GBK" w:cs="方正仿宋_GBK"/>
          <w:b w:val="0"/>
          <w:spacing w:val="-4"/>
          <w:sz w:val="32"/>
          <w:szCs w:val="32"/>
        </w:rPr>
        <w:t>二、绩效评价工作开展情况</w:t>
      </w:r>
    </w:p>
    <w:p w14:paraId="2A7C8F94">
      <w:pPr>
        <w:keepNext w:val="0"/>
        <w:keepLines w:val="0"/>
        <w:pageBreakBefore w:val="0"/>
        <w:widowControl w:val="0"/>
        <w:kinsoku/>
        <w:wordWrap/>
        <w:overflowPunct/>
        <w:topLinePunct w:val="0"/>
        <w:autoSpaceDE w:val="0"/>
        <w:autoSpaceDN w:val="0"/>
        <w:bidi w:val="0"/>
        <w:adjustRightInd/>
        <w:snapToGrid/>
        <w:spacing w:line="560" w:lineRule="exact"/>
        <w:ind w:firstLine="627" w:firstLineChars="200"/>
        <w:jc w:val="left"/>
        <w:textAlignment w:val="top"/>
        <w:rPr>
          <w:rStyle w:val="19"/>
          <w:rFonts w:hint="eastAsia" w:ascii="方正仿宋_GBK" w:hAnsi="方正仿宋_GBK" w:eastAsia="方正仿宋_GBK" w:cs="方正仿宋_GBK"/>
          <w:spacing w:val="-4"/>
          <w:sz w:val="32"/>
          <w:szCs w:val="32"/>
        </w:rPr>
      </w:pPr>
      <w:r>
        <w:rPr>
          <w:rStyle w:val="19"/>
          <w:rFonts w:hint="eastAsia" w:ascii="方正仿宋_GBK" w:hAnsi="方正仿宋_GBK" w:eastAsia="方正仿宋_GBK" w:cs="方正仿宋_GBK"/>
          <w:spacing w:val="-4"/>
          <w:sz w:val="32"/>
          <w:szCs w:val="32"/>
        </w:rPr>
        <w:t>（一）绩效评价目的、对象和范围</w:t>
      </w:r>
    </w:p>
    <w:p w14:paraId="31328FFA">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left"/>
        <w:textAlignment w:val="top"/>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1.绩效评价的目的</w:t>
      </w:r>
      <w:r>
        <w:cr/>
      </w:r>
      <w:r>
        <w:rPr>
          <w:rStyle w:val="19"/>
          <w:rFonts w:hint="eastAsia" w:ascii="方正仿宋_GBK" w:hAnsi="方正仿宋_GBK" w:eastAsia="方正仿宋_GBK" w:cs="方正仿宋_GBK"/>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1995年前退休（退职）人生活补助资金预算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cr/>
      </w:r>
      <w:r>
        <w:rPr>
          <w:rStyle w:val="19"/>
          <w:rFonts w:hint="eastAsia" w:ascii="方正仿宋_GBK" w:hAnsi="方正仿宋_GBK" w:eastAsia="方正仿宋_GBK" w:cs="方正仿宋_GBK"/>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cr/>
      </w:r>
      <w:r>
        <w:rPr>
          <w:rStyle w:val="19"/>
          <w:rFonts w:hint="eastAsia" w:ascii="方正仿宋_GBK" w:hAnsi="方正仿宋_GBK" w:eastAsia="方正仿宋_GBK" w:cs="方正仿宋_GBK"/>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cr/>
      </w:r>
      <w:r>
        <w:rPr>
          <w:rStyle w:val="19"/>
          <w:rFonts w:hint="eastAsia" w:ascii="方正仿宋_GBK" w:hAnsi="方正仿宋_GBK" w:eastAsia="方正仿宋_GBK" w:cs="方正仿宋_GBK"/>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cr/>
      </w:r>
      <w:r>
        <w:rPr>
          <w:rStyle w:val="19"/>
          <w:rFonts w:hint="eastAsia" w:ascii="方正仿宋_GBK" w:hAnsi="方正仿宋_GBK" w:eastAsia="方正仿宋_GBK" w:cs="方正仿宋_GBK"/>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cr/>
      </w:r>
      <w:r>
        <w:rPr>
          <w:rStyle w:val="19"/>
          <w:rFonts w:hint="eastAsia" w:ascii="方正仿宋_GBK" w:hAnsi="方正仿宋_GBK" w:eastAsia="方正仿宋_GBK" w:cs="方正仿宋_GBK"/>
          <w:b w:val="0"/>
          <w:bCs w:val="0"/>
          <w:spacing w:val="-4"/>
          <w:sz w:val="32"/>
          <w:szCs w:val="32"/>
        </w:rPr>
        <w:t>2.绩效评价对象</w:t>
      </w:r>
      <w:r>
        <w:cr/>
      </w:r>
      <w:r>
        <w:rPr>
          <w:rStyle w:val="19"/>
          <w:rFonts w:hint="eastAsia" w:ascii="方正仿宋_GBK" w:hAnsi="方正仿宋_GBK" w:eastAsia="方正仿宋_GBK" w:cs="方正仿宋_GBK"/>
          <w:b w:val="0"/>
          <w:bCs w:val="0"/>
          <w:spacing w:val="-4"/>
          <w:sz w:val="32"/>
          <w:szCs w:val="32"/>
        </w:rPr>
        <w:t>此次我单位根据《财政支出绩效评价管理暂行办法》（财预〔2020〕10号）文件要求实施评价工作，本次评价对象为1995年前退休（退职）人生活补助资金预算项目，评价核心为项目的资金投入、产出及效益。</w:t>
      </w:r>
      <w:r>
        <w:cr/>
      </w:r>
      <w:r>
        <w:rPr>
          <w:rStyle w:val="19"/>
          <w:rFonts w:hint="eastAsia" w:ascii="方正仿宋_GBK" w:hAnsi="方正仿宋_GBK" w:eastAsia="方正仿宋_GBK" w:cs="方正仿宋_GBK"/>
          <w:b w:val="0"/>
          <w:bCs w:val="0"/>
          <w:spacing w:val="-4"/>
          <w:sz w:val="32"/>
          <w:szCs w:val="32"/>
        </w:rPr>
        <w:t>3.绩效评价范围</w:t>
      </w:r>
      <w:r>
        <w:cr/>
      </w:r>
      <w:r>
        <w:rPr>
          <w:rStyle w:val="19"/>
          <w:rFonts w:hint="eastAsia" w:ascii="方正仿宋_GBK" w:hAnsi="方正仿宋_GBK" w:eastAsia="方正仿宋_GBK" w:cs="方正仿宋_GBK"/>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27D87751">
      <w:pPr>
        <w:keepNext w:val="0"/>
        <w:keepLines w:val="0"/>
        <w:pageBreakBefore w:val="0"/>
        <w:widowControl w:val="0"/>
        <w:kinsoku/>
        <w:wordWrap/>
        <w:overflowPunct/>
        <w:topLinePunct w:val="0"/>
        <w:autoSpaceDE w:val="0"/>
        <w:autoSpaceDN w:val="0"/>
        <w:bidi w:val="0"/>
        <w:adjustRightInd/>
        <w:snapToGrid/>
        <w:spacing w:line="560" w:lineRule="exact"/>
        <w:ind w:firstLine="627" w:firstLineChars="200"/>
        <w:jc w:val="left"/>
        <w:textAlignment w:val="top"/>
        <w:rPr>
          <w:rStyle w:val="19"/>
          <w:rFonts w:hint="eastAsia" w:ascii="方正仿宋_GBK" w:hAnsi="方正仿宋_GBK" w:eastAsia="方正仿宋_GBK" w:cs="方正仿宋_GBK"/>
          <w:spacing w:val="-4"/>
          <w:sz w:val="32"/>
          <w:szCs w:val="32"/>
        </w:rPr>
      </w:pPr>
      <w:r>
        <w:rPr>
          <w:rStyle w:val="19"/>
          <w:rFonts w:hint="eastAsia" w:ascii="方正仿宋_GBK" w:hAnsi="方正仿宋_GBK" w:eastAsia="方正仿宋_GBK" w:cs="方正仿宋_GBK"/>
          <w:spacing w:val="-4"/>
          <w:sz w:val="32"/>
          <w:szCs w:val="32"/>
        </w:rPr>
        <w:t>（二）绩效评价原则、评价指标体系、评价方法、评价标准</w:t>
      </w:r>
    </w:p>
    <w:p w14:paraId="17BD98F2">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left"/>
        <w:textAlignment w:val="top"/>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1.绩效评价原则</w:t>
      </w:r>
      <w:r>
        <w:cr/>
      </w:r>
      <w:r>
        <w:rPr>
          <w:rStyle w:val="19"/>
          <w:rFonts w:hint="eastAsia" w:ascii="方正仿宋_GBK" w:hAnsi="方正仿宋_GBK" w:eastAsia="方正仿宋_GBK" w:cs="方正仿宋_GBK"/>
          <w:b w:val="0"/>
          <w:bCs w:val="0"/>
          <w:spacing w:val="-4"/>
          <w:sz w:val="32"/>
          <w:szCs w:val="32"/>
        </w:rPr>
        <w:t>绩效评价应遵循如下原则：</w:t>
      </w:r>
      <w:r>
        <w:cr/>
      </w:r>
      <w:r>
        <w:rPr>
          <w:rStyle w:val="19"/>
          <w:rFonts w:hint="eastAsia" w:ascii="方正仿宋_GBK" w:hAnsi="方正仿宋_GBK" w:eastAsia="方正仿宋_GBK" w:cs="方正仿宋_GBK"/>
          <w:b w:val="0"/>
          <w:bCs w:val="0"/>
          <w:spacing w:val="-4"/>
          <w:sz w:val="32"/>
          <w:szCs w:val="32"/>
        </w:rPr>
        <w:t>（1）科学公正。绩效评价应当运用科学合理的方法，按照规范的程序，对项目绩效进行客观、公正地反映。</w:t>
      </w:r>
      <w:r>
        <w:cr/>
      </w:r>
      <w:r>
        <w:rPr>
          <w:rStyle w:val="19"/>
          <w:rFonts w:hint="eastAsia" w:ascii="方正仿宋_GBK" w:hAnsi="方正仿宋_GBK" w:eastAsia="方正仿宋_GBK" w:cs="方正仿宋_GBK"/>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Style w:val="19"/>
          <w:rFonts w:hint="eastAsia" w:ascii="方正仿宋_GBK" w:hAnsi="方正仿宋_GBK" w:eastAsia="方正仿宋_GBK" w:cs="方正仿宋_GBK"/>
          <w:b w:val="0"/>
          <w:bCs w:val="0"/>
          <w:spacing w:val="-4"/>
          <w:sz w:val="32"/>
          <w:szCs w:val="32"/>
        </w:rPr>
        <w:t>（3）激励约束。绩效评价结果应与预算安排、政策调整、改进管理实质性挂钩，体现奖优罚劣和激励相容导向，有效要安排、低效要压减、无效要问责。</w:t>
      </w:r>
      <w:r>
        <w:cr/>
      </w:r>
      <w:r>
        <w:rPr>
          <w:rStyle w:val="19"/>
          <w:rFonts w:hint="eastAsia" w:ascii="方正仿宋_GBK" w:hAnsi="方正仿宋_GBK" w:eastAsia="方正仿宋_GBK" w:cs="方正仿宋_GBK"/>
          <w:b w:val="0"/>
          <w:bCs w:val="0"/>
          <w:spacing w:val="-4"/>
          <w:sz w:val="32"/>
          <w:szCs w:val="32"/>
        </w:rPr>
        <w:t>（4）公开透明。绩效评价结果应依法依规公开，并自觉接受社会监督。</w:t>
      </w:r>
      <w:r>
        <w:cr/>
      </w:r>
      <w:r>
        <w:rPr>
          <w:rStyle w:val="19"/>
          <w:rFonts w:hint="eastAsia" w:ascii="方正仿宋_GBK" w:hAnsi="方正仿宋_GBK" w:eastAsia="方正仿宋_GBK" w:cs="方正仿宋_GBK"/>
          <w:b w:val="0"/>
          <w:bCs w:val="0"/>
          <w:spacing w:val="-4"/>
          <w:sz w:val="32"/>
          <w:szCs w:val="32"/>
        </w:rPr>
        <w:t>根据以上原则，绩效评价应遵循如下要求:</w:t>
      </w:r>
      <w:r>
        <w:cr/>
      </w:r>
      <w:r>
        <w:rPr>
          <w:rStyle w:val="19"/>
          <w:rFonts w:hint="eastAsia" w:ascii="方正仿宋_GBK" w:hAnsi="方正仿宋_GBK" w:eastAsia="方正仿宋_GBK" w:cs="方正仿宋_GBK"/>
          <w:b w:val="0"/>
          <w:bCs w:val="0"/>
          <w:spacing w:val="-4"/>
          <w:sz w:val="32"/>
          <w:szCs w:val="32"/>
        </w:rPr>
        <w:t>（1）在数据采集时，采取客观数据，主管部门审查、社会中介组织复查，与问卷调查相结合的形式，以保证各项指标的真实性。</w:t>
      </w:r>
      <w:r>
        <w:cr/>
      </w:r>
      <w:r>
        <w:rPr>
          <w:rStyle w:val="19"/>
          <w:rFonts w:hint="eastAsia" w:ascii="方正仿宋_GBK" w:hAnsi="方正仿宋_GBK" w:eastAsia="方正仿宋_GBK" w:cs="方正仿宋_GBK"/>
          <w:b w:val="0"/>
          <w:bCs w:val="0"/>
          <w:spacing w:val="-4"/>
          <w:sz w:val="32"/>
          <w:szCs w:val="32"/>
        </w:rPr>
        <w:t>（2）保证评价结果的真实性、公正性，提高评价报告的公信力。</w:t>
      </w:r>
      <w:r>
        <w:cr/>
      </w:r>
      <w:r>
        <w:rPr>
          <w:rStyle w:val="19"/>
          <w:rFonts w:hint="eastAsia" w:ascii="方正仿宋_GBK" w:hAnsi="方正仿宋_GBK" w:eastAsia="方正仿宋_GBK" w:cs="方正仿宋_GBK"/>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cr/>
      </w:r>
      <w:r>
        <w:rPr>
          <w:rStyle w:val="19"/>
          <w:rFonts w:hint="eastAsia" w:ascii="方正仿宋_GBK" w:hAnsi="方正仿宋_GBK" w:eastAsia="方正仿宋_GBK" w:cs="方正仿宋_GBK"/>
          <w:b w:val="0"/>
          <w:bCs w:val="0"/>
          <w:spacing w:val="-4"/>
          <w:sz w:val="32"/>
          <w:szCs w:val="32"/>
        </w:rPr>
        <w:t>2.绩效评价指标体系</w:t>
      </w:r>
      <w:r>
        <w:cr/>
      </w:r>
      <w:r>
        <w:rPr>
          <w:rStyle w:val="19"/>
          <w:rFonts w:hint="eastAsia" w:ascii="方正仿宋_GBK" w:hAnsi="方正仿宋_GBK" w:eastAsia="方正仿宋_GBK" w:cs="方正仿宋_GBK"/>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cr/>
      </w:r>
      <w:r>
        <w:rPr>
          <w:rStyle w:val="19"/>
          <w:rFonts w:hint="eastAsia" w:ascii="方正仿宋_GBK" w:hAnsi="方正仿宋_GBK" w:eastAsia="方正仿宋_GBK" w:cs="方正仿宋_GBK"/>
          <w:b w:val="0"/>
          <w:bCs w:val="0"/>
          <w:spacing w:val="-4"/>
          <w:sz w:val="32"/>
          <w:szCs w:val="32"/>
        </w:rPr>
        <w:t>3.评价方法</w:t>
      </w:r>
      <w:r>
        <w:cr/>
      </w:r>
      <w:r>
        <w:rPr>
          <w:rStyle w:val="19"/>
          <w:rFonts w:hint="eastAsia" w:ascii="方正仿宋_GBK" w:hAnsi="方正仿宋_GBK" w:eastAsia="方正仿宋_GBK" w:cs="方正仿宋_GBK"/>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cr/>
      </w:r>
      <w:r>
        <w:rPr>
          <w:rStyle w:val="19"/>
          <w:rFonts w:hint="eastAsia" w:ascii="方正仿宋_GBK" w:hAnsi="方正仿宋_GBK" w:eastAsia="方正仿宋_GBK" w:cs="方正仿宋_GBK"/>
          <w:b w:val="0"/>
          <w:bCs w:val="0"/>
          <w:spacing w:val="-4"/>
          <w:sz w:val="32"/>
          <w:szCs w:val="32"/>
        </w:rPr>
        <w:t>三级指标分析环节：总体采用比较法，同时辅以文献法、成本效益法、因素分析法以及公众评判法，根据不同三级指标类型进行逐项分析。</w:t>
      </w:r>
      <w:r>
        <w:rPr>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cr/>
      </w:r>
      <w:r>
        <w:rPr>
          <w:rStyle w:val="19"/>
          <w:rFonts w:hint="eastAsia" w:ascii="方正仿宋_GBK" w:hAnsi="方正仿宋_GBK" w:eastAsia="方正仿宋_GBK" w:cs="方正仿宋_GBK"/>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cr/>
      </w:r>
      <w:r>
        <w:rPr>
          <w:rStyle w:val="19"/>
          <w:rFonts w:hint="eastAsia" w:ascii="方正仿宋_GBK" w:hAnsi="方正仿宋_GBK" w:eastAsia="方正仿宋_GBK" w:cs="方正仿宋_GBK"/>
          <w:b w:val="0"/>
          <w:bCs w:val="0"/>
          <w:spacing w:val="-4"/>
          <w:sz w:val="32"/>
          <w:szCs w:val="32"/>
        </w:rPr>
        <w:t>立项依据充分性：比较法、文献法，查找法律法规政策以及规划，对比实际执行内容和政策支持内容是否匹配。</w:t>
      </w:r>
      <w:r>
        <w:cr/>
      </w:r>
      <w:r>
        <w:rPr>
          <w:rStyle w:val="19"/>
          <w:rFonts w:hint="eastAsia" w:ascii="方正仿宋_GBK" w:hAnsi="方正仿宋_GBK" w:eastAsia="方正仿宋_GBK" w:cs="方正仿宋_GBK"/>
          <w:b w:val="0"/>
          <w:bCs w:val="0"/>
          <w:spacing w:val="-4"/>
          <w:sz w:val="32"/>
          <w:szCs w:val="32"/>
        </w:rPr>
        <w:t>立项程序规范性：比较法、文献法，查找相关项目设立的政策和文件要求，对比分析实际执行程序是否按照政策及文件要求执行，分析立项程序的规范性。</w:t>
      </w:r>
      <w:r>
        <w:cr/>
      </w:r>
      <w:r>
        <w:rPr>
          <w:rStyle w:val="19"/>
          <w:rFonts w:hint="eastAsia" w:ascii="方正仿宋_GBK" w:hAnsi="方正仿宋_GBK" w:eastAsia="方正仿宋_GBK" w:cs="方正仿宋_GBK"/>
          <w:b w:val="0"/>
          <w:bCs w:val="0"/>
          <w:spacing w:val="-4"/>
          <w:sz w:val="32"/>
          <w:szCs w:val="32"/>
        </w:rPr>
        <w:t>绩效目标合理性：比较法，对比分析年初编制项目支出绩效目标表与项目内容的相关性、资金的匹配性等。</w:t>
      </w:r>
      <w:r>
        <w:cr/>
      </w:r>
      <w:r>
        <w:rPr>
          <w:rStyle w:val="19"/>
          <w:rFonts w:hint="eastAsia" w:ascii="方正仿宋_GBK" w:hAnsi="方正仿宋_GBK" w:eastAsia="方正仿宋_GBK" w:cs="方正仿宋_GBK"/>
          <w:b w:val="0"/>
          <w:bCs w:val="0"/>
          <w:spacing w:val="-4"/>
          <w:sz w:val="32"/>
          <w:szCs w:val="32"/>
        </w:rPr>
        <w:t>绩效指标明确性：比较法，比较分析年初编制项目支出绩效目标表是否符合双七原则，是否可衡量。</w:t>
      </w:r>
      <w:r>
        <w:cr/>
      </w:r>
      <w:r>
        <w:rPr>
          <w:rStyle w:val="19"/>
          <w:rFonts w:hint="eastAsia" w:ascii="方正仿宋_GBK" w:hAnsi="方正仿宋_GBK" w:eastAsia="方正仿宋_GBK" w:cs="方正仿宋_GBK"/>
          <w:b w:val="0"/>
          <w:bCs w:val="0"/>
          <w:spacing w:val="-4"/>
          <w:sz w:val="32"/>
          <w:szCs w:val="32"/>
        </w:rPr>
        <w:t>预算编制科学性：成本效益分析法，分析在产出一定的情况下，成本取值是否有依据，是否经过询价，是否按照市场最低成本编制。</w:t>
      </w:r>
      <w:r>
        <w:cr/>
      </w:r>
      <w:r>
        <w:rPr>
          <w:rStyle w:val="19"/>
          <w:rFonts w:hint="eastAsia" w:ascii="方正仿宋_GBK" w:hAnsi="方正仿宋_GBK" w:eastAsia="方正仿宋_GBK" w:cs="方正仿宋_GBK"/>
          <w:b w:val="0"/>
          <w:bCs w:val="0"/>
          <w:spacing w:val="-4"/>
          <w:sz w:val="32"/>
          <w:szCs w:val="32"/>
        </w:rPr>
        <w:t>资金分配合理性：因素分析法，综合分析资金的分配依据是否充分，分配金额是否与项目实施单位需求金额一致，</w:t>
      </w:r>
      <w:r>
        <w:cr/>
      </w:r>
      <w:r>
        <w:rPr>
          <w:rStyle w:val="19"/>
          <w:rFonts w:hint="eastAsia" w:ascii="方正仿宋_GBK" w:hAnsi="方正仿宋_GBK" w:eastAsia="方正仿宋_GBK" w:cs="方正仿宋_GBK"/>
          <w:b w:val="0"/>
          <w:bCs w:val="0"/>
          <w:spacing w:val="-4"/>
          <w:sz w:val="32"/>
          <w:szCs w:val="32"/>
        </w:rPr>
        <w:t>资金到位率：比较法，资金到位率预期指标值应为100%，通过实际计算，分析实际完成值和预期指标值之间的差距和原因。</w:t>
      </w:r>
      <w:r>
        <w:cr/>
      </w:r>
      <w:r>
        <w:rPr>
          <w:rStyle w:val="19"/>
          <w:rFonts w:hint="eastAsia" w:ascii="方正仿宋_GBK" w:hAnsi="方正仿宋_GBK" w:eastAsia="方正仿宋_GBK" w:cs="方正仿宋_GBK"/>
          <w:b w:val="0"/>
          <w:bCs w:val="0"/>
          <w:spacing w:val="-4"/>
          <w:sz w:val="32"/>
          <w:szCs w:val="32"/>
        </w:rPr>
        <w:t>预算执行率：比较法，预算执行率预期指标值应为100%，通过实际计算，分析实际完成值和预期指标值之间的差距和原因。</w:t>
      </w:r>
      <w:r>
        <w:cr/>
      </w:r>
      <w:r>
        <w:rPr>
          <w:rStyle w:val="19"/>
          <w:rFonts w:hint="eastAsia" w:ascii="方正仿宋_GBK" w:hAnsi="方正仿宋_GBK" w:eastAsia="方正仿宋_GBK" w:cs="方正仿宋_GBK"/>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cr/>
      </w:r>
      <w:r>
        <w:rPr>
          <w:rStyle w:val="19"/>
          <w:rFonts w:hint="eastAsia" w:ascii="方正仿宋_GBK" w:hAnsi="方正仿宋_GBK" w:eastAsia="方正仿宋_GBK" w:cs="方正仿宋_GBK"/>
          <w:b w:val="0"/>
          <w:bCs w:val="0"/>
          <w:spacing w:val="-4"/>
          <w:sz w:val="32"/>
          <w:szCs w:val="32"/>
        </w:rPr>
        <w:t>管理制度健全性：文献法、比较法，查阅项目实施人员提供的财务和业务管理制度，将已建立的制度与现行的法律法规和政策求进行对比，分析项目制度的合法性、合规性、完整性。</w:t>
      </w:r>
      <w:r>
        <w:cr/>
      </w:r>
      <w:r>
        <w:rPr>
          <w:rStyle w:val="19"/>
          <w:rFonts w:hint="eastAsia" w:ascii="方正仿宋_GBK" w:hAnsi="方正仿宋_GBK" w:eastAsia="方正仿宋_GBK" w:cs="方正仿宋_GBK"/>
          <w:b w:val="0"/>
          <w:bCs w:val="0"/>
          <w:spacing w:val="-4"/>
          <w:sz w:val="32"/>
          <w:szCs w:val="32"/>
        </w:rPr>
        <w:t>制度执行有效性：比较法，结合项目实际实施过程性文件，根据已建设的财务管理制度和项目管理制度综合分析制度执行的有效性。</w:t>
      </w:r>
      <w:r>
        <w:cr/>
      </w:r>
      <w:r>
        <w:rPr>
          <w:rStyle w:val="19"/>
          <w:rFonts w:hint="eastAsia" w:ascii="方正仿宋_GBK" w:hAnsi="方正仿宋_GBK" w:eastAsia="方正仿宋_GBK" w:cs="方正仿宋_GBK"/>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cr/>
      </w:r>
      <w:r>
        <w:rPr>
          <w:rStyle w:val="19"/>
          <w:rFonts w:hint="eastAsia" w:ascii="方正仿宋_GBK" w:hAnsi="方正仿宋_GBK" w:eastAsia="方正仿宋_GBK" w:cs="方正仿宋_GBK"/>
          <w:b w:val="0"/>
          <w:bCs w:val="0"/>
          <w:spacing w:val="-4"/>
          <w:sz w:val="32"/>
          <w:szCs w:val="32"/>
        </w:rPr>
        <w:t>定性指标：公众评判法，通过问卷及抽样调查等方式评价本项目实施后社会公众对于其实施效果的满意程度。</w:t>
      </w:r>
      <w:r>
        <w:cr/>
      </w:r>
      <w:r>
        <w:rPr>
          <w:rStyle w:val="19"/>
          <w:rFonts w:hint="eastAsia" w:ascii="方正仿宋_GBK" w:hAnsi="方正仿宋_GBK" w:eastAsia="方正仿宋_GBK" w:cs="方正仿宋_GBK"/>
          <w:b w:val="0"/>
          <w:bCs w:val="0"/>
          <w:spacing w:val="-4"/>
          <w:sz w:val="32"/>
          <w:szCs w:val="32"/>
        </w:rPr>
        <w:t>4.评价标准</w:t>
      </w:r>
      <w:r>
        <w:cr/>
      </w:r>
      <w:r>
        <w:rPr>
          <w:rStyle w:val="19"/>
          <w:rFonts w:hint="eastAsia" w:ascii="方正仿宋_GBK" w:hAnsi="方正仿宋_GBK" w:eastAsia="方正仿宋_GBK" w:cs="方正仿宋_GBK"/>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F8B0967">
      <w:pPr>
        <w:keepNext w:val="0"/>
        <w:keepLines w:val="0"/>
        <w:pageBreakBefore w:val="0"/>
        <w:widowControl w:val="0"/>
        <w:kinsoku/>
        <w:wordWrap/>
        <w:overflowPunct/>
        <w:topLinePunct w:val="0"/>
        <w:autoSpaceDE w:val="0"/>
        <w:autoSpaceDN w:val="0"/>
        <w:bidi w:val="0"/>
        <w:adjustRightInd/>
        <w:snapToGrid/>
        <w:spacing w:line="560" w:lineRule="exact"/>
        <w:ind w:firstLine="627" w:firstLineChars="200"/>
        <w:jc w:val="left"/>
        <w:textAlignment w:val="top"/>
        <w:rPr>
          <w:rStyle w:val="19"/>
          <w:rFonts w:hint="eastAsia" w:ascii="方正仿宋_GBK" w:hAnsi="方正仿宋_GBK" w:eastAsia="方正仿宋_GBK" w:cs="方正仿宋_GBK"/>
          <w:spacing w:val="-4"/>
          <w:sz w:val="32"/>
          <w:szCs w:val="32"/>
        </w:rPr>
      </w:pPr>
      <w:r>
        <w:rPr>
          <w:rStyle w:val="19"/>
          <w:rFonts w:hint="eastAsia" w:ascii="方正仿宋_GBK" w:hAnsi="方正仿宋_GBK" w:eastAsia="方正仿宋_GBK" w:cs="方正仿宋_GBK"/>
          <w:spacing w:val="-4"/>
          <w:sz w:val="32"/>
          <w:szCs w:val="32"/>
        </w:rPr>
        <w:t>（三）绩效评价工作过程</w:t>
      </w:r>
    </w:p>
    <w:p w14:paraId="7E4D8572">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left"/>
        <w:textAlignment w:val="top"/>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1.前期准备</w:t>
      </w:r>
      <w:r>
        <w:cr/>
      </w:r>
      <w:r>
        <w:rPr>
          <w:rStyle w:val="19"/>
          <w:rFonts w:hint="eastAsia" w:ascii="方正仿宋_GBK" w:hAnsi="方正仿宋_GBK" w:eastAsia="方正仿宋_GBK" w:cs="方正仿宋_GBK"/>
          <w:b w:val="0"/>
          <w:bCs w:val="0"/>
          <w:spacing w:val="-4"/>
          <w:sz w:val="32"/>
          <w:szCs w:val="32"/>
        </w:rPr>
        <w:t>我单位于2025年2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cr/>
      </w:r>
      <w:r>
        <w:rPr>
          <w:rStyle w:val="19"/>
          <w:rFonts w:hint="eastAsia" w:ascii="方正仿宋_GBK" w:hAnsi="方正仿宋_GBK" w:eastAsia="方正仿宋_GBK" w:cs="方正仿宋_GBK"/>
          <w:b w:val="0"/>
          <w:bCs w:val="0"/>
          <w:spacing w:val="-4"/>
          <w:sz w:val="32"/>
          <w:szCs w:val="32"/>
        </w:rPr>
        <w:t>马应成（评价小组组长）：主要负责审核并解决项目实施过程所有相关问题，复核绩效评价报告质量;</w:t>
      </w:r>
      <w:r>
        <w:cr/>
      </w:r>
      <w:r>
        <w:rPr>
          <w:rStyle w:val="19"/>
          <w:rFonts w:hint="eastAsia" w:ascii="方正仿宋_GBK" w:hAnsi="方正仿宋_GBK" w:eastAsia="方正仿宋_GBK" w:cs="方正仿宋_GBK"/>
          <w:b w:val="0"/>
          <w:bCs w:val="0"/>
          <w:spacing w:val="-4"/>
          <w:sz w:val="32"/>
          <w:szCs w:val="32"/>
        </w:rPr>
        <w:t>杨建（评价小组组员）：主要负责收集项目绩效相关所有资料，负责报告中数据的核实;</w:t>
      </w:r>
      <w:r>
        <w:cr/>
      </w:r>
      <w:r>
        <w:rPr>
          <w:rStyle w:val="19"/>
          <w:rFonts w:hint="eastAsia" w:ascii="方正仿宋_GBK" w:hAnsi="方正仿宋_GBK" w:eastAsia="方正仿宋_GBK" w:cs="方正仿宋_GBK"/>
          <w:b w:val="0"/>
          <w:bCs w:val="0"/>
          <w:spacing w:val="-4"/>
          <w:sz w:val="32"/>
          <w:szCs w:val="32"/>
        </w:rPr>
        <w:t>汤华（评价小组组员）：主要负责编制绩效评价报告，编制绩效评价附件表格。</w:t>
      </w:r>
      <w:r>
        <w:cr/>
      </w:r>
      <w:r>
        <w:rPr>
          <w:rStyle w:val="19"/>
          <w:rFonts w:hint="eastAsia" w:ascii="方正仿宋_GBK" w:hAnsi="方正仿宋_GBK" w:eastAsia="方正仿宋_GBK" w:cs="方正仿宋_GBK"/>
          <w:b w:val="0"/>
          <w:bCs w:val="0"/>
          <w:spacing w:val="-4"/>
          <w:sz w:val="32"/>
          <w:szCs w:val="32"/>
        </w:rPr>
        <w:t>2.组织实施</w:t>
      </w:r>
      <w:r>
        <w:cr/>
      </w:r>
      <w:r>
        <w:rPr>
          <w:rStyle w:val="19"/>
          <w:rFonts w:hint="eastAsia" w:ascii="方正仿宋_GBK" w:hAnsi="方正仿宋_GBK" w:eastAsia="方正仿宋_GBK" w:cs="方正仿宋_GBK"/>
          <w:b w:val="0"/>
          <w:bCs w:val="0"/>
          <w:spacing w:val="-4"/>
          <w:sz w:val="32"/>
          <w:szCs w:val="32"/>
        </w:rPr>
        <w:t>2025年2月2日—2月20日，评价工作进入实施阶段。在数据采集方面，评价小组整理单位前期提交的资料，与项目实施负责人沟通，了解资金的内容、操作流程、管理机制、资金使用方向等情况并采集信息，了解项目设置背景及资金使用等情况。</w:t>
      </w:r>
      <w:r>
        <w:cr/>
      </w:r>
      <w:r>
        <w:rPr>
          <w:rStyle w:val="19"/>
          <w:rFonts w:hint="eastAsia" w:ascii="方正仿宋_GBK" w:hAnsi="方正仿宋_GBK" w:eastAsia="方正仿宋_GBK" w:cs="方正仿宋_GBK"/>
          <w:b w:val="0"/>
          <w:bCs w:val="0"/>
          <w:spacing w:val="-4"/>
          <w:sz w:val="32"/>
          <w:szCs w:val="32"/>
        </w:rPr>
        <w:t>3.分析评价</w:t>
      </w:r>
      <w:r>
        <w:cr/>
      </w:r>
      <w:r>
        <w:rPr>
          <w:rStyle w:val="19"/>
          <w:rFonts w:hint="eastAsia" w:ascii="方正仿宋_GBK" w:hAnsi="方正仿宋_GBK" w:eastAsia="方正仿宋_GBK" w:cs="方正仿宋_GBK"/>
          <w:b w:val="0"/>
          <w:bCs w:val="0"/>
          <w:spacing w:val="-4"/>
          <w:sz w:val="32"/>
          <w:szCs w:val="32"/>
        </w:rPr>
        <w:t>2025年2月21日—3月10日，评价小组按照绩效评价的原则和规范，对取得的资料进行审查核实，对采集的数据进行分析，按照绩效评价指标评分表逐项进行打分、分析、汇总各方评价结果。</w:t>
      </w:r>
      <w:r>
        <w:cr/>
      </w:r>
      <w:r>
        <w:rPr>
          <w:rStyle w:val="19"/>
          <w:rFonts w:hint="eastAsia" w:ascii="方正仿宋_GBK" w:hAnsi="方正仿宋_GBK" w:eastAsia="方正仿宋_GBK" w:cs="方正仿宋_GBK"/>
          <w:b w:val="0"/>
          <w:bCs w:val="0"/>
          <w:spacing w:val="-4"/>
          <w:sz w:val="32"/>
          <w:szCs w:val="32"/>
        </w:rPr>
        <w:t>4.撰写与提交评价报告</w:t>
      </w:r>
      <w:r>
        <w:cr/>
      </w:r>
      <w:r>
        <w:rPr>
          <w:rStyle w:val="19"/>
          <w:rFonts w:hint="eastAsia" w:ascii="方正仿宋_GBK" w:hAnsi="方正仿宋_GBK" w:eastAsia="方正仿宋_GBK" w:cs="方正仿宋_GBK"/>
          <w:b w:val="0"/>
          <w:bCs w:val="0"/>
          <w:spacing w:val="-4"/>
          <w:sz w:val="32"/>
          <w:szCs w:val="32"/>
        </w:rPr>
        <w:t>2025年3月11日—3月31日评价小组撰写绩效评价报告，按照新疆维吾尔自治区财政绩效管理信息系统绩效评价模块中统一格式和文本框架撰写绩效评价报告并提交审核。</w:t>
      </w:r>
      <w:r>
        <w:cr/>
      </w:r>
      <w:r>
        <w:rPr>
          <w:rStyle w:val="19"/>
          <w:rFonts w:hint="eastAsia" w:ascii="方正仿宋_GBK" w:hAnsi="方正仿宋_GBK" w:eastAsia="方正仿宋_GBK" w:cs="方正仿宋_GBK"/>
          <w:b w:val="0"/>
          <w:bCs w:val="0"/>
          <w:spacing w:val="-4"/>
          <w:sz w:val="32"/>
          <w:szCs w:val="32"/>
        </w:rPr>
        <w:t>5.问题整改</w:t>
      </w:r>
      <w:r>
        <w:cr/>
      </w:r>
      <w:r>
        <w:rPr>
          <w:rStyle w:val="19"/>
          <w:rFonts w:hint="eastAsia" w:ascii="方正仿宋_GBK" w:hAnsi="方正仿宋_GBK" w:eastAsia="方正仿宋_GBK" w:cs="方正仿宋_GBK"/>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cr/>
      </w:r>
      <w:r>
        <w:rPr>
          <w:rStyle w:val="19"/>
          <w:rFonts w:hint="eastAsia" w:ascii="方正仿宋_GBK" w:hAnsi="方正仿宋_GBK" w:eastAsia="方正仿宋_GBK" w:cs="方正仿宋_GBK"/>
          <w:b w:val="0"/>
          <w:bCs w:val="0"/>
          <w:spacing w:val="-4"/>
          <w:sz w:val="32"/>
          <w:szCs w:val="32"/>
        </w:rPr>
        <w:t>6.档案整理</w:t>
      </w:r>
      <w:r>
        <w:cr/>
      </w:r>
      <w:r>
        <w:rPr>
          <w:rStyle w:val="19"/>
          <w:rFonts w:hint="eastAsia" w:ascii="方正仿宋_GBK" w:hAnsi="方正仿宋_GBK" w:eastAsia="方正仿宋_GBK" w:cs="方正仿宋_GBK"/>
          <w:b w:val="0"/>
          <w:bCs w:val="0"/>
          <w:spacing w:val="-4"/>
          <w:sz w:val="32"/>
          <w:szCs w:val="32"/>
        </w:rPr>
        <w:t>建立和落实档案管理制度，将项目相关资料存档，包括但不限于：评价项目基本情况和相关文件、评价实施方案、项目支付资料等相关档案。</w:t>
      </w:r>
    </w:p>
    <w:p w14:paraId="5CE0008F">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left"/>
        <w:textAlignment w:val="top"/>
        <w:rPr>
          <w:rStyle w:val="19"/>
          <w:rFonts w:hint="eastAsia" w:ascii="方正仿宋_GBK" w:hAnsi="方正仿宋_GBK" w:eastAsia="方正仿宋_GBK" w:cs="方正仿宋_GBK"/>
          <w:b w:val="0"/>
          <w:spacing w:val="-4"/>
          <w:sz w:val="32"/>
          <w:szCs w:val="32"/>
        </w:rPr>
      </w:pPr>
      <w:r>
        <w:rPr>
          <w:rStyle w:val="19"/>
          <w:rFonts w:hint="eastAsia" w:ascii="方正仿宋_GBK" w:hAnsi="方正仿宋_GBK" w:eastAsia="方正仿宋_GBK" w:cs="方正仿宋_GBK"/>
          <w:b w:val="0"/>
          <w:spacing w:val="-4"/>
          <w:sz w:val="32"/>
          <w:szCs w:val="32"/>
        </w:rPr>
        <w:t>三、综合评价情况及评价结论</w:t>
      </w:r>
    </w:p>
    <w:p w14:paraId="40493012">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left"/>
        <w:textAlignment w:val="top"/>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（一）综合评价情况</w:t>
      </w:r>
      <w:r>
        <w:cr/>
      </w:r>
      <w:r>
        <w:rPr>
          <w:rStyle w:val="19"/>
          <w:rFonts w:hint="eastAsia" w:ascii="方正仿宋_GBK" w:hAnsi="方正仿宋_GBK" w:eastAsia="方正仿宋_GBK" w:cs="方正仿宋_GBK"/>
          <w:b w:val="0"/>
          <w:bCs w:val="0"/>
          <w:spacing w:val="-4"/>
          <w:sz w:val="32"/>
          <w:szCs w:val="32"/>
        </w:rPr>
        <w:t>经评价，本项目达成年初设立的绩效目标，在实施过程中取得了良好的成效，具体表现在以下三方面：</w:t>
      </w:r>
      <w:r>
        <w:cr/>
      </w:r>
      <w:r>
        <w:rPr>
          <w:rStyle w:val="19"/>
          <w:rFonts w:hint="eastAsia" w:ascii="方正仿宋_GBK" w:hAnsi="方正仿宋_GBK" w:eastAsia="方正仿宋_GBK" w:cs="方正仿宋_GBK"/>
          <w:b w:val="0"/>
          <w:bCs w:val="0"/>
          <w:spacing w:val="-4"/>
          <w:sz w:val="32"/>
          <w:szCs w:val="32"/>
        </w:rPr>
        <w:t>一是落实政策，做好为1995年以前退休企业职工发放补助工作。根据新政办发〔2010〕168号文件要求，进一步做好提高1995年12月31日前办理退休（退职）手续的企业退休人员，有效提升了困难群众生活水平。</w:t>
      </w:r>
      <w:r>
        <w:cr/>
      </w:r>
      <w:r>
        <w:rPr>
          <w:rStyle w:val="19"/>
          <w:rFonts w:hint="eastAsia" w:ascii="方正仿宋_GBK" w:hAnsi="方正仿宋_GBK" w:eastAsia="方正仿宋_GBK" w:cs="方正仿宋_GBK"/>
          <w:b w:val="0"/>
          <w:bCs w:val="0"/>
          <w:spacing w:val="-4"/>
          <w:sz w:val="32"/>
          <w:szCs w:val="32"/>
        </w:rPr>
        <w:t>二是：精准识别，切实保障困难群众基本生活。对符合1995年12月31日前办理退休（退职）手续的企业退休人员、精准发放，切实保障困难群众基本生活。</w:t>
      </w:r>
      <w:r>
        <w:cr/>
      </w:r>
      <w:r>
        <w:rPr>
          <w:rStyle w:val="19"/>
          <w:rFonts w:hint="eastAsia" w:ascii="方正仿宋_GBK" w:hAnsi="方正仿宋_GBK" w:eastAsia="方正仿宋_GBK" w:cs="方正仿宋_GBK"/>
          <w:b w:val="0"/>
          <w:bCs w:val="0"/>
          <w:spacing w:val="-4"/>
          <w:sz w:val="32"/>
          <w:szCs w:val="32"/>
        </w:rPr>
        <w:t>三是：认真审核，确保资金及时足额发放。对下拨资金对发放对象信息进行核准排查，通过系统比对，严格核实受益群众姓名、身份证号等基础信息，动态调整实名制管理信息，确保补贴资金及时足额发放至困难群众卡中。有效提升了困难群众生活水平。</w:t>
      </w:r>
      <w:r>
        <w:rPr>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（二）评价结论</w:t>
      </w:r>
      <w:r>
        <w:cr/>
      </w:r>
      <w:r>
        <w:rPr>
          <w:rStyle w:val="19"/>
          <w:rFonts w:hint="eastAsia" w:ascii="方正仿宋_GBK" w:hAnsi="方正仿宋_GBK" w:eastAsia="方正仿宋_GBK" w:cs="方正仿宋_GBK"/>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w:t>
      </w:r>
      <w:r>
        <w:cr/>
      </w:r>
      <w:r>
        <w:rPr>
          <w:rStyle w:val="19"/>
          <w:rFonts w:hint="eastAsia" w:ascii="方正仿宋_GBK" w:hAnsi="方正仿宋_GBK" w:eastAsia="方正仿宋_GBK" w:cs="方正仿宋_GBK"/>
          <w:b w:val="0"/>
          <w:bCs w:val="0"/>
          <w:spacing w:val="-4"/>
          <w:sz w:val="32"/>
          <w:szCs w:val="32"/>
        </w:rPr>
        <w:t>项目决策类指标共设置6个，满分指标6个，权重分21分，得分21分，得分率100%；</w:t>
      </w:r>
      <w:r>
        <w:cr/>
      </w:r>
      <w:r>
        <w:rPr>
          <w:rStyle w:val="19"/>
          <w:rFonts w:hint="eastAsia" w:ascii="方正仿宋_GBK" w:hAnsi="方正仿宋_GBK" w:eastAsia="方正仿宋_GBK" w:cs="方正仿宋_GBK"/>
          <w:b w:val="0"/>
          <w:bCs w:val="0"/>
          <w:spacing w:val="-4"/>
          <w:sz w:val="32"/>
          <w:szCs w:val="32"/>
        </w:rPr>
        <w:t>过程管理类指标共设置5个，满分指标5个，权重分19分，得分19分，得分率100%；</w:t>
      </w:r>
      <w:r>
        <w:cr/>
      </w:r>
      <w:r>
        <w:rPr>
          <w:rStyle w:val="19"/>
          <w:rFonts w:hint="eastAsia" w:ascii="方正仿宋_GBK" w:hAnsi="方正仿宋_GBK" w:eastAsia="方正仿宋_GBK" w:cs="方正仿宋_GBK"/>
          <w:b w:val="0"/>
          <w:bCs w:val="0"/>
          <w:spacing w:val="-4"/>
          <w:sz w:val="32"/>
          <w:szCs w:val="32"/>
        </w:rPr>
        <w:t>项目产出类指标共设置5个，满分指标5个，权重分20分，得分20分，得分率100%；</w:t>
      </w:r>
      <w:r>
        <w:cr/>
      </w:r>
      <w:r>
        <w:rPr>
          <w:rStyle w:val="19"/>
          <w:rFonts w:hint="eastAsia" w:ascii="方正仿宋_GBK" w:hAnsi="方正仿宋_GBK" w:eastAsia="方正仿宋_GBK" w:cs="方正仿宋_GBK"/>
          <w:b w:val="0"/>
          <w:bCs w:val="0"/>
          <w:spacing w:val="-4"/>
          <w:sz w:val="32"/>
          <w:szCs w:val="32"/>
        </w:rPr>
        <w:t>项目效益类指标共设置2个，满分指标2个，权重分40分，得分40分，得分率100%。</w:t>
      </w:r>
      <w:r>
        <w:cr/>
      </w:r>
      <w:r>
        <w:rPr>
          <w:rStyle w:val="19"/>
          <w:rFonts w:hint="eastAsia" w:ascii="方正仿宋_GBK" w:hAnsi="方正仿宋_GBK" w:eastAsia="方正仿宋_GBK" w:cs="方正仿宋_GBK"/>
          <w:b w:val="0"/>
          <w:bCs w:val="0"/>
          <w:spacing w:val="-4"/>
          <w:sz w:val="32"/>
          <w:szCs w:val="32"/>
        </w:rPr>
        <w:t>详细情况见“附件2：项目综合得分表”。</w:t>
      </w:r>
    </w:p>
    <w:p w14:paraId="7372B76E">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left"/>
        <w:textAlignment w:val="top"/>
        <w:rPr>
          <w:rStyle w:val="19"/>
          <w:rFonts w:hint="eastAsia" w:ascii="方正仿宋_GBK" w:hAnsi="方正仿宋_GBK" w:eastAsia="方正仿宋_GBK" w:cs="方正仿宋_GBK"/>
        </w:rPr>
      </w:pPr>
      <w:r>
        <w:rPr>
          <w:rStyle w:val="19"/>
          <w:rFonts w:hint="eastAsia" w:ascii="方正仿宋_GBK" w:hAnsi="方正仿宋_GBK" w:eastAsia="方正仿宋_GBK" w:cs="方正仿宋_GBK"/>
          <w:b w:val="0"/>
          <w:spacing w:val="-4"/>
          <w:sz w:val="32"/>
          <w:szCs w:val="32"/>
        </w:rPr>
        <w:t>四、绩效评价指标分析</w:t>
      </w:r>
      <w:r>
        <w:rPr>
          <w:rStyle w:val="19"/>
          <w:rFonts w:hint="eastAsia" w:ascii="方正仿宋_GBK" w:hAnsi="方正仿宋_GBK" w:eastAsia="方正仿宋_GBK" w:cs="方正仿宋_GBK"/>
        </w:rPr>
        <w:t xml:space="preserve"> </w:t>
      </w:r>
    </w:p>
    <w:p w14:paraId="31E3EA1E">
      <w:pPr>
        <w:keepNext w:val="0"/>
        <w:keepLines w:val="0"/>
        <w:pageBreakBefore w:val="0"/>
        <w:widowControl w:val="0"/>
        <w:kinsoku/>
        <w:wordWrap/>
        <w:overflowPunct/>
        <w:topLinePunct w:val="0"/>
        <w:autoSpaceDE w:val="0"/>
        <w:autoSpaceDN w:val="0"/>
        <w:bidi w:val="0"/>
        <w:adjustRightInd/>
        <w:snapToGrid/>
        <w:spacing w:line="560" w:lineRule="exact"/>
        <w:ind w:firstLine="627" w:firstLineChars="200"/>
        <w:jc w:val="left"/>
        <w:textAlignment w:val="top"/>
        <w:rPr>
          <w:rFonts w:hint="eastAsia" w:ascii="方正仿宋_GBK" w:hAnsi="方正仿宋_GBK" w:eastAsia="方正仿宋_GBK" w:cs="方正仿宋_GBK"/>
          <w:b/>
          <w:spacing w:val="-4"/>
          <w:sz w:val="32"/>
          <w:szCs w:val="32"/>
        </w:rPr>
      </w:pPr>
      <w:r>
        <w:rPr>
          <w:rFonts w:hint="eastAsia" w:ascii="方正仿宋_GBK" w:hAnsi="方正仿宋_GBK" w:eastAsia="方正仿宋_GBK" w:cs="方正仿宋_GBK"/>
          <w:b/>
          <w:spacing w:val="-4"/>
          <w:sz w:val="32"/>
          <w:szCs w:val="32"/>
        </w:rPr>
        <w:t>（一）</w:t>
      </w:r>
      <w:r>
        <w:rPr>
          <w:rStyle w:val="19"/>
          <w:rFonts w:hint="eastAsia" w:ascii="方正仿宋_GBK" w:hAnsi="方正仿宋_GBK" w:eastAsia="方正仿宋_GBK" w:cs="方正仿宋_GBK"/>
          <w:spacing w:val="-4"/>
          <w:sz w:val="32"/>
          <w:szCs w:val="32"/>
        </w:rPr>
        <w:t>项目决策情况</w:t>
      </w:r>
    </w:p>
    <w:p w14:paraId="25B16CBF">
      <w:pPr>
        <w:keepNext w:val="0"/>
        <w:keepLines w:val="0"/>
        <w:pageBreakBefore w:val="0"/>
        <w:widowControl w:val="0"/>
        <w:tabs>
          <w:tab w:val="center" w:pos="4295"/>
        </w:tabs>
        <w:kinsoku/>
        <w:wordWrap/>
        <w:overflowPunct/>
        <w:topLinePunct w:val="0"/>
        <w:autoSpaceDE w:val="0"/>
        <w:autoSpaceDN w:val="0"/>
        <w:bidi w:val="0"/>
        <w:adjustRightInd/>
        <w:snapToGrid/>
        <w:spacing w:line="560" w:lineRule="exact"/>
        <w:ind w:firstLine="624" w:firstLineChars="200"/>
        <w:jc w:val="left"/>
        <w:textAlignment w:val="top"/>
        <w:rPr>
          <w:rStyle w:val="19"/>
          <w:rFonts w:hint="eastAsia" w:ascii="方正仿宋_GBK" w:hAnsi="方正仿宋_GBK" w:eastAsia="方正仿宋_GBK" w:cs="方正仿宋_GBK"/>
          <w:b w:val="0"/>
          <w:bCs w:val="0"/>
          <w:spacing w:val="-4"/>
          <w:sz w:val="32"/>
          <w:szCs w:val="32"/>
          <w:lang w:eastAsia="zh-CN"/>
        </w:rPr>
      </w:pPr>
      <w:r>
        <w:rPr>
          <w:rStyle w:val="19"/>
          <w:rFonts w:hint="eastAsia" w:ascii="方正仿宋_GBK" w:hAnsi="方正仿宋_GBK" w:eastAsia="方正仿宋_GBK" w:cs="方正仿宋_GBK"/>
          <w:b w:val="0"/>
          <w:bCs w:val="0"/>
          <w:spacing w:val="-4"/>
          <w:sz w:val="32"/>
          <w:szCs w:val="32"/>
        </w:rPr>
        <w:t>项目决策类指标由3个二级指标和6个三级指标构成，权重分21分，实际得分21分。</w:t>
      </w:r>
      <w:r>
        <w:cr/>
      </w:r>
      <w:r>
        <w:rPr>
          <w:rStyle w:val="19"/>
          <w:rFonts w:hint="eastAsia" w:ascii="方正仿宋_GBK" w:hAnsi="方正仿宋_GBK" w:eastAsia="方正仿宋_GBK" w:cs="方正仿宋_GBK"/>
          <w:b w:val="0"/>
          <w:bCs w:val="0"/>
          <w:spacing w:val="-4"/>
          <w:sz w:val="32"/>
          <w:szCs w:val="32"/>
        </w:rPr>
        <w:t>1.项目立项情况分析</w:t>
      </w:r>
      <w:r>
        <w:cr/>
      </w:r>
      <w:r>
        <w:rPr>
          <w:rStyle w:val="19"/>
          <w:rFonts w:hint="eastAsia" w:ascii="方正仿宋_GBK" w:hAnsi="方正仿宋_GBK" w:eastAsia="方正仿宋_GBK" w:cs="方正仿宋_GBK"/>
          <w:b w:val="0"/>
          <w:bCs w:val="0"/>
          <w:spacing w:val="-4"/>
          <w:sz w:val="32"/>
          <w:szCs w:val="32"/>
        </w:rPr>
        <w:t>（1）立项依据充分性</w:t>
      </w:r>
      <w:r>
        <w:cr/>
      </w:r>
      <w:r>
        <w:rPr>
          <w:rStyle w:val="19"/>
          <w:rFonts w:hint="eastAsia" w:ascii="方正仿宋_GBK" w:hAnsi="方正仿宋_GBK" w:eastAsia="方正仿宋_GBK" w:cs="方正仿宋_GBK"/>
          <w:b w:val="0"/>
          <w:bCs w:val="0"/>
          <w:spacing w:val="-4"/>
          <w:sz w:val="32"/>
          <w:szCs w:val="32"/>
        </w:rPr>
        <w:t>本项目立项符合新政办发〔2010〕168号文件中：“对参加自治区城镇企业职工基本养老保险统筹，并于1995年12月31日前办理退休（退职）手续的企业退休人员，按照每人每月120元标准发放生活补贴”的内容，符合行业发展规划和政策要求，本项目立项符合《社保单位配置内设机构和人员编制规定》中职责范围中的“负责就业、失业、社会保险基金预测预警和信息引导;拟订应对预案，实施预防、调节和控制，保持就业形势稳定和社会保险基金总体收支平衡”，属于我单位履职所需；根据《财政资金直接支付申请书》，本项目资金性质为“公共财政预算”功能分类为“2080502社会保障和就业支出”经济分类为“30302退休费”属于公共财政支持范围，符合中央、地方事权支出责任划分原则；经检查我单位财政应用平台指标，本项目不存在重复。</w:t>
      </w:r>
      <w:r>
        <w:cr/>
      </w:r>
      <w:r>
        <w:rPr>
          <w:rStyle w:val="19"/>
          <w:rFonts w:hint="eastAsia" w:ascii="方正仿宋_GBK" w:hAnsi="方正仿宋_GBK" w:eastAsia="方正仿宋_GBK" w:cs="方正仿宋_GBK"/>
          <w:b w:val="0"/>
          <w:bCs w:val="0"/>
          <w:spacing w:val="-4"/>
          <w:sz w:val="32"/>
          <w:szCs w:val="32"/>
        </w:rPr>
        <w:t>综上所述，本指标满分为5分，根据评分标准得5分，本项目立项依据充分。</w:t>
      </w:r>
      <w:r>
        <w:cr/>
      </w:r>
      <w:r>
        <w:rPr>
          <w:rStyle w:val="19"/>
          <w:rFonts w:hint="eastAsia" w:ascii="方正仿宋_GBK" w:hAnsi="方正仿宋_GBK" w:eastAsia="方正仿宋_GBK" w:cs="方正仿宋_GBK"/>
          <w:b w:val="0"/>
          <w:bCs w:val="0"/>
          <w:spacing w:val="-4"/>
          <w:sz w:val="32"/>
          <w:szCs w:val="32"/>
        </w:rPr>
        <w:t>（2）立项程序规范性</w:t>
      </w:r>
      <w:r>
        <w:cr/>
      </w:r>
      <w:r>
        <w:rPr>
          <w:rStyle w:val="19"/>
          <w:rFonts w:hint="eastAsia" w:ascii="方正仿宋_GBK" w:hAnsi="方正仿宋_GBK" w:eastAsia="方正仿宋_GBK" w:cs="方正仿宋_GBK"/>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新政办发〔2010〕168号文件要求实施项目。</w:t>
      </w:r>
      <w:r>
        <w:cr/>
      </w:r>
      <w:r>
        <w:rPr>
          <w:rStyle w:val="19"/>
          <w:rFonts w:hint="eastAsia" w:ascii="方正仿宋_GBK" w:hAnsi="方正仿宋_GBK" w:eastAsia="方正仿宋_GBK" w:cs="方正仿宋_GBK"/>
          <w:b w:val="0"/>
          <w:bCs w:val="0"/>
          <w:spacing w:val="-4"/>
          <w:sz w:val="32"/>
          <w:szCs w:val="32"/>
        </w:rPr>
        <w:t>综上所述，本指标满分为3分，根据评分标准得3分，本项目立项程序规范。</w:t>
      </w:r>
      <w:r>
        <w:cr/>
      </w:r>
      <w:r>
        <w:rPr>
          <w:rStyle w:val="19"/>
          <w:rFonts w:hint="eastAsia" w:ascii="方正仿宋_GBK" w:hAnsi="方正仿宋_GBK" w:eastAsia="方正仿宋_GBK" w:cs="方正仿宋_GBK"/>
          <w:b w:val="0"/>
          <w:bCs w:val="0"/>
          <w:spacing w:val="-4"/>
          <w:sz w:val="32"/>
          <w:szCs w:val="32"/>
        </w:rPr>
        <w:t>2.绩效目标情况分析</w:t>
      </w:r>
      <w:r>
        <w:cr/>
      </w:r>
      <w:r>
        <w:rPr>
          <w:rStyle w:val="19"/>
          <w:rFonts w:hint="eastAsia" w:ascii="方正仿宋_GBK" w:hAnsi="方正仿宋_GBK" w:eastAsia="方正仿宋_GBK" w:cs="方正仿宋_GBK"/>
          <w:b w:val="0"/>
          <w:bCs w:val="0"/>
          <w:spacing w:val="-4"/>
          <w:sz w:val="32"/>
          <w:szCs w:val="32"/>
        </w:rPr>
        <w:t>（1）绩效目标合理性</w:t>
      </w:r>
      <w:r>
        <w:cr/>
      </w:r>
      <w:r>
        <w:rPr>
          <w:rStyle w:val="19"/>
          <w:rFonts w:hint="eastAsia" w:ascii="方正仿宋_GBK" w:hAnsi="方正仿宋_GBK" w:eastAsia="方正仿宋_GBK" w:cs="方正仿宋_GBK"/>
          <w:b w:val="0"/>
          <w:bCs w:val="0"/>
          <w:spacing w:val="-4"/>
          <w:sz w:val="32"/>
          <w:szCs w:val="32"/>
        </w:rPr>
        <w:t>本项目已设置年度绩效目标，具体内容为“为1056名退休职工发放补助”。本项目实际工作内容为：截至2024年12月31日，本项目实际支出资金120万元，预算执行率为100.00%，为办理退休（退职）手续的1056名企业退休人员，按照每人每月120元标准发放生活补贴。实际已于2024年12月31日发放完毕；绩效目标与实际工作内容一致，两者具有相关性;本项目按照绩效目标完成了数量指标、质量指标、时效指标、成本指标，有效增加退休人员幸福感、获得感，年度绩效目标完成，预期产出效益和效果符合正常的业绩水平。</w:t>
      </w:r>
      <w:r>
        <w:cr/>
      </w:r>
      <w:r>
        <w:rPr>
          <w:rStyle w:val="19"/>
          <w:rFonts w:hint="eastAsia" w:ascii="方正仿宋_GBK" w:hAnsi="方正仿宋_GBK" w:eastAsia="方正仿宋_GBK" w:cs="方正仿宋_GBK"/>
          <w:b w:val="0"/>
          <w:bCs w:val="0"/>
          <w:spacing w:val="-4"/>
          <w:sz w:val="32"/>
          <w:szCs w:val="32"/>
        </w:rPr>
        <w:t>综上所述，本指标满分为4分，根据评分标准得4分，本项目绩效目标设置合理。</w:t>
      </w:r>
      <w:r>
        <w:cr/>
      </w:r>
      <w:r>
        <w:rPr>
          <w:rStyle w:val="19"/>
          <w:rFonts w:hint="eastAsia" w:ascii="方正仿宋_GBK" w:hAnsi="方正仿宋_GBK" w:eastAsia="方正仿宋_GBK" w:cs="方正仿宋_GBK"/>
          <w:b w:val="0"/>
          <w:bCs w:val="0"/>
          <w:spacing w:val="-4"/>
          <w:sz w:val="32"/>
          <w:szCs w:val="32"/>
        </w:rPr>
        <w:t>（2）绩效指标明确性</w:t>
      </w:r>
      <w:r>
        <w:cr/>
      </w:r>
      <w:r>
        <w:rPr>
          <w:rStyle w:val="19"/>
          <w:rFonts w:hint="eastAsia" w:ascii="方正仿宋_GBK" w:hAnsi="方正仿宋_GBK" w:eastAsia="方正仿宋_GBK" w:cs="方正仿宋_GBK"/>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5个，定性指标2个，指标量化率为71.43%，量化率达70.00%以上。</w:t>
      </w:r>
      <w:r>
        <w:cr/>
      </w:r>
      <w:r>
        <w:rPr>
          <w:rStyle w:val="19"/>
          <w:rFonts w:hint="eastAsia" w:ascii="方正仿宋_GBK" w:hAnsi="方正仿宋_GBK" w:eastAsia="方正仿宋_GBK" w:cs="方正仿宋_GBK"/>
          <w:b w:val="0"/>
          <w:bCs w:val="0"/>
          <w:spacing w:val="-4"/>
          <w:sz w:val="32"/>
          <w:szCs w:val="32"/>
        </w:rPr>
        <w:t>综上所述，本指标满分为3分，根据评分标准得3分，本项目所设置绩效指标明确。</w:t>
      </w:r>
      <w:r>
        <w:cr/>
      </w:r>
      <w:r>
        <w:rPr>
          <w:rStyle w:val="19"/>
          <w:rFonts w:hint="eastAsia" w:ascii="方正仿宋_GBK" w:hAnsi="方正仿宋_GBK" w:eastAsia="方正仿宋_GBK" w:cs="方正仿宋_GBK"/>
          <w:b w:val="0"/>
          <w:bCs w:val="0"/>
          <w:spacing w:val="-4"/>
          <w:sz w:val="32"/>
          <w:szCs w:val="32"/>
        </w:rPr>
        <w:t>3.资金投入情况分析</w:t>
      </w:r>
      <w:r>
        <w:cr/>
      </w:r>
      <w:r>
        <w:rPr>
          <w:rStyle w:val="19"/>
          <w:rFonts w:hint="eastAsia" w:ascii="方正仿宋_GBK" w:hAnsi="方正仿宋_GBK" w:eastAsia="方正仿宋_GBK" w:cs="方正仿宋_GBK"/>
          <w:b w:val="0"/>
          <w:bCs w:val="0"/>
          <w:spacing w:val="-4"/>
          <w:sz w:val="32"/>
          <w:szCs w:val="32"/>
        </w:rPr>
        <w:t>（1）预算编制科学性</w:t>
      </w:r>
      <w:r>
        <w:cr/>
      </w:r>
      <w:r>
        <w:rPr>
          <w:rStyle w:val="19"/>
          <w:rFonts w:hint="eastAsia" w:ascii="方正仿宋_GBK" w:hAnsi="方正仿宋_GBK" w:eastAsia="方正仿宋_GBK" w:cs="方正仿宋_GBK"/>
          <w:b w:val="0"/>
          <w:bCs w:val="0"/>
          <w:spacing w:val="-4"/>
          <w:sz w:val="32"/>
          <w:szCs w:val="32"/>
        </w:rPr>
        <w:t>预算编制本项目严格按照发放范围为参加自治区城职企业基本养老保险全国统筹，并于1995年12月31日前办理退休（退职）的企业退休人员，从待遇发放名册中按照单位性质、退休时间进行严格筛选，保证不漏发、不错发，即预算编制较科学且经过论证；预算申请内容为1995年前退休（退职）人员生活补助资金，项目实际内容为1056名退休职工发放补助，项目总投资为120万元，预算申请与《1995年前退休（退职）人员生活补助资金项目实施方案》中涉及的项目内容匹配；</w:t>
      </w:r>
      <w:r>
        <w:cr/>
      </w:r>
      <w:r>
        <w:rPr>
          <w:rStyle w:val="19"/>
          <w:rFonts w:hint="eastAsia" w:ascii="方正仿宋_GBK" w:hAnsi="方正仿宋_GBK" w:eastAsia="方正仿宋_GBK" w:cs="方正仿宋_GBK"/>
          <w:b w:val="0"/>
          <w:bCs w:val="0"/>
          <w:spacing w:val="-4"/>
          <w:sz w:val="32"/>
          <w:szCs w:val="32"/>
        </w:rPr>
        <w:t>本项目预算申请资金120万元，我单位在预算申请中严格按照单位标准和数量进行核算，其中：单位标准为12万元，数量为1。本项目预算额度测算依据充分，严格按照标准编制，预算确定资金量与实际工作任务相匹配；</w:t>
      </w:r>
      <w:r>
        <w:cr/>
      </w:r>
      <w:r>
        <w:rPr>
          <w:rStyle w:val="19"/>
          <w:rFonts w:hint="eastAsia" w:ascii="方正仿宋_GBK" w:hAnsi="方正仿宋_GBK" w:eastAsia="方正仿宋_GBK" w:cs="方正仿宋_GBK"/>
          <w:b w:val="0"/>
          <w:bCs w:val="0"/>
          <w:spacing w:val="-4"/>
          <w:sz w:val="32"/>
          <w:szCs w:val="32"/>
        </w:rPr>
        <w:t>综上所述，本指标满分为4分，根据评分标准4分，本项目预算编制科学。</w:t>
      </w:r>
      <w:r>
        <w:cr/>
      </w:r>
      <w:r>
        <w:rPr>
          <w:rStyle w:val="19"/>
          <w:rFonts w:hint="eastAsia" w:ascii="方正仿宋_GBK" w:hAnsi="方正仿宋_GBK" w:eastAsia="方正仿宋_GBK" w:cs="方正仿宋_GBK"/>
          <w:b w:val="0"/>
          <w:bCs w:val="0"/>
          <w:spacing w:val="-4"/>
          <w:sz w:val="32"/>
          <w:szCs w:val="32"/>
        </w:rPr>
        <w:t>（2）资金分配合理性</w:t>
      </w:r>
      <w:r>
        <w:cr/>
      </w:r>
      <w:r>
        <w:rPr>
          <w:rStyle w:val="19"/>
          <w:rFonts w:hint="eastAsia" w:ascii="方正仿宋_GBK" w:hAnsi="方正仿宋_GBK" w:eastAsia="方正仿宋_GBK" w:cs="方正仿宋_GBK"/>
          <w:b w:val="0"/>
          <w:bCs w:val="0"/>
          <w:spacing w:val="-4"/>
          <w:sz w:val="32"/>
          <w:szCs w:val="32"/>
        </w:rPr>
        <w:t>本项目实际分配资金以《关于申请1995年前退休（退职）人员生活补助资金项目资金的请示》和《1995年前退休（退职）人员生活补助资金项目实施方案》为依据进行资金分配，预算资金分配依据充分。根据《新政办发〔2010〕168号》文件显示，本项目实际到位资金120万元，实际分配资金与我单位提交申请的资金额度一致，资金分配额度合理，与我单位实际需求相适应。</w:t>
      </w:r>
      <w:r>
        <w:cr/>
      </w:r>
      <w:r>
        <w:rPr>
          <w:rStyle w:val="19"/>
          <w:rFonts w:hint="eastAsia" w:ascii="方正仿宋_GBK" w:hAnsi="方正仿宋_GBK" w:eastAsia="方正仿宋_GBK" w:cs="方正仿宋_GBK"/>
          <w:b w:val="0"/>
          <w:bCs w:val="0"/>
          <w:spacing w:val="-4"/>
          <w:sz w:val="32"/>
          <w:szCs w:val="32"/>
        </w:rPr>
        <w:t>综上所述，本指标满分为2分，根据评分标准得2分，本项目资金分配合理。</w:t>
      </w:r>
      <w:r>
        <w:rPr>
          <w:rStyle w:val="19"/>
          <w:rFonts w:hint="eastAsia" w:ascii="方正仿宋_GBK" w:hAnsi="方正仿宋_GBK" w:eastAsia="方正仿宋_GBK" w:cs="方正仿宋_GBK"/>
          <w:b w:val="0"/>
          <w:bCs w:val="0"/>
          <w:spacing w:val="-4"/>
          <w:sz w:val="32"/>
          <w:szCs w:val="32"/>
          <w:lang w:eastAsia="zh-CN"/>
        </w:rPr>
        <w:tab/>
      </w:r>
    </w:p>
    <w:p w14:paraId="2D716BB8">
      <w:pPr>
        <w:keepNext w:val="0"/>
        <w:keepLines w:val="0"/>
        <w:pageBreakBefore w:val="0"/>
        <w:widowControl w:val="0"/>
        <w:kinsoku/>
        <w:wordWrap/>
        <w:overflowPunct/>
        <w:topLinePunct w:val="0"/>
        <w:autoSpaceDE w:val="0"/>
        <w:autoSpaceDN w:val="0"/>
        <w:bidi w:val="0"/>
        <w:adjustRightInd/>
        <w:snapToGrid/>
        <w:spacing w:line="560" w:lineRule="exact"/>
        <w:ind w:firstLine="627" w:firstLineChars="200"/>
        <w:jc w:val="left"/>
        <w:textAlignment w:val="top"/>
        <w:rPr>
          <w:rStyle w:val="19"/>
          <w:rFonts w:hint="eastAsia" w:ascii="方正仿宋_GBK" w:hAnsi="方正仿宋_GBK" w:eastAsia="方正仿宋_GBK" w:cs="方正仿宋_GBK"/>
          <w:b/>
          <w:spacing w:val="-4"/>
          <w:sz w:val="32"/>
          <w:szCs w:val="32"/>
        </w:rPr>
      </w:pPr>
      <w:r>
        <w:rPr>
          <w:rFonts w:hint="eastAsia" w:ascii="方正仿宋_GBK" w:hAnsi="方正仿宋_GBK" w:eastAsia="方正仿宋_GBK" w:cs="方正仿宋_GBK"/>
          <w:b/>
          <w:spacing w:val="-4"/>
          <w:sz w:val="32"/>
          <w:szCs w:val="32"/>
        </w:rPr>
        <w:t>（</w:t>
      </w:r>
      <w:r>
        <w:rPr>
          <w:rFonts w:hint="eastAsia" w:ascii="方正仿宋_GBK" w:hAnsi="方正仿宋_GBK" w:eastAsia="方正仿宋_GBK" w:cs="方正仿宋_GBK"/>
          <w:b/>
          <w:spacing w:val="-4"/>
          <w:sz w:val="32"/>
          <w:szCs w:val="32"/>
          <w:lang w:val="en-US" w:eastAsia="zh-CN"/>
        </w:rPr>
        <w:t>二</w:t>
      </w:r>
      <w:r>
        <w:rPr>
          <w:rFonts w:hint="eastAsia" w:ascii="方正仿宋_GBK" w:hAnsi="方正仿宋_GBK" w:eastAsia="方正仿宋_GBK" w:cs="方正仿宋_GBK"/>
          <w:b/>
          <w:spacing w:val="-4"/>
          <w:sz w:val="32"/>
          <w:szCs w:val="32"/>
        </w:rPr>
        <w:t>）</w:t>
      </w:r>
      <w:r>
        <w:rPr>
          <w:rStyle w:val="19"/>
          <w:rFonts w:hint="eastAsia" w:ascii="方正仿宋_GBK" w:hAnsi="方正仿宋_GBK" w:eastAsia="方正仿宋_GBK" w:cs="方正仿宋_GBK"/>
          <w:spacing w:val="-4"/>
          <w:sz w:val="32"/>
          <w:szCs w:val="32"/>
        </w:rPr>
        <w:t>项目过程情况</w:t>
      </w:r>
    </w:p>
    <w:p w14:paraId="2464CDA4">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left"/>
        <w:textAlignment w:val="top"/>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项目过程管理类指标由2个二级指标和5个三级指标构成，权重分19分，实际得分19分。</w:t>
      </w:r>
      <w:r>
        <w:rPr>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1.资金管理情况分析</w:t>
      </w:r>
      <w:r>
        <w:cr/>
      </w:r>
      <w:r>
        <w:rPr>
          <w:rStyle w:val="19"/>
          <w:rFonts w:hint="eastAsia" w:ascii="方正仿宋_GBK" w:hAnsi="方正仿宋_GBK" w:eastAsia="方正仿宋_GBK" w:cs="方正仿宋_GBK"/>
          <w:b w:val="0"/>
          <w:bCs w:val="0"/>
          <w:spacing w:val="-4"/>
          <w:sz w:val="32"/>
          <w:szCs w:val="32"/>
        </w:rPr>
        <w:t>（1）资金到位率</w:t>
      </w:r>
      <w:r>
        <w:cr/>
      </w:r>
      <w:r>
        <w:rPr>
          <w:rStyle w:val="19"/>
          <w:rFonts w:hint="eastAsia" w:ascii="方正仿宋_GBK" w:hAnsi="方正仿宋_GBK" w:eastAsia="方正仿宋_GBK" w:cs="方正仿宋_GBK"/>
          <w:b w:val="0"/>
          <w:bCs w:val="0"/>
          <w:spacing w:val="-4"/>
          <w:sz w:val="32"/>
          <w:szCs w:val="32"/>
        </w:rPr>
        <w:t>本项目预算资金为120万元，其中：本级财政安排资金120万元，其他资金0万元，实际到位资金120万元，资金到位率=（实际到位资金/预算资金）×100%=（120/120）*100%=100%。得分=资金到位率*分值=100%*4=4分。</w:t>
      </w:r>
      <w:r>
        <w:cr/>
      </w:r>
      <w:r>
        <w:rPr>
          <w:rStyle w:val="19"/>
          <w:rFonts w:hint="eastAsia" w:ascii="方正仿宋_GBK" w:hAnsi="方正仿宋_GBK" w:eastAsia="方正仿宋_GBK" w:cs="方正仿宋_GBK"/>
          <w:b w:val="0"/>
          <w:bCs w:val="0"/>
          <w:spacing w:val="-4"/>
          <w:sz w:val="32"/>
          <w:szCs w:val="32"/>
        </w:rPr>
        <w:t>综上所述，本指标满分为4分，根据评分标准得4分，本项目资金分配合理。</w:t>
      </w:r>
      <w:r>
        <w:cr/>
      </w:r>
      <w:r>
        <w:rPr>
          <w:rStyle w:val="19"/>
          <w:rFonts w:hint="eastAsia" w:ascii="方正仿宋_GBK" w:hAnsi="方正仿宋_GBK" w:eastAsia="方正仿宋_GBK" w:cs="方正仿宋_GBK"/>
          <w:b w:val="0"/>
          <w:bCs w:val="0"/>
          <w:spacing w:val="-4"/>
          <w:sz w:val="32"/>
          <w:szCs w:val="32"/>
        </w:rPr>
        <w:t>（2）预算执行率</w:t>
      </w:r>
      <w:r>
        <w:cr/>
      </w:r>
      <w:r>
        <w:rPr>
          <w:rStyle w:val="19"/>
          <w:rFonts w:hint="eastAsia" w:ascii="方正仿宋_GBK" w:hAnsi="方正仿宋_GBK" w:eastAsia="方正仿宋_GBK" w:cs="方正仿宋_GBK"/>
          <w:b w:val="0"/>
          <w:bCs w:val="0"/>
          <w:spacing w:val="-4"/>
          <w:sz w:val="32"/>
          <w:szCs w:val="32"/>
        </w:rPr>
        <w:t>本项目实际支出资金120万元，预算执行率=（实际支出资金/实际到位资金）×100%=（120/120）*100%=100%。得分=预算执行率*分值=100%*5=5分。</w:t>
      </w:r>
      <w:r>
        <w:cr/>
      </w:r>
      <w:r>
        <w:rPr>
          <w:rStyle w:val="19"/>
          <w:rFonts w:hint="eastAsia" w:ascii="方正仿宋_GBK" w:hAnsi="方正仿宋_GBK" w:eastAsia="方正仿宋_GBK" w:cs="方正仿宋_GBK"/>
          <w:b w:val="0"/>
          <w:bCs w:val="0"/>
          <w:spacing w:val="-4"/>
          <w:sz w:val="32"/>
          <w:szCs w:val="32"/>
        </w:rPr>
        <w:t>综上所述，本指标满分为5分，根据评分标准得5分，本项目资金分配合理。</w:t>
      </w:r>
      <w:r>
        <w:cr/>
      </w:r>
      <w:r>
        <w:rPr>
          <w:rStyle w:val="19"/>
          <w:rFonts w:hint="eastAsia" w:ascii="方正仿宋_GBK" w:hAnsi="方正仿宋_GBK" w:eastAsia="方正仿宋_GBK" w:cs="方正仿宋_GBK"/>
          <w:b w:val="0"/>
          <w:bCs w:val="0"/>
          <w:spacing w:val="-4"/>
          <w:sz w:val="32"/>
          <w:szCs w:val="32"/>
        </w:rPr>
        <w:t>（3）资金使用合规性</w:t>
      </w:r>
      <w:r>
        <w:cr/>
      </w:r>
      <w:r>
        <w:rPr>
          <w:rStyle w:val="19"/>
          <w:rFonts w:hint="eastAsia" w:ascii="方正仿宋_GBK" w:hAnsi="方正仿宋_GBK" w:eastAsia="方正仿宋_GBK" w:cs="方正仿宋_GBK"/>
          <w:b w:val="0"/>
          <w:bCs w:val="0"/>
          <w:spacing w:val="-4"/>
          <w:sz w:val="32"/>
          <w:szCs w:val="32"/>
        </w:rPr>
        <w:t>通过检查本项目签订的合同、资金申请文件、发票等财务付款凭证，得出本项目资金支出符合国家财经法规、《政府会计制度》以及《和田地区社会保险中心资金管理办法》《和田地区专项资金管理办法》，资金的拨付有完整的审批程序和手续，资金实际使用方向与预算批复用途一致，不存在截留、挤占、挪用、虚列支出的情况。</w:t>
      </w:r>
      <w:r>
        <w:cr/>
      </w:r>
      <w:r>
        <w:rPr>
          <w:rStyle w:val="19"/>
          <w:rFonts w:hint="eastAsia" w:ascii="方正仿宋_GBK" w:hAnsi="方正仿宋_GBK" w:eastAsia="方正仿宋_GBK" w:cs="方正仿宋_GBK"/>
          <w:b w:val="0"/>
          <w:bCs w:val="0"/>
          <w:spacing w:val="-4"/>
          <w:sz w:val="32"/>
          <w:szCs w:val="32"/>
        </w:rPr>
        <w:t>综上所述，本指标满分为4分，根据评分标准得4分，资金支出符合我单位财务管理制度规定。</w:t>
      </w:r>
      <w:r>
        <w:cr/>
      </w:r>
      <w:r>
        <w:rPr>
          <w:rStyle w:val="19"/>
          <w:rFonts w:hint="eastAsia" w:ascii="方正仿宋_GBK" w:hAnsi="方正仿宋_GBK" w:eastAsia="方正仿宋_GBK" w:cs="方正仿宋_GBK"/>
          <w:b w:val="0"/>
          <w:bCs w:val="0"/>
          <w:spacing w:val="-4"/>
          <w:sz w:val="32"/>
          <w:szCs w:val="32"/>
        </w:rPr>
        <w:t>2.组织实施情况分析</w:t>
      </w:r>
      <w:r>
        <w:cr/>
      </w:r>
      <w:r>
        <w:rPr>
          <w:rStyle w:val="19"/>
          <w:rFonts w:hint="eastAsia" w:ascii="方正仿宋_GBK" w:hAnsi="方正仿宋_GBK" w:eastAsia="方正仿宋_GBK" w:cs="方正仿宋_GBK"/>
          <w:b w:val="0"/>
          <w:bCs w:val="0"/>
          <w:spacing w:val="-4"/>
          <w:sz w:val="32"/>
          <w:szCs w:val="32"/>
        </w:rPr>
        <w:t>（1）管理制度健全性</w:t>
      </w:r>
      <w:r>
        <w:cr/>
      </w:r>
      <w:r>
        <w:rPr>
          <w:rStyle w:val="19"/>
          <w:rFonts w:hint="eastAsia" w:ascii="方正仿宋_GBK" w:hAnsi="方正仿宋_GBK" w:eastAsia="方正仿宋_GBK" w:cs="方正仿宋_GBK"/>
          <w:b w:val="0"/>
          <w:bCs w:val="0"/>
          <w:spacing w:val="-4"/>
          <w:sz w:val="32"/>
          <w:szCs w:val="32"/>
        </w:rPr>
        <w:t>我单位已制定《和田地区社保中心资金管理办法》，上述已建立的制度均符合行政事业单位内控管理要求，财务和业务管理制度合法、合规、完整，本项目执行符合上述制度规定。</w:t>
      </w:r>
      <w:r>
        <w:cr/>
      </w:r>
      <w:r>
        <w:rPr>
          <w:rStyle w:val="19"/>
          <w:rFonts w:hint="eastAsia" w:ascii="方正仿宋_GBK" w:hAnsi="方正仿宋_GBK" w:eastAsia="方正仿宋_GBK" w:cs="方正仿宋_GBK"/>
          <w:b w:val="0"/>
          <w:bCs w:val="0"/>
          <w:spacing w:val="-4"/>
          <w:sz w:val="32"/>
          <w:szCs w:val="32"/>
        </w:rPr>
        <w:t>综上所述，本指标满分为2分，根据评分标准得2分，项目制度建设健全。</w:t>
      </w:r>
      <w:r>
        <w:cr/>
      </w:r>
      <w:r>
        <w:rPr>
          <w:rStyle w:val="19"/>
          <w:rFonts w:hint="eastAsia" w:ascii="方正仿宋_GBK" w:hAnsi="方正仿宋_GBK" w:eastAsia="方正仿宋_GBK" w:cs="方正仿宋_GBK"/>
          <w:b w:val="0"/>
          <w:bCs w:val="0"/>
          <w:spacing w:val="-4"/>
          <w:sz w:val="32"/>
          <w:szCs w:val="32"/>
        </w:rPr>
        <w:t>（2）制度执行有效性</w:t>
      </w:r>
      <w:r>
        <w:cr/>
      </w:r>
      <w:r>
        <w:rPr>
          <w:rStyle w:val="19"/>
          <w:rFonts w:hint="eastAsia" w:ascii="方正仿宋_GBK" w:hAnsi="方正仿宋_GBK" w:eastAsia="方正仿宋_GBK" w:cs="方正仿宋_GBK"/>
          <w:b w:val="0"/>
          <w:bCs w:val="0"/>
          <w:spacing w:val="-4"/>
          <w:sz w:val="32"/>
          <w:szCs w:val="32"/>
        </w:rPr>
        <w:t>经对比分析本项目实际执行过程资料和已建立的项目管理制度和财务管理制度，得出本项目严格按照本单位已建立制度执行。项目资金支出严格按照自治区、地区本单位资金管理办法执行，项目启动实施后，为了加快本项目的实施，成立了1995年前退休（退职）人员生活补助资金项目工作领导小组，由党组书记林志勇任组长，负责项目的组织工作；王晓娜任副组长，负责项目的实施工作；组员包括：付英和安成宏，主要负责项目监督管理、验收以及资金核拨等工作。</w:t>
      </w:r>
      <w:r>
        <w:cr/>
      </w:r>
      <w:r>
        <w:rPr>
          <w:rStyle w:val="19"/>
          <w:rFonts w:hint="eastAsia" w:ascii="方正仿宋_GBK" w:hAnsi="方正仿宋_GBK" w:eastAsia="方正仿宋_GBK" w:cs="方正仿宋_GBK"/>
          <w:b w:val="0"/>
          <w:bCs w:val="0"/>
          <w:spacing w:val="-4"/>
          <w:sz w:val="32"/>
          <w:szCs w:val="32"/>
        </w:rPr>
        <w:t>综上所述，本指标满分为4分，根据评分标准得4分，本项目所建立制度执行有效。</w:t>
      </w:r>
    </w:p>
    <w:p w14:paraId="5DDAC43A">
      <w:pPr>
        <w:keepNext w:val="0"/>
        <w:keepLines w:val="0"/>
        <w:pageBreakBefore w:val="0"/>
        <w:widowControl w:val="0"/>
        <w:kinsoku/>
        <w:wordWrap/>
        <w:overflowPunct/>
        <w:topLinePunct w:val="0"/>
        <w:autoSpaceDE w:val="0"/>
        <w:autoSpaceDN w:val="0"/>
        <w:bidi w:val="0"/>
        <w:adjustRightInd/>
        <w:snapToGrid/>
        <w:spacing w:line="560" w:lineRule="exact"/>
        <w:ind w:firstLine="627" w:firstLineChars="200"/>
        <w:jc w:val="left"/>
        <w:textAlignment w:val="top"/>
        <w:rPr>
          <w:rFonts w:hint="eastAsia" w:ascii="方正仿宋_GBK" w:hAnsi="方正仿宋_GBK" w:eastAsia="方正仿宋_GBK" w:cs="方正仿宋_GBK"/>
          <w:b/>
          <w:spacing w:val="-4"/>
          <w:sz w:val="32"/>
          <w:szCs w:val="32"/>
        </w:rPr>
      </w:pPr>
      <w:r>
        <w:rPr>
          <w:rFonts w:hint="eastAsia" w:ascii="方正仿宋_GBK" w:hAnsi="方正仿宋_GBK" w:eastAsia="方正仿宋_GBK" w:cs="方正仿宋_GBK"/>
          <w:b/>
          <w:spacing w:val="-4"/>
          <w:sz w:val="32"/>
          <w:szCs w:val="32"/>
        </w:rPr>
        <w:t>（</w:t>
      </w:r>
      <w:r>
        <w:rPr>
          <w:rFonts w:hint="eastAsia" w:ascii="方正仿宋_GBK" w:hAnsi="方正仿宋_GBK" w:eastAsia="方正仿宋_GBK" w:cs="方正仿宋_GBK"/>
          <w:b/>
          <w:spacing w:val="-4"/>
          <w:sz w:val="32"/>
          <w:szCs w:val="32"/>
          <w:lang w:val="en-US" w:eastAsia="zh-CN"/>
        </w:rPr>
        <w:t>三</w:t>
      </w:r>
      <w:r>
        <w:rPr>
          <w:rFonts w:hint="eastAsia" w:ascii="方正仿宋_GBK" w:hAnsi="方正仿宋_GBK" w:eastAsia="方正仿宋_GBK" w:cs="方正仿宋_GBK"/>
          <w:b/>
          <w:spacing w:val="-4"/>
          <w:sz w:val="32"/>
          <w:szCs w:val="32"/>
        </w:rPr>
        <w:t>）</w:t>
      </w:r>
      <w:r>
        <w:rPr>
          <w:rStyle w:val="19"/>
          <w:rFonts w:hint="eastAsia" w:ascii="方正仿宋_GBK" w:hAnsi="方正仿宋_GBK" w:eastAsia="方正仿宋_GBK" w:cs="方正仿宋_GBK"/>
          <w:spacing w:val="-4"/>
          <w:sz w:val="32"/>
          <w:szCs w:val="32"/>
        </w:rPr>
        <w:t>项目产出情况</w:t>
      </w:r>
    </w:p>
    <w:p w14:paraId="1D467403">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left"/>
        <w:textAlignment w:val="top"/>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项目产出类指标由4个二级指标和5个三级指标构成，权重分20分，实际得分20分。</w:t>
      </w:r>
      <w:r>
        <w:cr/>
      </w:r>
      <w:r>
        <w:rPr>
          <w:rStyle w:val="19"/>
          <w:rFonts w:hint="eastAsia" w:ascii="方正仿宋_GBK" w:hAnsi="方正仿宋_GBK" w:eastAsia="方正仿宋_GBK" w:cs="方正仿宋_GBK"/>
          <w:b w:val="0"/>
          <w:bCs w:val="0"/>
          <w:spacing w:val="-4"/>
          <w:sz w:val="32"/>
          <w:szCs w:val="32"/>
        </w:rPr>
        <w:t>1.数量指标完成情况分析</w:t>
      </w:r>
      <w:r>
        <w:cr/>
      </w:r>
      <w:r>
        <w:rPr>
          <w:rStyle w:val="19"/>
          <w:rFonts w:hint="eastAsia" w:ascii="方正仿宋_GBK" w:hAnsi="方正仿宋_GBK" w:eastAsia="方正仿宋_GBK" w:cs="方正仿宋_GBK"/>
          <w:b w:val="0"/>
          <w:bCs w:val="0"/>
          <w:spacing w:val="-4"/>
          <w:sz w:val="32"/>
          <w:szCs w:val="32"/>
        </w:rPr>
        <w:t>“1995年前退休（退职）补助人数”指标：预期指标值为≥1056人，实际完成指标值为1056人，指标完成率为100%。</w:t>
      </w:r>
      <w:r>
        <w:cr/>
      </w:r>
      <w:r>
        <w:rPr>
          <w:rStyle w:val="19"/>
          <w:rFonts w:hint="eastAsia" w:ascii="方正仿宋_GBK" w:hAnsi="方正仿宋_GBK" w:eastAsia="方正仿宋_GBK" w:cs="方正仿宋_GBK"/>
          <w:b w:val="0"/>
          <w:bCs w:val="0"/>
          <w:spacing w:val="-4"/>
          <w:sz w:val="32"/>
          <w:szCs w:val="32"/>
        </w:rPr>
        <w:t>2.质量指标完成情况分析</w:t>
      </w:r>
      <w:r>
        <w:cr/>
      </w:r>
      <w:r>
        <w:rPr>
          <w:rStyle w:val="19"/>
          <w:rFonts w:hint="eastAsia" w:ascii="方正仿宋_GBK" w:hAnsi="方正仿宋_GBK" w:eastAsia="方正仿宋_GBK" w:cs="方正仿宋_GBK"/>
          <w:b w:val="0"/>
          <w:bCs w:val="0"/>
          <w:spacing w:val="-4"/>
          <w:sz w:val="32"/>
          <w:szCs w:val="32"/>
        </w:rPr>
        <w:t>“补助发放覆盖率”指标：预期指标值为=100%，实际完成指标值为100%，指标完成率为100%。</w:t>
      </w:r>
      <w:r>
        <w:cr/>
      </w:r>
      <w:r>
        <w:rPr>
          <w:rStyle w:val="19"/>
          <w:rFonts w:hint="eastAsia" w:ascii="方正仿宋_GBK" w:hAnsi="方正仿宋_GBK" w:eastAsia="方正仿宋_GBK" w:cs="方正仿宋_GBK"/>
          <w:b w:val="0"/>
          <w:bCs w:val="0"/>
          <w:spacing w:val="-4"/>
          <w:sz w:val="32"/>
          <w:szCs w:val="32"/>
        </w:rPr>
        <w:t>3.时效指标完成情况分析</w:t>
      </w:r>
      <w:r>
        <w:cr/>
      </w:r>
      <w:r>
        <w:rPr>
          <w:rStyle w:val="19"/>
          <w:rFonts w:hint="eastAsia" w:ascii="方正仿宋_GBK" w:hAnsi="方正仿宋_GBK" w:eastAsia="方正仿宋_GBK" w:cs="方正仿宋_GBK"/>
          <w:b w:val="0"/>
          <w:bCs w:val="0"/>
          <w:spacing w:val="-4"/>
          <w:sz w:val="32"/>
          <w:szCs w:val="32"/>
        </w:rPr>
        <w:t>“资金支付及时率”指标：预期指标值为=100%，实际完成指标值为100%，指标完成率为100%。</w:t>
      </w:r>
      <w:r>
        <w:rPr>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“项目完成时间”指标：预期指标值为2024年12月底前，实际完成指标值为2024年12月31日，指标完成率为100%。</w:t>
      </w:r>
      <w:r>
        <w:cr/>
      </w:r>
      <w:r>
        <w:rPr>
          <w:rStyle w:val="19"/>
          <w:rFonts w:hint="eastAsia" w:ascii="方正仿宋_GBK" w:hAnsi="方正仿宋_GBK" w:eastAsia="方正仿宋_GBK" w:cs="方正仿宋_GBK"/>
          <w:b w:val="0"/>
          <w:bCs w:val="0"/>
          <w:spacing w:val="-4"/>
          <w:sz w:val="32"/>
          <w:szCs w:val="32"/>
        </w:rPr>
        <w:t>4.成本指标完成情况分析</w:t>
      </w:r>
      <w:r>
        <w:cr/>
      </w:r>
      <w:r>
        <w:rPr>
          <w:rStyle w:val="19"/>
          <w:rFonts w:hint="eastAsia" w:ascii="方正仿宋_GBK" w:hAnsi="方正仿宋_GBK" w:eastAsia="方正仿宋_GBK" w:cs="方正仿宋_GBK"/>
          <w:b w:val="0"/>
          <w:bCs w:val="0"/>
          <w:spacing w:val="-4"/>
          <w:sz w:val="32"/>
          <w:szCs w:val="32"/>
        </w:rPr>
        <w:t>“保障经费”指标：预期指标值为≤120万元，实际完成指标值为120万元，指标完成率为100%。</w:t>
      </w:r>
    </w:p>
    <w:p w14:paraId="67D57258">
      <w:pPr>
        <w:keepNext w:val="0"/>
        <w:keepLines w:val="0"/>
        <w:pageBreakBefore w:val="0"/>
        <w:widowControl w:val="0"/>
        <w:kinsoku/>
        <w:wordWrap/>
        <w:overflowPunct/>
        <w:topLinePunct w:val="0"/>
        <w:autoSpaceDE w:val="0"/>
        <w:autoSpaceDN w:val="0"/>
        <w:bidi w:val="0"/>
        <w:adjustRightInd/>
        <w:snapToGrid/>
        <w:spacing w:line="560" w:lineRule="exact"/>
        <w:ind w:firstLine="627" w:firstLineChars="200"/>
        <w:jc w:val="left"/>
        <w:textAlignment w:val="top"/>
        <w:rPr>
          <w:rFonts w:hint="eastAsia" w:ascii="方正仿宋_GBK" w:hAnsi="方正仿宋_GBK" w:eastAsia="方正仿宋_GBK" w:cs="方正仿宋_GBK"/>
          <w:b/>
          <w:spacing w:val="-4"/>
          <w:sz w:val="32"/>
          <w:szCs w:val="32"/>
        </w:rPr>
      </w:pPr>
      <w:r>
        <w:rPr>
          <w:rFonts w:hint="eastAsia" w:ascii="方正仿宋_GBK" w:hAnsi="方正仿宋_GBK" w:eastAsia="方正仿宋_GBK" w:cs="方正仿宋_GBK"/>
          <w:b/>
          <w:spacing w:val="-4"/>
          <w:sz w:val="32"/>
          <w:szCs w:val="32"/>
        </w:rPr>
        <w:t>（</w:t>
      </w:r>
      <w:r>
        <w:rPr>
          <w:rFonts w:hint="eastAsia" w:ascii="方正仿宋_GBK" w:hAnsi="方正仿宋_GBK" w:eastAsia="方正仿宋_GBK" w:cs="方正仿宋_GBK"/>
          <w:b/>
          <w:spacing w:val="-4"/>
          <w:sz w:val="32"/>
          <w:szCs w:val="32"/>
          <w:lang w:val="en-US" w:eastAsia="zh-CN"/>
        </w:rPr>
        <w:t>四</w:t>
      </w:r>
      <w:r>
        <w:rPr>
          <w:rFonts w:hint="eastAsia" w:ascii="方正仿宋_GBK" w:hAnsi="方正仿宋_GBK" w:eastAsia="方正仿宋_GBK" w:cs="方正仿宋_GBK"/>
          <w:b/>
          <w:spacing w:val="-4"/>
          <w:sz w:val="32"/>
          <w:szCs w:val="32"/>
        </w:rPr>
        <w:t>）</w:t>
      </w:r>
      <w:r>
        <w:rPr>
          <w:rStyle w:val="19"/>
          <w:rFonts w:hint="eastAsia" w:ascii="方正仿宋_GBK" w:hAnsi="方正仿宋_GBK" w:eastAsia="方正仿宋_GBK" w:cs="方正仿宋_GBK"/>
          <w:spacing w:val="-4"/>
          <w:sz w:val="32"/>
          <w:szCs w:val="32"/>
        </w:rPr>
        <w:t>项目效益情况</w:t>
      </w:r>
    </w:p>
    <w:p w14:paraId="0216991E">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left"/>
        <w:textAlignment w:val="top"/>
        <w:rPr>
          <w:rStyle w:val="19"/>
          <w:rFonts w:hint="eastAsia" w:ascii="方正仿宋_GBK" w:hAnsi="方正仿宋_GBK" w:eastAsia="方正仿宋_GBK" w:cs="方正仿宋_GBK"/>
          <w:spacing w:val="-4"/>
          <w:sz w:val="32"/>
          <w:szCs w:val="32"/>
        </w:rPr>
      </w:pPr>
      <w:r>
        <w:rPr>
          <w:rStyle w:val="19"/>
          <w:rFonts w:hint="eastAsia" w:ascii="方正仿宋_GBK" w:hAnsi="方正仿宋_GBK" w:eastAsia="方正仿宋_GBK" w:cs="方正仿宋_GBK"/>
          <w:b w:val="0"/>
          <w:bCs w:val="0"/>
          <w:spacing w:val="-4"/>
          <w:sz w:val="32"/>
          <w:szCs w:val="32"/>
        </w:rPr>
        <w:t>项目效益类指标由2个二级指标和2个三级指标构成，权重分40分，实际得分40分。</w:t>
      </w:r>
      <w:r>
        <w:cr/>
      </w:r>
      <w:r>
        <w:rPr>
          <w:rStyle w:val="19"/>
          <w:rFonts w:hint="eastAsia" w:ascii="方正仿宋_GBK" w:hAnsi="方正仿宋_GBK" w:eastAsia="方正仿宋_GBK" w:cs="方正仿宋_GBK"/>
          <w:b w:val="0"/>
          <w:bCs w:val="0"/>
          <w:spacing w:val="-4"/>
          <w:sz w:val="32"/>
          <w:szCs w:val="32"/>
        </w:rPr>
        <w:t>1.经济效益完成情况分析</w:t>
      </w:r>
      <w:r>
        <w:cr/>
      </w:r>
      <w:r>
        <w:rPr>
          <w:rStyle w:val="19"/>
          <w:rFonts w:hint="eastAsia" w:ascii="方正仿宋_GBK" w:hAnsi="方正仿宋_GBK" w:eastAsia="方正仿宋_GBK" w:cs="方正仿宋_GBK"/>
          <w:b w:val="0"/>
          <w:bCs w:val="0"/>
          <w:spacing w:val="-4"/>
          <w:sz w:val="32"/>
          <w:szCs w:val="32"/>
        </w:rPr>
        <w:t>无。</w:t>
      </w:r>
      <w:r>
        <w:cr/>
      </w:r>
      <w:r>
        <w:rPr>
          <w:rStyle w:val="19"/>
          <w:rFonts w:hint="eastAsia" w:ascii="方正仿宋_GBK" w:hAnsi="方正仿宋_GBK" w:eastAsia="方正仿宋_GBK" w:cs="方正仿宋_GBK"/>
          <w:b w:val="0"/>
          <w:bCs w:val="0"/>
          <w:spacing w:val="-4"/>
          <w:sz w:val="32"/>
          <w:szCs w:val="32"/>
        </w:rPr>
        <w:t>2.社会效益完成情况分析</w:t>
      </w:r>
      <w:r>
        <w:cr/>
      </w:r>
      <w:r>
        <w:rPr>
          <w:rStyle w:val="19"/>
          <w:rFonts w:hint="eastAsia" w:ascii="方正仿宋_GBK" w:hAnsi="方正仿宋_GBK" w:eastAsia="方正仿宋_GBK" w:cs="方正仿宋_GBK"/>
          <w:b w:val="0"/>
          <w:bCs w:val="0"/>
          <w:spacing w:val="-4"/>
          <w:sz w:val="32"/>
          <w:szCs w:val="32"/>
        </w:rPr>
        <w:t>“增加退休人员幸福感”指标：预期指标值为有效提升，实际完成指标值为基本达成目标，指标完成率为100%。</w:t>
      </w:r>
      <w:r>
        <w:rPr>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3.生态效益完成情况分析</w:t>
      </w:r>
      <w:r>
        <w:cr/>
      </w:r>
      <w:r>
        <w:rPr>
          <w:rStyle w:val="19"/>
          <w:rFonts w:hint="eastAsia" w:ascii="方正仿宋_GBK" w:hAnsi="方正仿宋_GBK" w:eastAsia="方正仿宋_GBK" w:cs="方正仿宋_GBK"/>
          <w:b w:val="0"/>
          <w:bCs w:val="0"/>
          <w:spacing w:val="-4"/>
          <w:sz w:val="32"/>
          <w:szCs w:val="32"/>
        </w:rPr>
        <w:t>无。</w:t>
      </w:r>
      <w:r>
        <w:cr/>
      </w:r>
      <w:r>
        <w:rPr>
          <w:rStyle w:val="19"/>
          <w:rFonts w:hint="eastAsia" w:ascii="方正仿宋_GBK" w:hAnsi="方正仿宋_GBK" w:eastAsia="方正仿宋_GBK" w:cs="方正仿宋_GBK"/>
          <w:b w:val="0"/>
          <w:bCs w:val="0"/>
          <w:spacing w:val="-4"/>
          <w:sz w:val="32"/>
          <w:szCs w:val="32"/>
        </w:rPr>
        <w:t>4.可持续影响完成情况分析</w:t>
      </w:r>
      <w:r>
        <w:rPr>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无。</w:t>
      </w:r>
      <w:r>
        <w:cr/>
      </w:r>
      <w:r>
        <w:rPr>
          <w:rStyle w:val="19"/>
          <w:rFonts w:hint="eastAsia" w:ascii="方正仿宋_GBK" w:hAnsi="方正仿宋_GBK" w:eastAsia="方正仿宋_GBK" w:cs="方正仿宋_GBK"/>
          <w:b w:val="0"/>
          <w:bCs w:val="0"/>
          <w:spacing w:val="-4"/>
          <w:sz w:val="32"/>
          <w:szCs w:val="32"/>
        </w:rPr>
        <w:t>5.满意度指标完成情况分析</w:t>
      </w:r>
      <w:r>
        <w:cr/>
      </w:r>
      <w:r>
        <w:rPr>
          <w:rStyle w:val="19"/>
          <w:rFonts w:hint="eastAsia" w:ascii="方正仿宋_GBK" w:hAnsi="方正仿宋_GBK" w:eastAsia="方正仿宋_GBK" w:cs="方正仿宋_GBK"/>
          <w:b w:val="0"/>
          <w:bCs w:val="0"/>
          <w:spacing w:val="-4"/>
          <w:sz w:val="32"/>
          <w:szCs w:val="32"/>
        </w:rPr>
        <w:t>“退休人员满意度”指标：预期指标值为≥95%，实际完成指标值为100%，指标完成率为100%。</w:t>
      </w:r>
    </w:p>
    <w:p w14:paraId="5A3DF57F">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left"/>
        <w:textAlignment w:val="top"/>
        <w:rPr>
          <w:rStyle w:val="19"/>
          <w:rFonts w:hint="eastAsia" w:ascii="方正仿宋_GBK" w:hAnsi="方正仿宋_GBK" w:eastAsia="方正仿宋_GBK" w:cs="方正仿宋_GBK"/>
          <w:b w:val="0"/>
          <w:spacing w:val="-4"/>
          <w:sz w:val="32"/>
          <w:szCs w:val="32"/>
        </w:rPr>
      </w:pPr>
      <w:r>
        <w:rPr>
          <w:rStyle w:val="19"/>
          <w:rFonts w:hint="eastAsia" w:ascii="方正仿宋_GBK" w:hAnsi="方正仿宋_GBK" w:eastAsia="方正仿宋_GBK" w:cs="方正仿宋_GBK"/>
          <w:b w:val="0"/>
          <w:spacing w:val="-4"/>
          <w:sz w:val="32"/>
          <w:szCs w:val="32"/>
        </w:rPr>
        <w:t>五、预算执行进度与绩效指标偏差</w:t>
      </w:r>
    </w:p>
    <w:p w14:paraId="2AB236FB">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left"/>
        <w:textAlignment w:val="top"/>
        <w:rPr>
          <w:rStyle w:val="19"/>
          <w:rFonts w:hint="eastAsia" w:ascii="方正仿宋_GBK" w:hAnsi="方正仿宋_GBK" w:eastAsia="方正仿宋_GBK" w:cs="方正仿宋_GBK"/>
          <w:spacing w:val="-4"/>
          <w:sz w:val="32"/>
          <w:szCs w:val="32"/>
        </w:rPr>
      </w:pPr>
      <w:r>
        <w:rPr>
          <w:rStyle w:val="19"/>
          <w:rFonts w:hint="eastAsia" w:ascii="方正仿宋_GBK" w:hAnsi="方正仿宋_GBK" w:eastAsia="方正仿宋_GBK" w:cs="方正仿宋_GBK"/>
          <w:b w:val="0"/>
          <w:bCs w:val="0"/>
          <w:spacing w:val="-4"/>
          <w:sz w:val="32"/>
          <w:szCs w:val="32"/>
        </w:rPr>
        <w:t>本项目年初预算资金总额为120万元，全年预算数为120万元，全年执行数为120万元，预算执行率为100%。</w:t>
      </w:r>
      <w:r>
        <w:cr/>
      </w:r>
      <w:r>
        <w:rPr>
          <w:rStyle w:val="19"/>
          <w:rFonts w:hint="eastAsia" w:ascii="方正仿宋_GBK" w:hAnsi="方正仿宋_GBK" w:eastAsia="方正仿宋_GBK" w:cs="方正仿宋_GBK"/>
          <w:b w:val="0"/>
          <w:bCs w:val="0"/>
          <w:spacing w:val="-4"/>
          <w:sz w:val="32"/>
          <w:szCs w:val="32"/>
        </w:rPr>
        <w:t>本项目共设置三级指标数量7个，满分指标数量7个，扣分指标数量0个，经分析计算所有三级指标完成率得出，本项目总体完成率为100%。</w:t>
      </w:r>
      <w:r>
        <w:cr/>
      </w:r>
      <w:r>
        <w:rPr>
          <w:rStyle w:val="19"/>
          <w:rFonts w:hint="eastAsia" w:ascii="方正仿宋_GBK" w:hAnsi="方正仿宋_GBK" w:eastAsia="方正仿宋_GBK" w:cs="方正仿宋_GBK"/>
          <w:b w:val="0"/>
          <w:bCs w:val="0"/>
          <w:spacing w:val="-4"/>
          <w:sz w:val="32"/>
          <w:szCs w:val="32"/>
        </w:rPr>
        <w:t>综上所述本项目预算执行率与总体完成率之间的偏差为0%。</w:t>
      </w:r>
    </w:p>
    <w:p w14:paraId="018718E8">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left"/>
        <w:textAlignment w:val="top"/>
        <w:rPr>
          <w:rStyle w:val="19"/>
          <w:rFonts w:hint="eastAsia" w:ascii="方正仿宋_GBK" w:hAnsi="方正仿宋_GBK" w:eastAsia="方正仿宋_GBK" w:cs="方正仿宋_GBK"/>
          <w:b w:val="0"/>
          <w:spacing w:val="-4"/>
          <w:sz w:val="32"/>
          <w:szCs w:val="32"/>
        </w:rPr>
      </w:pPr>
      <w:r>
        <w:rPr>
          <w:rStyle w:val="19"/>
          <w:rFonts w:hint="eastAsia" w:ascii="方正仿宋_GBK" w:hAnsi="方正仿宋_GBK" w:eastAsia="方正仿宋_GBK" w:cs="方正仿宋_GBK"/>
          <w:b w:val="0"/>
          <w:spacing w:val="-4"/>
          <w:sz w:val="32"/>
          <w:szCs w:val="32"/>
        </w:rPr>
        <w:t>六、主要经验及做法、存在的问题及原因分析</w:t>
      </w:r>
    </w:p>
    <w:p w14:paraId="5F99BE7F">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left"/>
        <w:textAlignment w:val="top"/>
        <w:rPr>
          <w:rFonts w:hint="eastAsia" w:ascii="方正仿宋_GBK" w:hAnsi="方正仿宋_GBK" w:eastAsia="方正仿宋_GBK" w:cs="方正仿宋_GBK"/>
          <w:spacing w:val="-4"/>
          <w:sz w:val="32"/>
          <w:szCs w:val="32"/>
        </w:rPr>
      </w:pPr>
      <w:r>
        <w:rPr>
          <w:rStyle w:val="19"/>
          <w:rFonts w:hint="eastAsia" w:ascii="方正仿宋_GBK" w:hAnsi="方正仿宋_GBK" w:eastAsia="方正仿宋_GBK" w:cs="方正仿宋_GBK"/>
          <w:b w:val="0"/>
          <w:bCs w:val="0"/>
          <w:spacing w:val="-4"/>
          <w:sz w:val="32"/>
          <w:szCs w:val="32"/>
        </w:rPr>
        <w:t>（一）主要经验及做法</w:t>
      </w:r>
      <w:r>
        <w:rPr>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1.我单位以本次项目的实施和管理为契机，建立健全预算项目管理制度，合理设置内部管理机构和岗位，明确职责权限，明确业务各环节流程、时间要求、审批权限等，领导分工明确，事事有人管，件件有人抓，明确单位内部各个业务归口管理责任，加强对项目预算与计划管理，建立预算编制，提升编制预算的计划性、科学性和规范性，强化预算管理意识。</w:t>
      </w:r>
      <w:r>
        <w:rPr>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2.在此次绩效评价过程中，我单位加强对于绩效评价结果的应用，促进财政预算项目规范有序开展。及时将绩效评价结果反馈给相关部门，同时将获得的建议作为重要参考依据，为下一年度的项目绩效评价工作积累经验，进一步优化绩效评价工作。</w:t>
      </w:r>
      <w:r>
        <w:rPr>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（二）存在的问题及原因分析</w:t>
      </w:r>
      <w:r>
        <w:rPr>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1.自评价工作还存在自我审定的局限性，会影响评价质量；缺少带着问题去评价的意识；现场评价的工作量少，后续效益评价具体措施和方法较少。</w:t>
      </w:r>
      <w:r>
        <w:rPr>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2.项目实施方案中，项目绩效目标内容制定不够完整，对项目具体实施指导性不强；资金使用合规，无截留、挪用等现象，资金使用产生效益。存在资金开支时间进度不均衡的问题。</w:t>
      </w:r>
    </w:p>
    <w:p w14:paraId="5B44C9BD">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left"/>
        <w:textAlignment w:val="top"/>
        <w:rPr>
          <w:rStyle w:val="19"/>
          <w:rFonts w:hint="eastAsia" w:ascii="方正仿宋_GBK" w:hAnsi="方正仿宋_GBK" w:eastAsia="方正仿宋_GBK" w:cs="方正仿宋_GBK"/>
          <w:b w:val="0"/>
          <w:spacing w:val="-4"/>
          <w:sz w:val="32"/>
          <w:szCs w:val="32"/>
        </w:rPr>
      </w:pPr>
      <w:r>
        <w:rPr>
          <w:rStyle w:val="19"/>
          <w:rFonts w:hint="eastAsia" w:ascii="方正仿宋_GBK" w:hAnsi="方正仿宋_GBK" w:eastAsia="方正仿宋_GBK" w:cs="方正仿宋_GBK"/>
          <w:b w:val="0"/>
          <w:spacing w:val="-4"/>
          <w:sz w:val="32"/>
          <w:szCs w:val="32"/>
          <w:lang w:val="en-US" w:eastAsia="zh-CN"/>
        </w:rPr>
        <w:t>七</w:t>
      </w:r>
      <w:r>
        <w:rPr>
          <w:rStyle w:val="19"/>
          <w:rFonts w:hint="eastAsia" w:ascii="方正仿宋_GBK" w:hAnsi="方正仿宋_GBK" w:eastAsia="方正仿宋_GBK" w:cs="方正仿宋_GBK"/>
          <w:b w:val="0"/>
          <w:spacing w:val="-4"/>
          <w:sz w:val="32"/>
          <w:szCs w:val="32"/>
        </w:rPr>
        <w:t>、有关建议</w:t>
      </w:r>
    </w:p>
    <w:p w14:paraId="6ECE7FD5">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left"/>
        <w:textAlignment w:val="top"/>
        <w:rPr>
          <w:rStyle w:val="19"/>
          <w:rFonts w:hint="eastAsia" w:ascii="方正仿宋_GBK" w:hAnsi="方正仿宋_GBK" w:eastAsia="方正仿宋_GBK" w:cs="方正仿宋_GBK"/>
          <w:spacing w:val="-4"/>
          <w:sz w:val="32"/>
          <w:szCs w:val="32"/>
        </w:rPr>
      </w:pPr>
      <w:r>
        <w:rPr>
          <w:rStyle w:val="19"/>
          <w:rFonts w:hint="eastAsia" w:ascii="方正仿宋_GBK" w:hAnsi="方正仿宋_GBK" w:eastAsia="方正仿宋_GBK" w:cs="方正仿宋_GBK"/>
          <w:b w:val="0"/>
          <w:bCs w:val="0"/>
          <w:spacing w:val="-4"/>
          <w:sz w:val="32"/>
          <w:szCs w:val="32"/>
        </w:rPr>
        <w:t>（一）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r>
        <w:cr/>
      </w:r>
      <w:r>
        <w:rPr>
          <w:rStyle w:val="19"/>
          <w:rFonts w:hint="eastAsia" w:ascii="方正仿宋_GBK" w:hAnsi="方正仿宋_GBK" w:eastAsia="方正仿宋_GBK" w:cs="方正仿宋_GBK"/>
          <w:b w:val="0"/>
          <w:bCs w:val="0"/>
          <w:spacing w:val="-4"/>
          <w:sz w:val="32"/>
          <w:szCs w:val="32"/>
        </w:rPr>
        <w:t>（二）通过构建覆盖项目全周期的三维绩效目标体系，建立目标分解传导机制与标准化实施规范；同步推行双周期预算管理和业财联动动态调整机制，强化资金使用进度预警及结构性优化；同时完善"三审三验"全流程监管体系，引入第三方绩效跟踪评价并将结果与预算挂钩，最终形成"目标引领—动态调控—全程监管—结果应用"的闭环管理体系，推动项目管理由合规控制向绩效导向转型升级，切实提升资金配置精准度与项目实施效益转化率。</w:t>
      </w:r>
    </w:p>
    <w:p w14:paraId="1C192CA1">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left"/>
        <w:textAlignment w:val="top"/>
        <w:rPr>
          <w:rStyle w:val="19"/>
          <w:rFonts w:hint="eastAsia" w:ascii="方正仿宋_GBK" w:hAnsi="方正仿宋_GBK" w:eastAsia="方正仿宋_GBK" w:cs="方正仿宋_GBK"/>
          <w:b w:val="0"/>
          <w:spacing w:val="-4"/>
          <w:sz w:val="32"/>
          <w:szCs w:val="32"/>
        </w:rPr>
      </w:pPr>
      <w:r>
        <w:rPr>
          <w:rStyle w:val="19"/>
          <w:rFonts w:hint="eastAsia" w:ascii="方正仿宋_GBK" w:hAnsi="方正仿宋_GBK" w:eastAsia="方正仿宋_GBK" w:cs="方正仿宋_GBK"/>
          <w:b w:val="0"/>
          <w:spacing w:val="-4"/>
          <w:sz w:val="32"/>
          <w:szCs w:val="32"/>
          <w:lang w:val="en-US" w:eastAsia="zh-CN"/>
        </w:rPr>
        <w:t>八</w:t>
      </w:r>
      <w:r>
        <w:rPr>
          <w:rStyle w:val="19"/>
          <w:rFonts w:hint="eastAsia" w:ascii="方正仿宋_GBK" w:hAnsi="方正仿宋_GBK" w:eastAsia="方正仿宋_GBK" w:cs="方正仿宋_GBK"/>
          <w:b w:val="0"/>
          <w:spacing w:val="-4"/>
          <w:sz w:val="32"/>
          <w:szCs w:val="32"/>
        </w:rPr>
        <w:t>、其他需要说明的问题</w:t>
      </w:r>
    </w:p>
    <w:p w14:paraId="4E973F8C">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left"/>
        <w:textAlignment w:val="top"/>
        <w:rPr>
          <w:rStyle w:val="19"/>
          <w:rFonts w:hint="eastAsia" w:ascii="方正仿宋_GBK" w:hAnsi="方正仿宋_GBK" w:eastAsia="方正仿宋_GBK" w:cs="方正仿宋_GBK"/>
          <w:b w:val="0"/>
          <w:bCs w:val="0"/>
          <w:spacing w:val="-4"/>
          <w:sz w:val="32"/>
          <w:szCs w:val="32"/>
        </w:rPr>
      </w:pPr>
      <w:r>
        <w:rPr>
          <w:rStyle w:val="19"/>
          <w:rFonts w:hint="eastAsia" w:ascii="方正仿宋_GBK" w:hAnsi="方正仿宋_GBK" w:eastAsia="方正仿宋_GBK" w:cs="方正仿宋_GBK"/>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（三）评价结果分别编入政府决算和部门预算，报送本级人民代表大会常务委员会，并依法予以公开。</w:t>
      </w:r>
      <w:r>
        <w:rPr>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方正仿宋_GBK" w:hAnsi="方正仿宋_GBK" w:eastAsia="方正仿宋_GBK" w:cs="方正仿宋_GBK"/>
          <w:b w:val="0"/>
          <w:bCs w:val="0"/>
          <w:spacing w:val="-4"/>
          <w:sz w:val="32"/>
          <w:szCs w:val="32"/>
        </w:rPr>
        <w:br w:type="textWrapping"/>
      </w:r>
      <w:r>
        <w:rPr>
          <w:rStyle w:val="19"/>
          <w:rFonts w:hint="eastAsia" w:ascii="方正仿宋_GBK" w:hAnsi="方正仿宋_GBK" w:eastAsia="方正仿宋_GBK" w:cs="方正仿宋_GBK"/>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0AD4E238">
      <w:pPr>
        <w:keepNext w:val="0"/>
        <w:keepLines w:val="0"/>
        <w:pageBreakBefore w:val="0"/>
        <w:widowControl w:val="0"/>
        <w:kinsoku/>
        <w:wordWrap/>
        <w:overflowPunct/>
        <w:topLinePunct w:val="0"/>
        <w:autoSpaceDE w:val="0"/>
        <w:autoSpaceDN w:val="0"/>
        <w:bidi w:val="0"/>
        <w:adjustRightInd/>
        <w:snapToGrid/>
        <w:spacing w:line="560" w:lineRule="exact"/>
        <w:ind w:firstLine="624" w:firstLineChars="200"/>
        <w:jc w:val="left"/>
        <w:textAlignment w:val="top"/>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1EE13E0">
        <w:pPr>
          <w:pStyle w:val="12"/>
          <w:jc w:val="center"/>
        </w:pPr>
        <w:r>
          <w:fldChar w:fldCharType="begin"/>
        </w:r>
        <w:r>
          <w:instrText xml:space="preserve">PAGE   \* MERGEFORMAT</w:instrText>
        </w:r>
        <w:r>
          <w:fldChar w:fldCharType="separate"/>
        </w:r>
        <w:r>
          <w:rPr>
            <w:lang w:val="zh-CN"/>
          </w:rPr>
          <w:t>1</w:t>
        </w:r>
        <w:r>
          <w:fldChar w:fldCharType="end"/>
        </w:r>
      </w:p>
    </w:sdtContent>
  </w:sdt>
  <w:p w14:paraId="582648A7">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FF7A86"/>
    <w:rsid w:val="61325E5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fmtid="{D5CDD505-2E9C-101B-9397-08002B2CF9AE}" pid="2">
    <vt:lpwstr xmlns:vt="http://schemas.openxmlformats.org/officeDocument/2006/docPropsVTypes">2052-12.8.2.18205</vt:lpwstr>
  </property>
  <property xmlns="http://schemas.openxmlformats.org/officeDocument/2006/custom-properties" name="ICV" fmtid="{D5CDD505-2E9C-101B-9397-08002B2CF9AE}" pid="3">
    <vt:lpwstr xmlns:vt="http://schemas.openxmlformats.org/officeDocument/2006/docPropsVTypes">7102A5B4FCE44CEA941AED44FBCA8C04_13</vt:lpwstr>
  </property>
</Properties>
</file>

<file path=customXml/itemProps1.xml><?xml version="1.0" encoding="utf-8"?>
<ds:datastoreItem xmlns:ds="http://schemas.openxmlformats.org/officeDocument/2006/customXml" ds:itemID="{61908fdf-0de1-4e4e-b98e-b42bbb882732}">
  <ds:schemaRefs/>
</ds:datastoreItem>
</file>

<file path=docProps/app.xml><?xml version="1.0" encoding="utf-8"?>
<Properties xmlns="http://schemas.openxmlformats.org/officeDocument/2006/extended-properties" xmlns:vt="http://schemas.openxmlformats.org/officeDocument/2006/docPropsVTypes">
  <Template>Normal.dotm</Template>
  <Pages>21</Pages>
  <Words>273</Words>
  <Characters>581</Characters>
  <Lines>5</Lines>
  <Paragraphs>1</Paragraphs>
  <TotalTime>154</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2025-10-14T12:52:58Z</cp:lastPrinted>
  <dcterms:modified xsi:type="dcterms:W3CDTF">2025-10-14T12:55:32Z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7102A5B4FCE44CEA941AED44FBCA8C04_13</vt:lpwstr>
  </property>
</Properties>
</file>