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和田地区人民医院是和田地区唯一一所集医疗、教学、科研、预防、保健、急救为一体的现代化综合性医院。其职能是：为人民身体健康提供医疗与护理保健服务，同时还承担和田地区医疗与护理医学研究、卫生医疗人员培训、卫生技术人员继续教育、保健与健康教育等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和田地区人民医院2024年度，实有人数1,529人，其中：在职人员1,025人，增加74人；离休人员0人，增加0人；退休人员504人,增加20人。</w:t>
      </w:r>
    </w:p>
    <w:p>
      <w:pPr>
        <w:spacing w:line="580" w:lineRule="exact"/>
        <w:ind w:firstLine="640"/>
        <w:jc w:val="both"/>
      </w:pPr>
      <w:r>
        <w:rPr>
          <w:rFonts w:ascii="仿宋_GB2312" w:hAnsi="仿宋_GB2312" w:eastAsia="仿宋_GB2312"/>
          <w:sz w:val="32"/>
        </w:rPr>
        <w:t>和田地区人民医院无下属预算单位，下设8</w:t>
      </w:r>
      <w:r>
        <w:rPr>
          <w:rFonts w:hint="eastAsia" w:ascii="仿宋_GB2312" w:hAnsi="仿宋_GB2312" w:eastAsia="仿宋_GB2312"/>
          <w:sz w:val="32"/>
          <w:lang w:val="en-US" w:eastAsia="zh-CN"/>
        </w:rPr>
        <w:t>1</w:t>
      </w:r>
      <w:r>
        <w:rPr>
          <w:rFonts w:ascii="仿宋_GB2312" w:hAnsi="仿宋_GB2312" w:eastAsia="仿宋_GB2312"/>
          <w:sz w:val="32"/>
        </w:rPr>
        <w:t>个科室，分别是：党委办公室、行政办公室、团委、人事科、医务部、科教科、病案科、护理部、财务科、总务科、医疗设备科、保卫科、医院感染管理科、经济审计科、医疗质量控制办公室、医疗保险办公室、信息科、纪检监察室、物资采购科、</w:t>
      </w:r>
      <w:r>
        <w:rPr>
          <w:rFonts w:hint="eastAsia" w:ascii="仿宋_GB2312" w:hAnsi="仿宋_GB2312" w:eastAsia="仿宋_GB2312"/>
          <w:sz w:val="32"/>
          <w:lang w:val="en-US" w:eastAsia="zh-CN"/>
        </w:rPr>
        <w:t>公共卫生科、</w:t>
      </w:r>
      <w:bookmarkStart w:id="0" w:name="_GoBack"/>
      <w:bookmarkEnd w:id="0"/>
      <w:r>
        <w:rPr>
          <w:rFonts w:ascii="仿宋_GB2312" w:hAnsi="仿宋_GB2312" w:eastAsia="仿宋_GB2312"/>
          <w:sz w:val="32"/>
        </w:rPr>
        <w:t>消化内科、呼吸内科、心内一科、心内二科、内分泌科、骨一科、骨二科、肝胆外科、泌尿外科、神经外科、心胸外科、麻醉科、儿科、新生儿科、妇科、产一科、产二科、产房、耳鼻喉科、口腔科、中医科、门诊部、急诊科（地区120急救中心）、康复科、感染性疾病科、预防保健科、家庭病床科、皮肤科、全科医学科、神经内科、血液净化室、营养科、肛肠外科、肿瘤内科、肿瘤外科、疼痛科、重症医学科、血液科、肾病科、心理学科（精神科）、烧伤整形美容外科、血管外科、变态反应疾病科、高血压科、眼科、放射科、检验科、功能科、病理科、药剂科、输血科、超声科、高压氧科、内窥镜室、放疗科、介入室、CT室、核磁室（MRI）、体检中心、地区人民医院一分院、地区人民医院西院区。</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2024年度收入总计116,446.96万元，</w:t>
      </w:r>
      <w:r>
        <w:rPr>
          <w:rFonts w:ascii="仿宋_GB2312" w:hAnsi="仿宋_GB2312" w:eastAsia="仿宋_GB2312"/>
          <w:b w:val="0"/>
          <w:sz w:val="32"/>
        </w:rPr>
        <w:t>其中：本年收入合计107,721.11万元，使用非财政拨款结余（含专用结余）8,598.91万元，年初结转和结余126.94万元。</w:t>
      </w:r>
    </w:p>
    <w:p>
      <w:pPr>
        <w:spacing w:line="580" w:lineRule="exact"/>
        <w:ind w:firstLine="640"/>
        <w:jc w:val="both"/>
      </w:pPr>
      <w:r>
        <w:rPr>
          <w:rFonts w:ascii="仿宋_GB2312" w:hAnsi="仿宋_GB2312" w:eastAsia="仿宋_GB2312"/>
          <w:b/>
          <w:sz w:val="32"/>
        </w:rPr>
        <w:t>2024年度支出总计116,446.96万元，</w:t>
      </w:r>
      <w:r>
        <w:rPr>
          <w:rFonts w:ascii="仿宋_GB2312" w:hAnsi="仿宋_GB2312" w:eastAsia="仿宋_GB2312"/>
          <w:b w:val="0"/>
          <w:sz w:val="32"/>
        </w:rPr>
        <w:t>其中：本年支出合计116,291.77万元，结余分配0.00万元，年末结转和结余155.19万元。</w:t>
      </w:r>
    </w:p>
    <w:p>
      <w:pPr>
        <w:spacing w:line="580" w:lineRule="exact"/>
        <w:ind w:firstLine="640"/>
        <w:jc w:val="both"/>
      </w:pPr>
      <w:r>
        <w:rPr>
          <w:rFonts w:ascii="仿宋_GB2312" w:hAnsi="仿宋_GB2312" w:eastAsia="仿宋_GB2312"/>
          <w:b w:val="0"/>
          <w:sz w:val="32"/>
        </w:rPr>
        <w:t>收入支出总体与上年相比，增加1,526.33万元，增长1.33%，主要原因是：本年增加北京对口支援和田地区急救中心设备采购项目资金、带量采购药品结余返还款，导致经费较上年增加。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本年收入107,721.11万元，</w:t>
      </w:r>
      <w:r>
        <w:rPr>
          <w:rFonts w:ascii="仿宋_GB2312" w:hAnsi="仿宋_GB2312" w:eastAsia="仿宋_GB2312"/>
          <w:b w:val="0"/>
          <w:sz w:val="32"/>
        </w:rPr>
        <w:t>其中：财政拨款收入14,883.92万元，占13.82%；上级补助收入0.00万元，占0.00%；事业收入92,345.99万元，占85.73%；经营收入0.00万元，占0.00%；附属单位上缴收入0.00万元，占0.00%；其他收入491.20万元，占0.46%。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本年支出116,291.77万元，</w:t>
      </w:r>
      <w:r>
        <w:rPr>
          <w:rFonts w:ascii="仿宋_GB2312" w:hAnsi="仿宋_GB2312" w:eastAsia="仿宋_GB2312"/>
          <w:b w:val="0"/>
          <w:sz w:val="32"/>
        </w:rPr>
        <w:t>其中：基本支出102,260.20万元，占87.93%；项目支出14,031.57万元，占12.07%；上缴上级支出0.00万元，占0.00%；经营支出0.00万元，占0.00%；对附属单位补助支出0.00万元，占0.00%。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2024年度财政拨款收入总计14,883.92万元，</w:t>
      </w:r>
      <w:r>
        <w:rPr>
          <w:rFonts w:ascii="仿宋_GB2312" w:hAnsi="仿宋_GB2312" w:eastAsia="仿宋_GB2312"/>
          <w:b w:val="0"/>
          <w:sz w:val="32"/>
        </w:rPr>
        <w:t>其中：年初财政拨款结转和结余0.00万元，本年财政拨款收入14,883.92万元。</w:t>
      </w:r>
      <w:r>
        <w:rPr>
          <w:rFonts w:ascii="仿宋_GB2312" w:hAnsi="仿宋_GB2312" w:eastAsia="仿宋_GB2312"/>
          <w:b/>
          <w:sz w:val="32"/>
        </w:rPr>
        <w:t>财政拨款支出总计14,883.92万元，</w:t>
      </w:r>
      <w:r>
        <w:rPr>
          <w:rFonts w:ascii="仿宋_GB2312" w:hAnsi="仿宋_GB2312" w:eastAsia="仿宋_GB2312"/>
          <w:b w:val="0"/>
          <w:sz w:val="32"/>
        </w:rPr>
        <w:t>其中：年末财政拨款结转和结余0.00万元，本年财政拨款支出14,883.92万元。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减少2,352.20万元，下降13.65%，主要原因是：本年度在编人员工资财政承担比例由85%调整为75%，一线人员工作补助项目资金减少。</w:t>
      </w:r>
      <w:r>
        <w:rPr>
          <w:rFonts w:ascii="仿宋_GB2312" w:hAnsi="仿宋_GB2312" w:eastAsia="仿宋_GB2312"/>
          <w:b/>
          <w:sz w:val="32"/>
        </w:rPr>
        <w:t>与年初预算相比，</w:t>
      </w:r>
      <w:r>
        <w:rPr>
          <w:rFonts w:ascii="仿宋_GB2312" w:hAnsi="仿宋_GB2312" w:eastAsia="仿宋_GB2312"/>
          <w:b w:val="0"/>
          <w:sz w:val="32"/>
        </w:rPr>
        <w:t>年初预算数14,630.59万元，决算数14,883.92万元，预决算差异率1.73%，主要原因是：年中追加新疆人才发展基金项目、中央医疗服务与保障能力提升（公立医院综合改革补助）项目，导致预决算存在差异。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2024年度一般公共预算财政拨款支出14,883.92万元，</w:t>
      </w:r>
      <w:r>
        <w:rPr>
          <w:rFonts w:ascii="仿宋_GB2312" w:hAnsi="仿宋_GB2312" w:eastAsia="仿宋_GB2312"/>
          <w:b w:val="0"/>
          <w:sz w:val="32"/>
        </w:rPr>
        <w:t>占本年支出合计的12.80%。</w:t>
      </w:r>
      <w:r>
        <w:rPr>
          <w:rFonts w:ascii="仿宋_GB2312" w:hAnsi="仿宋_GB2312" w:eastAsia="仿宋_GB2312"/>
          <w:b/>
          <w:sz w:val="32"/>
        </w:rPr>
        <w:t>与上年相比，</w:t>
      </w:r>
      <w:r>
        <w:rPr>
          <w:rFonts w:ascii="仿宋_GB2312" w:hAnsi="仿宋_GB2312" w:eastAsia="仿宋_GB2312"/>
          <w:b w:val="0"/>
          <w:sz w:val="32"/>
        </w:rPr>
        <w:t>减少2,352.20万元，下降13.65%，主要原因是：本年度在编人员工资财政承担比例由85%调整为75%，一线人员工作补助项目资金减少。</w:t>
      </w:r>
      <w:r>
        <w:rPr>
          <w:rFonts w:ascii="仿宋_GB2312" w:hAnsi="仿宋_GB2312" w:eastAsia="仿宋_GB2312"/>
          <w:b/>
          <w:sz w:val="32"/>
        </w:rPr>
        <w:t>与年初预算相比,</w:t>
      </w:r>
      <w:r>
        <w:rPr>
          <w:rFonts w:ascii="仿宋_GB2312" w:hAnsi="仿宋_GB2312" w:eastAsia="仿宋_GB2312"/>
          <w:b w:val="0"/>
          <w:sz w:val="32"/>
        </w:rPr>
        <w:t>年初预算数14,630.59万元，决算数14,883.92万元，预决算差异率1.73%，主要原因是：年中追加新疆人才发展基金项目、中央医疗服务与保障能力提升（公立医院综合改革补助）项目，导致预决算存在差异。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1.科学技术支出(类)28.00万元,占0.19%。</w:t>
      </w:r>
    </w:p>
    <w:p>
      <w:pPr>
        <w:spacing w:line="580" w:lineRule="exact"/>
        <w:ind w:firstLine="640"/>
        <w:jc w:val="both"/>
      </w:pPr>
      <w:r>
        <w:rPr>
          <w:rFonts w:ascii="仿宋_GB2312" w:hAnsi="仿宋_GB2312" w:eastAsia="仿宋_GB2312"/>
          <w:b w:val="0"/>
          <w:sz w:val="32"/>
        </w:rPr>
        <w:t>2.社会保障和就业支出(类)781.21万元,占5.25%。</w:t>
      </w:r>
    </w:p>
    <w:p>
      <w:pPr>
        <w:spacing w:line="580" w:lineRule="exact"/>
        <w:ind w:firstLine="640"/>
        <w:jc w:val="both"/>
      </w:pPr>
      <w:r>
        <w:rPr>
          <w:rFonts w:ascii="仿宋_GB2312" w:hAnsi="仿宋_GB2312" w:eastAsia="仿宋_GB2312"/>
          <w:b w:val="0"/>
          <w:sz w:val="32"/>
        </w:rPr>
        <w:t>3.卫生健康支出(类)13,708.02万元,占92.10%。</w:t>
      </w:r>
    </w:p>
    <w:p>
      <w:pPr>
        <w:spacing w:line="580" w:lineRule="exact"/>
        <w:ind w:firstLine="640"/>
        <w:jc w:val="both"/>
      </w:pPr>
      <w:r>
        <w:rPr>
          <w:rFonts w:ascii="仿宋_GB2312" w:hAnsi="仿宋_GB2312" w:eastAsia="仿宋_GB2312"/>
          <w:b w:val="0"/>
          <w:sz w:val="32"/>
        </w:rPr>
        <w:t>4.其他支出(类)366.69万元,占2.46%。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1.一般公共服务支出(类)组织事务(款)其他组织事务支出(项):支出决算数为0.00万元，比上年决算减少78.08万元，下降100.00%,主要原因是：本年科目调整，</w:t>
      </w:r>
      <w:r>
        <w:rPr>
          <w:rFonts w:hint="eastAsia" w:ascii="仿宋_GB2312" w:hAnsi="仿宋_GB2312" w:eastAsia="仿宋_GB2312"/>
          <w:b w:val="0"/>
          <w:color w:val="FF0000"/>
          <w:sz w:val="32"/>
          <w:lang w:val="en-US" w:eastAsia="zh-CN"/>
        </w:rPr>
        <w:t>职工</w:t>
      </w:r>
      <w:r>
        <w:rPr>
          <w:rFonts w:ascii="仿宋_GB2312" w:hAnsi="仿宋_GB2312" w:eastAsia="仿宋_GB2312"/>
          <w:b w:val="0"/>
          <w:sz w:val="32"/>
        </w:rPr>
        <w:t>干部生活补助资金由其他组织事务支出科目调整至其他支出科目支出，导致经费较上年减少。</w:t>
      </w:r>
    </w:p>
    <w:p>
      <w:pPr>
        <w:spacing w:line="580" w:lineRule="exact"/>
        <w:ind w:firstLine="640"/>
        <w:jc w:val="both"/>
      </w:pPr>
      <w:r>
        <w:rPr>
          <w:rFonts w:ascii="仿宋_GB2312" w:hAnsi="仿宋_GB2312" w:eastAsia="仿宋_GB2312"/>
          <w:b w:val="0"/>
          <w:sz w:val="32"/>
        </w:rPr>
        <w:t>2.科学技术支出(类)基础研究(款)自然科学基金(项):支出决算数为28.00万元，比上年决算增加19.00万元，增长211.11%,主要原因是：本年度增加自治区科技计划专项资金，导致经费较上年增加。</w:t>
      </w:r>
    </w:p>
    <w:p>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781.21万元，比上年决算增加781.21万元，增长100.00%,主要原因是：本年功能科目调整，事业单位离退休上年度在主科目列支，本年单独列支，导致经费较上年增加。</w:t>
      </w:r>
    </w:p>
    <w:p>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698.87万元，比上年决算增加104.39万元，增长17.56%,主要原因是：本年中央医疗服务与保障能力提升[卫生健康人才培养]补助资金由其他卫生健康支出科目，调整到其他卫生健康管理事务支出科目；自治区医疗服务与保障能力提升[卫生健康人才培养]补助资金由其他公共卫生支出科目，调整至其他卫生健康管理事务支出科目，导致经费较上年增加。</w:t>
      </w:r>
    </w:p>
    <w:p>
      <w:pPr>
        <w:spacing w:line="580" w:lineRule="exact"/>
        <w:ind w:firstLine="640"/>
        <w:jc w:val="both"/>
      </w:pPr>
      <w:r>
        <w:rPr>
          <w:rFonts w:ascii="仿宋_GB2312" w:hAnsi="仿宋_GB2312" w:eastAsia="仿宋_GB2312"/>
          <w:b w:val="0"/>
          <w:sz w:val="32"/>
        </w:rPr>
        <w:t>5.卫生健康支出(类)公立医院(款)综合医院(项):支出决算数为12,425.44万元，比上年决算减少2,442.09万元，下降16.43%,主要原因是：本年设备采购等资本性支出减少，导致经费较上年减少。</w:t>
      </w:r>
    </w:p>
    <w:p>
      <w:pPr>
        <w:spacing w:line="580" w:lineRule="exact"/>
        <w:ind w:firstLine="640"/>
        <w:jc w:val="both"/>
      </w:pPr>
      <w:r>
        <w:rPr>
          <w:rFonts w:ascii="仿宋_GB2312" w:hAnsi="仿宋_GB2312" w:eastAsia="仿宋_GB2312"/>
          <w:b w:val="0"/>
          <w:sz w:val="32"/>
        </w:rPr>
        <w:t>6.卫生健康支出(类)公立医院(款)其他公立医院支出(项):支出决算数为212.04万元，比上年决算增加17.05万元，增长8.74%,主要原因是：本年度中央医疗服务与保障能力提升[公立医院综合改革]补助项目资金增加，导致经费较上年增加。</w:t>
      </w:r>
    </w:p>
    <w:p>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310.00万元，比上年决算增加310.00万元，增长100.00%,主要原因是：本年增加中央医疗卫生机构能力建设补助项目，导致经费较上年增加。</w:t>
      </w:r>
    </w:p>
    <w:p>
      <w:pPr>
        <w:spacing w:line="580" w:lineRule="exact"/>
        <w:ind w:firstLine="640"/>
        <w:jc w:val="both"/>
      </w:pPr>
      <w:r>
        <w:rPr>
          <w:rFonts w:ascii="仿宋_GB2312" w:hAnsi="仿宋_GB2312" w:eastAsia="仿宋_GB2312"/>
          <w:b w:val="0"/>
          <w:sz w:val="32"/>
        </w:rPr>
        <w:t>8.卫生健康支出(类)公共卫生(款)应急救治机构(项):支出决算数为0.60万元，比上年决算减少288.80万元，下降99.79%,主要原因是：本年新型</w:t>
      </w:r>
      <w:r>
        <w:rPr>
          <w:rFonts w:hint="eastAsia" w:ascii="仿宋_GB2312" w:hAnsi="仿宋_GB2312" w:eastAsia="仿宋_GB2312"/>
          <w:b w:val="0"/>
          <w:color w:val="FF0000"/>
          <w:sz w:val="32"/>
          <w:lang w:val="en-US" w:eastAsia="zh-CN"/>
        </w:rPr>
        <w:t>疾病预防治疗</w:t>
      </w:r>
      <w:r>
        <w:rPr>
          <w:rFonts w:ascii="仿宋_GB2312" w:hAnsi="仿宋_GB2312" w:eastAsia="仿宋_GB2312"/>
          <w:b w:val="0"/>
          <w:sz w:val="32"/>
        </w:rPr>
        <w:t>应急救治能力提升项目资金减少。</w:t>
      </w:r>
    </w:p>
    <w:p>
      <w:pPr>
        <w:spacing w:line="580" w:lineRule="exact"/>
        <w:ind w:firstLine="640"/>
        <w:jc w:val="both"/>
      </w:pPr>
      <w:r>
        <w:rPr>
          <w:rFonts w:ascii="仿宋_GB2312" w:hAnsi="仿宋_GB2312" w:eastAsia="仿宋_GB2312"/>
          <w:b w:val="0"/>
          <w:sz w:val="32"/>
        </w:rPr>
        <w:t>9.卫生健康支出(类)公共卫生(款)基本公共卫生服务(项):支出决算数为25.27万元，比上年决算增加13.59万元，增长116.35%,主要原因是：本年度中央基本公共卫生服务补助项目资金增加，导致经费较上年增加。</w:t>
      </w:r>
    </w:p>
    <w:p>
      <w:pPr>
        <w:spacing w:line="580" w:lineRule="exact"/>
        <w:ind w:firstLine="640"/>
        <w:jc w:val="both"/>
      </w:pPr>
      <w:r>
        <w:rPr>
          <w:rFonts w:ascii="仿宋_GB2312" w:hAnsi="仿宋_GB2312" w:eastAsia="仿宋_GB2312"/>
          <w:b w:val="0"/>
          <w:sz w:val="32"/>
        </w:rPr>
        <w:t>10.卫生健康支出(类)公共卫生(款)重大公共卫生服务(项):支出决算数为29.63万元，比上年决算增加8.73万元，增长41.77%,主要原因是：本年度重大</w:t>
      </w:r>
      <w:r>
        <w:rPr>
          <w:rFonts w:hint="eastAsia" w:ascii="仿宋_GB2312" w:hAnsi="仿宋_GB2312" w:eastAsia="仿宋_GB2312"/>
          <w:b w:val="0"/>
          <w:color w:val="FF0000"/>
          <w:sz w:val="32"/>
          <w:lang w:val="en-US" w:eastAsia="zh-CN"/>
        </w:rPr>
        <w:t>型疾病防治</w:t>
      </w:r>
      <w:r>
        <w:rPr>
          <w:rFonts w:ascii="仿宋_GB2312" w:hAnsi="仿宋_GB2312" w:eastAsia="仿宋_GB2312"/>
          <w:b w:val="0"/>
          <w:sz w:val="32"/>
        </w:rPr>
        <w:t>项目资金增加，导致经费较上年增加。</w:t>
      </w:r>
    </w:p>
    <w:p>
      <w:pPr>
        <w:spacing w:line="580" w:lineRule="exact"/>
        <w:ind w:firstLine="640"/>
        <w:jc w:val="both"/>
      </w:pPr>
      <w:r>
        <w:rPr>
          <w:rFonts w:ascii="仿宋_GB2312" w:hAnsi="仿宋_GB2312" w:eastAsia="仿宋_GB2312"/>
          <w:b w:val="0"/>
          <w:sz w:val="32"/>
        </w:rPr>
        <w:t>11.卫生健康支出(类)公共卫生(款)突发公共卫生事件应急处置(项):支出决算数为6.17万元，比上年决算减少1,010.26万元，下降99.39%,主要原因是：本年一线人员工作补助项目资金减少。</w:t>
      </w:r>
    </w:p>
    <w:p>
      <w:pPr>
        <w:spacing w:line="580" w:lineRule="exact"/>
        <w:ind w:firstLine="640"/>
        <w:jc w:val="both"/>
      </w:pPr>
      <w:r>
        <w:rPr>
          <w:rFonts w:ascii="仿宋_GB2312" w:hAnsi="仿宋_GB2312" w:eastAsia="仿宋_GB2312"/>
          <w:b w:val="0"/>
          <w:sz w:val="32"/>
        </w:rPr>
        <w:t>12.卫生健康支出(类)公共卫生(款)其他公共卫生支出(项):支出决算数为0.00万元，比上年决算减少9.93万元，下降100.00%,主要原因是：本年功能科目调整，自治区医疗服务与保障能力提升[卫生健康人才培养]补助资金由其他公共卫生支出科目调整到其他卫生健康管理事务支出。</w:t>
      </w:r>
    </w:p>
    <w:p>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23.07万元，下降100.00%,主要原因是：本年功能科目调整，中央医疗服务与保障能力提升[卫生健康人才培养]补助资金由其他卫生健康支出科目，调整到其他卫生健康管理事务支出科目。</w:t>
      </w:r>
    </w:p>
    <w:p>
      <w:pPr>
        <w:spacing w:line="580" w:lineRule="exact"/>
        <w:ind w:firstLine="640"/>
        <w:jc w:val="both"/>
      </w:pPr>
      <w:r>
        <w:rPr>
          <w:rFonts w:ascii="仿宋_GB2312" w:hAnsi="仿宋_GB2312" w:eastAsia="仿宋_GB2312"/>
          <w:b w:val="0"/>
          <w:sz w:val="32"/>
        </w:rPr>
        <w:t>14.节能环保支出(类)能源节约利用(款)能源节约利用(项):支出决算数为0.00万元，比上年决算减少2.99万元，下降100.00%,主要原因是：本年减少自治区全社会节能减排专项资金。</w:t>
      </w:r>
    </w:p>
    <w:p>
      <w:pPr>
        <w:spacing w:line="580" w:lineRule="exact"/>
        <w:ind w:firstLine="640"/>
        <w:jc w:val="both"/>
      </w:pPr>
      <w:r>
        <w:rPr>
          <w:rFonts w:ascii="仿宋_GB2312" w:hAnsi="仿宋_GB2312" w:eastAsia="仿宋_GB2312"/>
          <w:b w:val="0"/>
          <w:sz w:val="32"/>
        </w:rPr>
        <w:t>15.其他支出(类)其他支出(款)其他支出(项):支出决算数为366.69万元，比上年决算增加249.05万元，增长211.71%,主要原因是：本年度自治区驻村工作专项经费较上年增加；本年科目调整，</w:t>
      </w:r>
      <w:r>
        <w:rPr>
          <w:rFonts w:hint="eastAsia" w:ascii="仿宋_GB2312" w:hAnsi="仿宋_GB2312" w:eastAsia="仿宋_GB2312"/>
          <w:b w:val="0"/>
          <w:color w:val="FF0000"/>
          <w:sz w:val="32"/>
          <w:lang w:val="en-US" w:eastAsia="zh-CN"/>
        </w:rPr>
        <w:t>职工</w:t>
      </w:r>
      <w:r>
        <w:rPr>
          <w:rFonts w:ascii="仿宋_GB2312" w:hAnsi="仿宋_GB2312" w:eastAsia="仿宋_GB2312"/>
          <w:b w:val="0"/>
          <w:sz w:val="32"/>
        </w:rPr>
        <w:t>干部生活补助资金由其他组织事务支出科目调整至其他支出科目支出，导致经费较上年增加。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2024年度一般公共预算财政拨款基本支出12,705.40万元，其中：</w:t>
      </w:r>
      <w:r>
        <w:rPr>
          <w:rFonts w:ascii="仿宋_GB2312" w:hAnsi="仿宋_GB2312" w:eastAsia="仿宋_GB2312"/>
          <w:b/>
          <w:sz w:val="32"/>
        </w:rPr>
        <w:t>人员经费12,705.40万元，</w:t>
      </w:r>
      <w:r>
        <w:rPr>
          <w:rFonts w:ascii="仿宋_GB2312" w:hAnsi="仿宋_GB2312" w:eastAsia="仿宋_GB2312"/>
          <w:b w:val="0"/>
          <w:sz w:val="32"/>
        </w:rPr>
        <w:t>包括：基本工资、津贴补贴、绩效工资、退休费、抚恤金、生活补助、奖励金。</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29辆，与公务用车保有量差异原因是：单位业务用车，车辆费用未使用财政拨款公务用车运行维护费支付，由单位自有资金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2024年度和田地区人民医院（事业单位）公用经费支出0.00万元，比上年减少53.84万元，下降100.00%，主要原因是：本年减少外派进修学习人员培训费用支出，公用经费较上年减少。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2024年度政府采购支出总额6,165.48万元，其中：政府采购货物支出6,165.48万元、政府采购工程支出0.00万元、政府采购服务支出0.00万元。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授予中小企业合同金额5,358.20万元，占政府采购支出总额的86.91%，其中：授予小微企业合同金额1,052.81万元，占政府采购支出总额的17.08%。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218,283.44平方米，价值78,317.75万元。车辆29辆，价值840.57万元，其中：副部（省）级及以上领导用车0辆、主要负责人用车0辆、机要通信用车0辆、应急保障用车5辆、执法执勤用车0辆、特种专业技术用车16辆、离退休干部服务用车0辆、其他用车8辆，其他用车主要是：两院区的垃圾清运车、洒水车、小货车。单价100万元（含）以上设备（不含车辆）113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116,446.96万元，实际执行总额116,291.77万元；预算绩效评价项目11个，全年预算数2,557.96万元，全年执行数2,178.53万元。预算绩效管理取得的成效：</w:t>
      </w:r>
      <w:r>
        <w:rPr>
          <w:rFonts w:hint="eastAsia" w:ascii="仿宋_GB2312" w:hAnsi="宋体" w:eastAsia="仿宋_GB2312" w:cs="宋体"/>
          <w:color w:val="auto"/>
          <w:kern w:val="0"/>
          <w:sz w:val="32"/>
          <w:szCs w:val="32"/>
          <w:lang w:val="en-US" w:eastAsia="zh-CN"/>
        </w:rPr>
        <w:t>开展绩效评价，提高了绩效工作管理水平，科学制定目标，促进了绩效目标顺利实现，提高了项目资金使用的绩效意识，以便项目实施完成，进行跟踪问效评价，对下一年此类项目预算编制提供参考</w:t>
      </w:r>
      <w:r>
        <w:rPr>
          <w:rFonts w:ascii="仿宋_GB2312" w:hAnsi="仿宋_GB2312" w:eastAsia="仿宋_GB2312"/>
          <w:b w:val="0"/>
          <w:sz w:val="32"/>
        </w:rPr>
        <w:t>。发现的问题及原因：</w:t>
      </w:r>
      <w:r>
        <w:rPr>
          <w:rFonts w:hint="eastAsia" w:ascii="仿宋_GB2312" w:hAnsi="宋体" w:eastAsia="仿宋_GB2312" w:cs="宋体"/>
          <w:color w:val="auto"/>
          <w:kern w:val="0"/>
          <w:sz w:val="32"/>
          <w:szCs w:val="32"/>
          <w:lang w:val="en-US" w:eastAsia="zh-CN"/>
        </w:rPr>
        <w:t>绩效管理专业人员匮乏，规范管理有盲点。预算绩效管理工作的覆盖面广、专业性强，不论预算单位在开展日常管理，还是财政部门组织实施绩效评价，都需要具备一定专业素养和实战经验的人力资源</w:t>
      </w:r>
      <w:r>
        <w:rPr>
          <w:rFonts w:ascii="仿宋_GB2312" w:hAnsi="仿宋_GB2312" w:eastAsia="仿宋_GB2312"/>
          <w:b w:val="0"/>
          <w:sz w:val="32"/>
        </w:rPr>
        <w:t>。下一步改进措施：1、结合医院的实际情况，加快建立健全、统筹谋划好医院人才梯队的总体规划和各学科、各专业、不同层级的人才储备库的建设。2、做好规划和布局，在加大资金投入的同时，按需精准改造升级，统筹整合两院区信息化集合平台，稳步推进信息化的建设。3、我们要顺势而行，要转变服务模式和思维，提</w:t>
      </w:r>
      <w:r>
        <w:rPr>
          <w:rFonts w:hint="eastAsia" w:ascii="仿宋_GB2312" w:hAnsi="仿宋_GB2312" w:eastAsia="仿宋_GB2312"/>
          <w:b w:val="0"/>
          <w:sz w:val="32"/>
          <w:lang w:eastAsia="zh-CN"/>
        </w:rPr>
        <w:t>质</w:t>
      </w:r>
      <w:r>
        <w:rPr>
          <w:rFonts w:ascii="仿宋_GB2312" w:hAnsi="仿宋_GB2312" w:eastAsia="仿宋_GB2312"/>
          <w:b w:val="0"/>
          <w:sz w:val="32"/>
        </w:rPr>
        <w:t>增效，借鉴好的经验，不断创新和扩展服务项目，满足患者的就医需求。具体附整体支出绩效自评表，项目支出绩效自评表和评价报告。</w:t>
      </w:r>
    </w:p>
    <w:p>
      <w:r>
        <w:br w:type="page"/>
      </w:r>
    </w:p>
    <w:tbl>
      <w:tblPr>
        <w:tblStyle w:val="10"/>
        <w:tblW w:w="8946" w:type="dxa"/>
        <w:tblInd w:w="0" w:type="dxa"/>
        <w:tblLayout w:type="fixed"/>
        <w:tblCellMar>
          <w:top w:w="0" w:type="dxa"/>
          <w:left w:w="108" w:type="dxa"/>
          <w:bottom w:w="0" w:type="dxa"/>
          <w:right w:w="108" w:type="dxa"/>
        </w:tblCellMar>
      </w:tblPr>
      <w:tblGrid>
        <w:gridCol w:w="983"/>
        <w:gridCol w:w="983"/>
        <w:gridCol w:w="1016"/>
        <w:gridCol w:w="1016"/>
        <w:gridCol w:w="1016"/>
        <w:gridCol w:w="983"/>
        <w:gridCol w:w="983"/>
        <w:gridCol w:w="983"/>
        <w:gridCol w:w="983"/>
      </w:tblGrid>
      <w:tr>
        <w:tblPrEx>
          <w:tblLayout w:type="fixed"/>
          <w:tblCellMar>
            <w:top w:w="0" w:type="dxa"/>
            <w:left w:w="108" w:type="dxa"/>
            <w:bottom w:w="0" w:type="dxa"/>
            <w:right w:w="108" w:type="dxa"/>
          </w:tblCellMar>
        </w:tblPrEx>
        <w:tc>
          <w:tcPr>
            <w:tcW w:w="8946"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946"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96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124,037.66</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116,446.96</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116,291.77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99.87%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1,991.57</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2,178.52</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2,178.52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13,946.09</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12,705.40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12,705.40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108,100.00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101,563.04</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101,407.85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0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目标1：完成在职人员全年基本工资、津贴补贴、奖金的发放及社保缴费的缴纳，充分调动职工的工作热情和积极性。</w:t>
            </w:r>
            <w:r>
              <w:rPr>
                <w:rFonts w:ascii="宋体" w:hAnsi="宋体" w:eastAsia="宋体"/>
                <w:sz w:val="16"/>
              </w:rPr>
              <w:br w:type="textWrapping"/>
            </w:r>
            <w:r>
              <w:rPr>
                <w:rFonts w:ascii="宋体" w:hAnsi="宋体" w:eastAsia="宋体"/>
                <w:sz w:val="16"/>
              </w:rPr>
              <w:t>目标2：按时发放退休费及生活补助、丧葬费抚恤金，保障退休职工基本生活需要，使其老有所依，对社会的安定和提高医院效益均有益处。</w:t>
            </w:r>
            <w:r>
              <w:rPr>
                <w:rFonts w:ascii="宋体" w:hAnsi="宋体" w:eastAsia="宋体"/>
                <w:sz w:val="16"/>
              </w:rPr>
              <w:br w:type="textWrapping"/>
            </w:r>
            <w:r>
              <w:rPr>
                <w:rFonts w:ascii="宋体" w:hAnsi="宋体" w:eastAsia="宋体"/>
                <w:sz w:val="16"/>
              </w:rPr>
              <w:t>目标3：2024年保障单位正常运行的日常公用经费1203.38万元，用于办公费、培训费、差旅费、取暖费、水电费、物业费等，我院在各项工作顺利开展的同时，加强医院成本管理，控制成本费用，促使医院用最少的物质消耗和劳动消耗取得较大的社会效益和经济效益，不断降低成本费用。</w:t>
            </w:r>
            <w:r>
              <w:rPr>
                <w:rFonts w:ascii="宋体" w:hAnsi="宋体" w:eastAsia="宋体"/>
                <w:sz w:val="16"/>
              </w:rPr>
              <w:br w:type="textWrapping"/>
            </w:r>
            <w:r>
              <w:rPr>
                <w:rFonts w:ascii="宋体" w:hAnsi="宋体" w:eastAsia="宋体"/>
                <w:sz w:val="16"/>
              </w:rPr>
              <w:t>目标4：事业单位经营支出83728.23万元，主要用于卫生材料费、药品费等，我院严格执行药品、耗材、</w:t>
            </w:r>
            <w:r>
              <w:rPr>
                <w:rFonts w:hint="eastAsia" w:ascii="宋体" w:hAnsi="宋体"/>
                <w:sz w:val="16"/>
                <w:lang w:eastAsia="zh-CN"/>
              </w:rPr>
              <w:t>物资</w:t>
            </w:r>
            <w:r>
              <w:rPr>
                <w:rFonts w:ascii="宋体" w:hAnsi="宋体" w:eastAsia="宋体"/>
                <w:sz w:val="16"/>
              </w:rPr>
              <w:t>集中采购制度，要“进出有序，统筹规划，事前预算，加快药品、物流周转，去除库存”，做到统筹、合理、规范使用。</w:t>
            </w:r>
          </w:p>
        </w:tc>
        <w:tc>
          <w:tcPr>
            <w:tcW w:w="49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单位实际完成在职人员全年基本工资、津贴补贴、奖金的发放及社保缴费的缴纳。按时发放退休费及生活补助、丧葬费抚恤金，保障退休职工基本生活需要，保障单位办公费、培训费、差旅费、取暖费、水电费、物业费等，医院在各项工作顺利开展的同时，加强医院成本管理，控制成本费用，购置卫生材料费、药品费等的任务。实际形成支出116291.77万元，通过完成以上工作，实现了促使医院用最少的物质消耗和劳动消耗取得较大的社会效益和经济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预决算信息公开率（%）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预算信息公开相关文件要求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年度门急诊人次（人次）</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≥450000人次</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病案信息年报表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622019人次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年度出院病人数（人次）</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≥60000人次</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病案信息年报表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77527人次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平均住院日（天）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≤10天</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医疗服务收入占比（%）</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住院病人治愈好转率（%）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病床使用率（%）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患者满意度（%）</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职工满意度（%）</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9.21</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2024年公立医院综合改革补助资金项目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本项目主要实施内容为：药品采购批次3次，药品供应商2个，项目总投资为212.04万元，通过本项目的实施，可持续降低患者医药费用，待项目实施完成，争取使受益人群满意度不低于95%。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截至2024年12月31日，本项目实际形成支出212.04万元，已完成药品采购批次3次，药品供应商2个的任务，达到了持续降低患者医药费用的效益，受益人群满意度达到96.6%。</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药品采购批次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药品供应商数量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2024年7月31日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药品采购成本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降低患者医药费用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612"/>
        <w:gridCol w:w="600"/>
        <w:gridCol w:w="1737"/>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2024年医务人员临时性工作补助资金项目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6.17</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2.95% </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3.74</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2.43</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本项目主要实施内容为：工作补助发放人数30人，项目总投资为209.1万元，项目计划于2024年12月完成。通过本项目的实施，可有效提高</w:t>
            </w:r>
            <w:r>
              <w:rPr>
                <w:rFonts w:hint="eastAsia" w:ascii="宋体" w:hAnsi="宋体"/>
                <w:sz w:val="16"/>
                <w:lang w:val="en-US" w:eastAsia="zh-CN"/>
              </w:rPr>
              <w:t>医疗服务</w:t>
            </w:r>
            <w:r>
              <w:rPr>
                <w:rFonts w:ascii="宋体" w:hAnsi="宋体" w:eastAsia="宋体"/>
                <w:sz w:val="16"/>
              </w:rPr>
              <w:t>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2024年12月31日，本项目实际形成支出6.17万元，已完成工作补助发放人数30人的任务，达到了有效提高</w:t>
            </w:r>
            <w:r>
              <w:rPr>
                <w:rFonts w:hint="eastAsia" w:ascii="宋体" w:hAnsi="宋体"/>
                <w:sz w:val="16"/>
                <w:lang w:val="en-US" w:eastAsia="zh-CN"/>
              </w:rPr>
              <w:t>医疗服务</w:t>
            </w:r>
            <w:r>
              <w:rPr>
                <w:rFonts w:ascii="宋体" w:hAnsi="宋体" w:eastAsia="宋体"/>
                <w:sz w:val="16"/>
              </w:rPr>
              <w:t>能力的效益，受益医护人员满意度达到87.5%。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工作补助发放人数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=30人</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2024年12月31日之前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工作补助发放经费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≤209.10万元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=6.17万元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偏差原因：工作补助已按要求足额发放，改进措施：结余资金交回财政。</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w:t>
            </w:r>
            <w:r>
              <w:rPr>
                <w:rFonts w:hint="eastAsia" w:ascii="宋体" w:hAnsi="宋体"/>
                <w:sz w:val="16"/>
                <w:lang w:eastAsia="zh-CN"/>
              </w:rPr>
              <w:t>YQ</w:t>
            </w:r>
            <w:r>
              <w:rPr>
                <w:rFonts w:ascii="宋体" w:hAnsi="宋体" w:eastAsia="宋体"/>
                <w:sz w:val="16"/>
              </w:rPr>
              <w:t>防控能力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受益医护人员满意度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=87.5%</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偏差原因：目标值设置偏高，改进措施：合理设置目标值。</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877"/>
        <w:gridCol w:w="915"/>
        <w:gridCol w:w="1260"/>
        <w:gridCol w:w="795"/>
        <w:gridCol w:w="1005"/>
        <w:gridCol w:w="720"/>
        <w:gridCol w:w="705"/>
        <w:gridCol w:w="1587"/>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2024年援疆干部南疆补贴项目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30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401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52.42</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52.42</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45.67</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87.12% </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6.78分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52.42</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52.42</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45.67</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0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8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0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援疆干部39人，工作补贴保障12个月，项目总投资为52.42万元，项目计划于2024年12月完成。通过本项目的实施，可有效提高医疗服务质量，待项目实施完成，争取使受益人群满意度不低于95%。</w:t>
            </w:r>
          </w:p>
        </w:tc>
        <w:tc>
          <w:tcPr>
            <w:tcW w:w="481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2024年12月31日，本项目实际形成支出45.67万元，已完成援疆干部39人，工作补贴保障12个月的任务，达到了有效提高医疗服务质量的效益，受益援疆专家满意度达到95%。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rPr>
          <w:trHeight w:val="37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8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援疆干部数量</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≥39人</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=39人</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工作补贴保障月数</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补助覆盖率</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补助发放及时率</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1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援疆专家工作补贴支出</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≤52.42万元</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=45.67万元</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13.56</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偏差原因：该项目已按月足额发放援疆专家南疆工作补贴，结余资金交回财政，改进措施：合理规划工作安排。</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提高医疗服务质量</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87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12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受益援疆专家满意度</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72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58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30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401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90.34分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627"/>
        <w:gridCol w:w="615"/>
        <w:gridCol w:w="1707"/>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2024年新疆人才发展基金项目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294.94</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94.83% </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8.71分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193.92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101.02</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选派110名专业技术人员赴天津市各医院进修培训，管理人才短期考察培训110人，购买康复科使用医疗设备1台，生活补助发放1人，项目总投资为311.02万元，项目计划于2024年12月完成。通过本项目的实施，可有效提升医务人员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294.94万元，已完成培育医疗人才117人，管理人才短期考察培训119人，购买康复科使用医疗设备1台，生活补助发放1人的任务。通过本项目的实施，达到了有效提升了医务人员服务能力，受益人群满意度达到87.5%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医疗人才培养人数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5.62</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偏差原因：因业务需求，外出进修人数增加，改进措施：加强绩效管理能力。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管理人才短期考察培训人数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=119人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5.51</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偏差原因：因业务需求，外出培训人数增加，改进措施：加强绩效管理能力。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购买康复科使用医疗设备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=1台</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生活补助发放人数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偏差原因：部分派出医护人员还未结业，改进措施：加强医护人员专业技能水平。</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医疗人才培养支出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=137.41万元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4.77</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偏差原因：部分派出进修医护人员还未结业，改进措施：待返院后完成支付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短期考察培养支出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=42.51万元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3.13</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偏差原因：部分派出培训医护人员还未结业，改进措施：待返院后完成支付</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重点学科建设支出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≤111.02万元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=105.02万元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4.32</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偏差原因：正在走支付审批流程，改进措施：加快支付进度。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天山英才项目支出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提升医务人员服务能力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受益医务人员满意度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7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偏差原因：目标值设置偏高，改进措施：合理设置目标值。</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90.06分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792"/>
        <w:gridCol w:w="750"/>
        <w:gridCol w:w="1407"/>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2024年重大</w:t>
            </w:r>
            <w:r>
              <w:rPr>
                <w:rFonts w:hint="eastAsia" w:ascii="宋体" w:hAnsi="宋体"/>
                <w:color w:val="FF0000"/>
                <w:sz w:val="16"/>
                <w:lang w:val="en-US" w:eastAsia="zh-CN"/>
              </w:rPr>
              <w:t>型疾病防治</w:t>
            </w:r>
            <w:r>
              <w:rPr>
                <w:rFonts w:ascii="宋体" w:hAnsi="宋体" w:eastAsia="宋体"/>
                <w:sz w:val="16"/>
              </w:rPr>
              <w:t>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29.63</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35.30% </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20.70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8.93</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本年计划治疗包虫病患者10人以上，购置专用材料至少8次，购买设备5批次，项目总投资83.94万元，项目计划于2024年12月完成。通过本项目的实施，可有效提高人群健康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年12月31日，本单位实际形成支出29.63万元，已完成本年治疗包虫病患者8人，购置专用材料8次，购买设备5批次的任务，达到有效提高人群健康水平的效益，受益患者满意度达到96.6%。</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治疗包虫病患者数量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=8人</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偏差原因：2024年收治包虫病患者较少，故未完成目标。改进措施：加强绩效管理工作。</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采购专用材料批次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=8次</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采购设备批次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包虫病患者成功治疗率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患者救治及时率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包虫病防治项目支出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=4.76万元</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偏差原因：2024年收治包虫病患者较少，故未支付完成，改进措施：加强绩效管理工作。</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重大疾病监测支出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=21.87万元</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偏差原因：正在走支付审批流程，改进措施：加快支付进度。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能力提升项目支出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提高人群健康水平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=96.6%</w:t>
            </w:r>
          </w:p>
        </w:tc>
        <w:tc>
          <w:tcPr>
            <w:tcW w:w="79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40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73.46分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837"/>
        <w:gridCol w:w="840"/>
        <w:gridCol w:w="1272"/>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2024年青年医学科技人才专项科研项目与适宜技术推广项目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87.50% </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6.88分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青年医学科技人才专项科研项目3个，适宜技术推广项目2个，预计发表论文2篇，参加专项技术培训人数290余人，资金使用合规率100%，资金支付及时率90%以上，项目组成员满意度达到90%以上，成本控制在16万元以内，青年医学科技人才专项科研项目有效促进我区青年医学科技人才健康成长，培养优秀青年医学科技骨干，推广基层适宜技术有效提升基层医务人员服务能力，解决基层卫生人才短缺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14万元，已完成2024年青年医学科技人才专项科研项目3个，适宜技术推广项目2个，发表论文2篇，参加专项技术培训人数293人的任务，达到了有效促进我区青年医学科技人才健康成长，推广基层适宜技术有效提升基层医务人员服务能力的效益，受益项目组成员满意度达到96%。</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科研项目个数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适宜技术推广项目个数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发表论文个数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=2篇</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培训专科医生人数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=293人</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5.94</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偏差原因：2项适宜技术推广项目按要求开展，项目结束后统计参加培训人数293人。改进措施：加强绩效管理能力。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科研项目研究经费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=4万元</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偏差原因：项目组成员报账不及时尚未形成支出，改进措施：督促项目组成员及时报送材料，及时形成支出。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适宜技术推广费用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提升医务人员服务水平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项目组成员满意度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w:t>
            </w:r>
          </w:p>
        </w:tc>
        <w:tc>
          <w:tcPr>
            <w:tcW w:w="837"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84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7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88.49分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822"/>
        <w:gridCol w:w="795"/>
        <w:gridCol w:w="1332"/>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为民办实事项目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26.09</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62.15% </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8.11</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17.98</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派出2个工作队，工作队员不少于12人,为民办实事不少于40件，项目总投资41.98万元，项目计划在2024年12月31日完成，通过本项目的实施，可有效保障群众对党的惠民政策知晓程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2024年12月31日，本项目实际形成支出26.09万元，已完成派出2</w:t>
            </w:r>
            <w:r>
              <w:rPr>
                <w:rFonts w:hint="eastAsia" w:ascii="宋体" w:hAnsi="宋体"/>
                <w:sz w:val="16"/>
                <w:lang w:eastAsia="zh-CN"/>
              </w:rPr>
              <w:t>支</w:t>
            </w:r>
            <w:r>
              <w:rPr>
                <w:rFonts w:ascii="宋体" w:hAnsi="宋体" w:eastAsia="宋体"/>
                <w:sz w:val="16"/>
              </w:rPr>
              <w:t>工作队，工作队员12人,为民办实事28件的任务。达到了有效保障群众对党的惠民政策知晓程度的效益，受益群众满意度达到100%。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派驻工作队数量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=12人</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=28件</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偏差原因：项目经费计划跨年使用，改进措施：按实施计划，剩余资金2025年3月31日之前使用</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偏差原因：项目经费计划跨年使用，改进措施：按实施计划，剩余资金2025年3月31日之前使用</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塔木艾格勒村经费支出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=9.97万元</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偏差原因：项目经费计划跨年使用，改进措施：按实施计划，剩余资金2025年3月31日之前使用</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英巴格村经费支出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=16.12万元</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3.05</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偏差原因：项目经费计划跨年使用，改进措施：按实施计划，剩余资金2025年3月31日之前使用</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82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3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67.59分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医疗卫生机构能力建设项目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855.89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94.85%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8.71分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采购专用设备5批，支付项目审计费1次，重点专科建设1个，项目总投资为855.89万元，项目计划于2024年12月完成。通过本项目的实施，可持续提升业务保障能力情况，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2024年12月31日，本项目实际形成支出811.85万元，已完成采购专用设备5批，支付项目审计费1次，重点专科建设1个的任务，达到了持续提升业务保障能力的效益,受益使用人员满意度达到96.6%。</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采购专用设备批次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支付审计费次数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重点专科建设数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设备采购支出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≤855.29万元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=811.25万元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偏差原因：从采购到支付流程的时间跨度超出了预期，改进措施：加强采购流程进度。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项目审计费支出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提升业务保障能力情况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受益使用人员满意度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96.39分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卫生健康人才培养项目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714.24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684.87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95.89%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8.97分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676.94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开展301名学员的培训，其中住院医师规范化培训学员189人，助理全科医生102人，全科医生转岗培训学员10人，项目总投资为714.24万元，项目计划于2024年12月完成。通过本项目的实施，可有效提高学员临床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2024年12月31日，本项目实际形成支出684.87万元，住院医师规范化培训学员189人，助理全科医生102人，全科医生转岗培训学员16人的任务，达到了有效提高学员临床服务能力，受益人群满意度达到98.1%。</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培训住院医师人数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培训助理全科医生人数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培训全科医生转岗学员人数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偏差原因：年初测算不精准导致偏差，改进措施：提高测算能力，从严从高设置绩效目标。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学员培训完成率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住院医师规范化培训费用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≤514.18万元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=514.18万元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助理全科医生培训费用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偏差原因：该补助资金按照年初制定的实施方案按月使用，改进措施：剩余资金于2025年2月支付完毕</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全科医生转岗培训费用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偏差原因：该补助资金按照年初制定的实施方案按月使用，改进措施：剩余资金于2025年2月支付完毕</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提高学员临床服务能力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受益学员满意度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87.81分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母婴安全保障项目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89.23%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7.31分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计划开展培训班11次以上，购置专用材料3批次，项目总投资为28.32万元，项目计划于2024年12月完成。通过本项目的实施，可有效提高医疗服务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2024年12月31日，本项目实际形成支出25.27万元，已完成开展培训班11次，购置专用材料3批次的任务，达到了有效提高医疗服务水平的效益，受益培训人员满意度达到98%。</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采购专用材料次数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开展培训班次数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培训考核通过率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培训费用支出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偏差原因：年底产科收治患者较多，科室业务繁忙，未合理安排专项资金的使用，改进措施：加强绩效管理能力。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专用材料采购支出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偏差原因：年底产科收治患者较多，科室业务繁忙，未合理安排专项资金的使用，改进措施：加强绩效管理能力。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提升医疗服务水平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受益培训人员满意度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90.87分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自治区自然科学基金计划项目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和田地区人民医院</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84.85%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6.21分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主要用于5个科研项目，计划发表论文5篇，培养研究生1人，资金支付及时率90%以上，成本支出控制在33万元以内，资金使用合规率达100%，项目组成员满意度90%以上，通过该项目的实施，有效提升我单位科研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2024年12月31日，本项目实际形成支出28万元，已完成用于5个科研项目，发表论文5篇，培养研究生1人，技术指导培训次数2次的任务，达到了有效提升我单位科研水平的效益，项目组成员满意度达到100%。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科研项目个数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发表论文个数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技术指导培训次数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培养研究生人数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抑制剂通过信号通路联合免疫治疗疗效项目支出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结肠癌选择性栓塞治疗的纳米药物研究支出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胃肠道间质瘤细胞转移能力研究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偏差原因：该项目已购置实验所需试剂和耗材，报销资料正在审批中，改进措施：加快支付进度。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弱视筛查和真性小眼球基因变异研究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人胚胎干细胞微泡中细胞分化对视网膜变性疾病治疗的研究支出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提升科研水平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项目组成员满意度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92.21分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69F818-74B8-4516-B939-15A2A69B21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0" w:usb1="00000000" w:usb2="00000000" w:usb3="00000000" w:csb0="00000000" w:csb1="00000000"/>
    <w:embedRegular r:id="rId2" w:fontKey="{855DD30D-6692-485D-8138-71C6E5078DC4}"/>
  </w:font>
  <w:font w:name="仿宋_GB2312">
    <w:panose1 w:val="02010609030101010101"/>
    <w:charset w:val="86"/>
    <w:family w:val="auto"/>
    <w:pitch w:val="default"/>
    <w:sig w:usb0="00000001" w:usb1="080E0000" w:usb2="00000000" w:usb3="00000000" w:csb0="00040000" w:csb1="00000000"/>
    <w:embedRegular r:id="rId3" w:fontKey="{94FF64E3-F6CB-4E08-8986-B1000A262219}"/>
  </w:font>
  <w:font w:name="楷体_GB2312">
    <w:panose1 w:val="02010609030101010101"/>
    <w:charset w:val="86"/>
    <w:family w:val="auto"/>
    <w:pitch w:val="default"/>
    <w:sig w:usb0="00000001" w:usb1="080E0000" w:usb2="00000000" w:usb3="00000000" w:csb0="00040000" w:csb1="00000000"/>
    <w:embedRegular r:id="rId4" w:fontKey="{5393CFAA-153A-4DE5-A3E1-283DA8EC4C4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AF3AA9"/>
    <w:rsid w:val="021B7195"/>
    <w:rsid w:val="02F73D26"/>
    <w:rsid w:val="034D4FEF"/>
    <w:rsid w:val="043E5B56"/>
    <w:rsid w:val="06301603"/>
    <w:rsid w:val="06792773"/>
    <w:rsid w:val="09A729D8"/>
    <w:rsid w:val="0A3C58E8"/>
    <w:rsid w:val="0A7B4867"/>
    <w:rsid w:val="0B8C3ECC"/>
    <w:rsid w:val="0BE04F6A"/>
    <w:rsid w:val="0C3613A3"/>
    <w:rsid w:val="0C7227A7"/>
    <w:rsid w:val="0DCA6EF7"/>
    <w:rsid w:val="0E4B1576"/>
    <w:rsid w:val="0E9E29B6"/>
    <w:rsid w:val="0EA04331"/>
    <w:rsid w:val="0F223A2B"/>
    <w:rsid w:val="0F9811B3"/>
    <w:rsid w:val="11E15093"/>
    <w:rsid w:val="120E0809"/>
    <w:rsid w:val="12BB532F"/>
    <w:rsid w:val="171B4ED9"/>
    <w:rsid w:val="19071D6C"/>
    <w:rsid w:val="19B5554D"/>
    <w:rsid w:val="1B8F2D19"/>
    <w:rsid w:val="1C317E4F"/>
    <w:rsid w:val="1C472464"/>
    <w:rsid w:val="1DAF458D"/>
    <w:rsid w:val="1E086ACE"/>
    <w:rsid w:val="1E4B5CA5"/>
    <w:rsid w:val="1E771E1F"/>
    <w:rsid w:val="1EAA4A5F"/>
    <w:rsid w:val="1F587A0B"/>
    <w:rsid w:val="2064678E"/>
    <w:rsid w:val="20BC0B75"/>
    <w:rsid w:val="20DD6197"/>
    <w:rsid w:val="21F317F2"/>
    <w:rsid w:val="2241392C"/>
    <w:rsid w:val="23BC04D2"/>
    <w:rsid w:val="24653902"/>
    <w:rsid w:val="25275618"/>
    <w:rsid w:val="27CE017C"/>
    <w:rsid w:val="27CF2642"/>
    <w:rsid w:val="282459E2"/>
    <w:rsid w:val="29116777"/>
    <w:rsid w:val="29281765"/>
    <w:rsid w:val="2A053397"/>
    <w:rsid w:val="2A216D0C"/>
    <w:rsid w:val="2A444FB1"/>
    <w:rsid w:val="2A6064E2"/>
    <w:rsid w:val="2AB15B8E"/>
    <w:rsid w:val="2B4859AD"/>
    <w:rsid w:val="2C1965E9"/>
    <w:rsid w:val="2CCF671F"/>
    <w:rsid w:val="2D1136DF"/>
    <w:rsid w:val="2D220BDC"/>
    <w:rsid w:val="2DAE0E44"/>
    <w:rsid w:val="2E8279EF"/>
    <w:rsid w:val="2FD27414"/>
    <w:rsid w:val="302539FA"/>
    <w:rsid w:val="313F1D52"/>
    <w:rsid w:val="318029AB"/>
    <w:rsid w:val="31C63837"/>
    <w:rsid w:val="323A32B7"/>
    <w:rsid w:val="326F0A17"/>
    <w:rsid w:val="3277581B"/>
    <w:rsid w:val="36EA3FC1"/>
    <w:rsid w:val="38006E2C"/>
    <w:rsid w:val="39031AEC"/>
    <w:rsid w:val="3914510A"/>
    <w:rsid w:val="3B1220C9"/>
    <w:rsid w:val="3D5275AC"/>
    <w:rsid w:val="3EA7725F"/>
    <w:rsid w:val="3EC014A1"/>
    <w:rsid w:val="40834692"/>
    <w:rsid w:val="423A32B2"/>
    <w:rsid w:val="423C0CB4"/>
    <w:rsid w:val="427B5743"/>
    <w:rsid w:val="42E64542"/>
    <w:rsid w:val="44522268"/>
    <w:rsid w:val="464B7E04"/>
    <w:rsid w:val="464F7E64"/>
    <w:rsid w:val="46901EEE"/>
    <w:rsid w:val="469C74D2"/>
    <w:rsid w:val="47445515"/>
    <w:rsid w:val="493D6C3E"/>
    <w:rsid w:val="497B61C5"/>
    <w:rsid w:val="4A033E74"/>
    <w:rsid w:val="4B000C61"/>
    <w:rsid w:val="4B4C0111"/>
    <w:rsid w:val="4BB23021"/>
    <w:rsid w:val="4C5C058C"/>
    <w:rsid w:val="4CB70F02"/>
    <w:rsid w:val="4F3F074E"/>
    <w:rsid w:val="50DB5F45"/>
    <w:rsid w:val="514C43D3"/>
    <w:rsid w:val="52F92565"/>
    <w:rsid w:val="543D17CB"/>
    <w:rsid w:val="55560182"/>
    <w:rsid w:val="55DA564E"/>
    <w:rsid w:val="56E07045"/>
    <w:rsid w:val="583059FA"/>
    <w:rsid w:val="587E6212"/>
    <w:rsid w:val="5A7A11AE"/>
    <w:rsid w:val="5AFC6609"/>
    <w:rsid w:val="5C4E421A"/>
    <w:rsid w:val="5DC91D8C"/>
    <w:rsid w:val="5DD14C26"/>
    <w:rsid w:val="5FA17648"/>
    <w:rsid w:val="5FD320BD"/>
    <w:rsid w:val="60DE4D57"/>
    <w:rsid w:val="613409CB"/>
    <w:rsid w:val="61A46A97"/>
    <w:rsid w:val="62DD7D21"/>
    <w:rsid w:val="64674E44"/>
    <w:rsid w:val="65D97752"/>
    <w:rsid w:val="664C500C"/>
    <w:rsid w:val="6695542B"/>
    <w:rsid w:val="669730E8"/>
    <w:rsid w:val="674C0A8D"/>
    <w:rsid w:val="67D111AB"/>
    <w:rsid w:val="68005B54"/>
    <w:rsid w:val="68DB0208"/>
    <w:rsid w:val="68DF36D5"/>
    <w:rsid w:val="69846A0E"/>
    <w:rsid w:val="69AD798C"/>
    <w:rsid w:val="6B68175F"/>
    <w:rsid w:val="6B8B5C99"/>
    <w:rsid w:val="6CA7198F"/>
    <w:rsid w:val="6D8919A8"/>
    <w:rsid w:val="6E0F7A08"/>
    <w:rsid w:val="6E801ABC"/>
    <w:rsid w:val="713E005B"/>
    <w:rsid w:val="71473612"/>
    <w:rsid w:val="718F7F65"/>
    <w:rsid w:val="73423603"/>
    <w:rsid w:val="737A5923"/>
    <w:rsid w:val="73A71287"/>
    <w:rsid w:val="73DE4104"/>
    <w:rsid w:val="73FB6630"/>
    <w:rsid w:val="74CE04EC"/>
    <w:rsid w:val="74E76DCD"/>
    <w:rsid w:val="75623AF9"/>
    <w:rsid w:val="76660D7C"/>
    <w:rsid w:val="77ED6F44"/>
    <w:rsid w:val="795A0A34"/>
    <w:rsid w:val="7A0D3BC7"/>
    <w:rsid w:val="7A3A3CDB"/>
    <w:rsid w:val="7AC339E3"/>
    <w:rsid w:val="7B897BA3"/>
    <w:rsid w:val="7D9C40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5898</Words>
  <Characters>6864</Characters>
  <Lines>0</Lines>
  <Paragraphs>0</Paragraphs>
  <TotalTime>232</TotalTime>
  <ScaleCrop>false</ScaleCrop>
  <LinksUpToDate>false</LinksUpToDate>
  <CharactersWithSpaces>6872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2025-09-10T09:19:18Z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