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和田地区纤维检验所2024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132FF01">
      <w:r>
        <w:br w:type="page"/>
      </w:r>
    </w:p>
    <w:p w14:paraId="57DF8A58">
      <w:pPr>
        <w:spacing w:line="640" w:lineRule="exact"/>
        <w:jc w:val="center"/>
        <w:outlineLvl w:val="1"/>
      </w:pPr>
      <w:r>
        <w:rPr>
          <w:rFonts w:ascii="黑体" w:hAnsi="黑体" w:eastAsia="黑体"/>
          <w:sz w:val="32"/>
        </w:rPr>
        <w:t>第一部分 单位概况</w:t>
      </w:r>
    </w:p>
    <w:p w14:paraId="4E971CA7">
      <w:pPr>
        <w:spacing w:line="640" w:lineRule="exact"/>
        <w:ind w:firstLine="640"/>
        <w:jc w:val="both"/>
        <w:outlineLvl w:val="2"/>
      </w:pPr>
      <w:r>
        <w:rPr>
          <w:rFonts w:ascii="黑体" w:hAnsi="黑体" w:eastAsia="黑体"/>
          <w:sz w:val="32"/>
        </w:rPr>
        <w:t>一、主要职能</w:t>
      </w:r>
    </w:p>
    <w:p w14:paraId="0858550A">
      <w:pPr>
        <w:spacing w:line="580" w:lineRule="exact"/>
        <w:ind w:firstLine="640"/>
        <w:jc w:val="both"/>
      </w:pPr>
      <w:r>
        <w:rPr>
          <w:rFonts w:ascii="仿宋_GB2312" w:hAnsi="仿宋_GB2312" w:eastAsia="仿宋_GB2312"/>
          <w:sz w:val="32"/>
        </w:rPr>
        <w:t>（1）纤维质量监督检验：1.对各类天然纤维以及化学纤维进行质量检验，确保其符合国家相关标准和质量要求。2.承担纤维公证检验任务，为</w:t>
      </w:r>
      <w:r>
        <w:rPr>
          <w:rFonts w:hint="eastAsia" w:ascii="仿宋_GB2312" w:hAnsi="仿宋_GB2312" w:eastAsia="仿宋_GB2312"/>
          <w:sz w:val="32"/>
          <w:lang w:eastAsia="zh-CN"/>
        </w:rPr>
        <w:t>棉纤维</w:t>
      </w:r>
      <w:r>
        <w:rPr>
          <w:rFonts w:ascii="仿宋_GB2312" w:hAnsi="仿宋_GB2312" w:eastAsia="仿宋_GB2312"/>
          <w:sz w:val="32"/>
        </w:rPr>
        <w:t>交易提供客观、公正、准确的质量数据。</w:t>
      </w:r>
    </w:p>
    <w:p w14:paraId="5B2C54FB">
      <w:pPr>
        <w:spacing w:line="580" w:lineRule="exact"/>
        <w:ind w:firstLine="640"/>
        <w:jc w:val="both"/>
      </w:pPr>
      <w:r>
        <w:rPr>
          <w:rFonts w:ascii="仿宋_GB2312" w:hAnsi="仿宋_GB2312" w:eastAsia="仿宋_GB2312"/>
          <w:sz w:val="32"/>
        </w:rPr>
        <w:t>（2）纤维制品质量监管：1.对纤维制品进行质量监督抽查，防止不合格产品流入市场。2.检查纤维制品的标识标注是否规范，保障消费者的知情权。</w:t>
      </w:r>
    </w:p>
    <w:p w14:paraId="4346DEDB">
      <w:pPr>
        <w:spacing w:line="580" w:lineRule="exact"/>
        <w:ind w:firstLine="640"/>
        <w:jc w:val="both"/>
      </w:pPr>
      <w:r>
        <w:rPr>
          <w:rFonts w:ascii="仿宋_GB2312" w:hAnsi="仿宋_GB2312" w:eastAsia="仿宋_GB2312"/>
          <w:sz w:val="32"/>
        </w:rPr>
        <w:t>（3）技术服务与指导：1.为纤维生产企业、经营单位提供技术咨询和服务，帮助其提高产品质量。2.开展纤维检验技术培训，提高相关人员的业务水平。</w:t>
      </w:r>
    </w:p>
    <w:p w14:paraId="1AE3F4FA">
      <w:pPr>
        <w:spacing w:line="580" w:lineRule="exact"/>
        <w:ind w:firstLine="640"/>
        <w:jc w:val="both"/>
      </w:pPr>
      <w:r>
        <w:rPr>
          <w:rFonts w:ascii="仿宋_GB2312" w:hAnsi="仿宋_GB2312" w:eastAsia="仿宋_GB2312"/>
          <w:sz w:val="32"/>
        </w:rPr>
        <w:t>（4）执法协助：1.配合市场监管等部门开展纤维质量执法行动，提供专业的技术支持。2.对涉嫌质量违法的纤维及制品进行检验鉴定，为执法部门提供依据。</w:t>
      </w:r>
    </w:p>
    <w:p w14:paraId="0CF86A4D">
      <w:pPr>
        <w:spacing w:line="640" w:lineRule="exact"/>
        <w:ind w:firstLine="640"/>
        <w:jc w:val="both"/>
        <w:outlineLvl w:val="2"/>
      </w:pPr>
      <w:r>
        <w:rPr>
          <w:rFonts w:ascii="黑体" w:hAnsi="黑体" w:eastAsia="黑体"/>
          <w:sz w:val="32"/>
        </w:rPr>
        <w:t>二、机构设置及人员情况</w:t>
      </w:r>
    </w:p>
    <w:p w14:paraId="47ABB25E">
      <w:pPr>
        <w:spacing w:line="580" w:lineRule="exact"/>
        <w:ind w:firstLine="640"/>
        <w:jc w:val="both"/>
      </w:pPr>
      <w:r>
        <w:rPr>
          <w:rFonts w:ascii="仿宋_GB2312" w:hAnsi="仿宋_GB2312" w:eastAsia="仿宋_GB2312"/>
          <w:sz w:val="32"/>
        </w:rPr>
        <w:t>和田地区纤维检验所2024年度，实有人数18人，其中：在职人员9人，减少2人；离休人员0人，增加0人；退休人员9人,增加2人。</w:t>
      </w:r>
    </w:p>
    <w:p w14:paraId="1CF40FC5">
      <w:pPr>
        <w:spacing w:line="580" w:lineRule="exact"/>
        <w:ind w:firstLine="640"/>
        <w:jc w:val="both"/>
      </w:pPr>
      <w:r>
        <w:rPr>
          <w:rFonts w:ascii="仿宋_GB2312" w:hAnsi="仿宋_GB2312" w:eastAsia="仿宋_GB2312"/>
          <w:sz w:val="32"/>
        </w:rPr>
        <w:t>和田地区纤维检验所无下属预算单位，下设2个科室，分别是：办公室、财务室。</w:t>
      </w:r>
    </w:p>
    <w:p w14:paraId="7D9D3B8A">
      <w:r>
        <w:br w:type="page"/>
      </w:r>
    </w:p>
    <w:p w14:paraId="39F9039E">
      <w:pPr>
        <w:spacing w:line="240" w:lineRule="auto"/>
        <w:jc w:val="center"/>
        <w:outlineLvl w:val="1"/>
      </w:pPr>
      <w:r>
        <w:rPr>
          <w:rFonts w:ascii="黑体" w:hAnsi="黑体" w:eastAsia="黑体"/>
          <w:sz w:val="32"/>
        </w:rPr>
        <w:t>第二部分 部门决算情况说明</w:t>
      </w:r>
    </w:p>
    <w:p w14:paraId="6D60E979">
      <w:pPr>
        <w:spacing w:line="640" w:lineRule="exact"/>
        <w:ind w:firstLine="640"/>
        <w:jc w:val="both"/>
        <w:outlineLvl w:val="2"/>
      </w:pPr>
      <w:r>
        <w:rPr>
          <w:rFonts w:ascii="黑体" w:hAnsi="黑体" w:eastAsia="黑体"/>
          <w:sz w:val="32"/>
        </w:rPr>
        <w:t>一、收入支出决算总体情况说明</w:t>
      </w:r>
    </w:p>
    <w:p w14:paraId="04A4D420">
      <w:pPr>
        <w:spacing w:line="580" w:lineRule="exact"/>
        <w:ind w:firstLine="640"/>
        <w:jc w:val="both"/>
      </w:pPr>
      <w:r>
        <w:rPr>
          <w:rFonts w:ascii="仿宋_GB2312" w:hAnsi="仿宋_GB2312" w:eastAsia="仿宋_GB2312"/>
          <w:b/>
          <w:sz w:val="32"/>
        </w:rPr>
        <w:t>2024年度收入总计675.30万元，</w:t>
      </w:r>
      <w:r>
        <w:rPr>
          <w:rFonts w:ascii="仿宋_GB2312" w:hAnsi="仿宋_GB2312" w:eastAsia="仿宋_GB2312"/>
          <w:b w:val="0"/>
          <w:sz w:val="32"/>
        </w:rPr>
        <w:t>其中：本年收入合计675.30万元，使用非财政拨款结余（含专用结余）0.00万元，年初结转和结余0.00万元。</w:t>
      </w:r>
    </w:p>
    <w:p w14:paraId="63EEE173">
      <w:pPr>
        <w:spacing w:line="580" w:lineRule="exact"/>
        <w:ind w:firstLine="640"/>
        <w:jc w:val="both"/>
      </w:pPr>
      <w:r>
        <w:rPr>
          <w:rFonts w:ascii="仿宋_GB2312" w:hAnsi="仿宋_GB2312" w:eastAsia="仿宋_GB2312"/>
          <w:b/>
          <w:sz w:val="32"/>
        </w:rPr>
        <w:t>2024年度支出总计675.30万元，</w:t>
      </w:r>
      <w:r>
        <w:rPr>
          <w:rFonts w:ascii="仿宋_GB2312" w:hAnsi="仿宋_GB2312" w:eastAsia="仿宋_GB2312"/>
          <w:b w:val="0"/>
          <w:sz w:val="32"/>
        </w:rPr>
        <w:t>其中：本年支出合计675.30万元，结余分配0.00万元，年末结转和结余0.00万元。</w:t>
      </w:r>
    </w:p>
    <w:p w14:paraId="40067BF1">
      <w:pPr>
        <w:spacing w:line="580" w:lineRule="exact"/>
        <w:ind w:firstLine="640"/>
        <w:jc w:val="both"/>
      </w:pPr>
      <w:r>
        <w:rPr>
          <w:rFonts w:ascii="仿宋_GB2312" w:hAnsi="仿宋_GB2312" w:eastAsia="仿宋_GB2312"/>
          <w:b w:val="0"/>
          <w:sz w:val="32"/>
        </w:rPr>
        <w:t>收入支出总体与上年相比，减少87.85万元，下降11.51%，主要原因是：本年在职人员减少，人员经费减少，纤维</w:t>
      </w:r>
      <w:r>
        <w:rPr>
          <w:rFonts w:hint="eastAsia" w:ascii="仿宋_GB2312" w:hAnsi="仿宋_GB2312" w:eastAsia="仿宋_GB2312"/>
          <w:b w:val="0"/>
          <w:sz w:val="32"/>
          <w:lang w:eastAsia="zh-CN"/>
        </w:rPr>
        <w:t>公证</w:t>
      </w:r>
      <w:r>
        <w:rPr>
          <w:rFonts w:ascii="仿宋_GB2312" w:hAnsi="仿宋_GB2312" w:eastAsia="仿宋_GB2312"/>
          <w:b w:val="0"/>
          <w:sz w:val="32"/>
        </w:rPr>
        <w:t>检验经费项目资金较上年减少。</w:t>
      </w:r>
    </w:p>
    <w:p w14:paraId="32E39C39">
      <w:pPr>
        <w:spacing w:line="640" w:lineRule="exact"/>
        <w:ind w:firstLine="640"/>
        <w:jc w:val="both"/>
        <w:outlineLvl w:val="2"/>
      </w:pPr>
      <w:r>
        <w:rPr>
          <w:rFonts w:ascii="黑体" w:hAnsi="黑体" w:eastAsia="黑体"/>
          <w:sz w:val="32"/>
        </w:rPr>
        <w:t>二、收入决算情况说明</w:t>
      </w:r>
    </w:p>
    <w:p w14:paraId="3EF67705">
      <w:pPr>
        <w:spacing w:line="580" w:lineRule="exact"/>
        <w:ind w:firstLine="640"/>
        <w:jc w:val="both"/>
      </w:pPr>
      <w:r>
        <w:rPr>
          <w:rFonts w:ascii="仿宋_GB2312" w:hAnsi="仿宋_GB2312" w:eastAsia="仿宋_GB2312"/>
          <w:b/>
          <w:sz w:val="32"/>
        </w:rPr>
        <w:t>本年收入675.30万元，</w:t>
      </w:r>
      <w:r>
        <w:rPr>
          <w:rFonts w:ascii="仿宋_GB2312" w:hAnsi="仿宋_GB2312" w:eastAsia="仿宋_GB2312"/>
          <w:b w:val="0"/>
          <w:sz w:val="32"/>
        </w:rPr>
        <w:t>其中：财政拨款收入675.30万元，占100.00%；上级补助收入0.00万元，占0.00%；事业收入0.00万元，占0.00%；经营收入0.00万元，占0.00%；附属单位上缴收入0.00万元，占0.00%；其他收入0.00万元，占0.00%。</w:t>
      </w:r>
    </w:p>
    <w:p w14:paraId="5AA3C8A8">
      <w:pPr>
        <w:spacing w:line="640" w:lineRule="exact"/>
        <w:ind w:firstLine="640"/>
        <w:jc w:val="both"/>
        <w:outlineLvl w:val="2"/>
      </w:pPr>
      <w:r>
        <w:rPr>
          <w:rFonts w:ascii="黑体" w:hAnsi="黑体" w:eastAsia="黑体"/>
          <w:sz w:val="32"/>
        </w:rPr>
        <w:t>三、支出决算情况说明</w:t>
      </w:r>
    </w:p>
    <w:p w14:paraId="4CA735CB">
      <w:pPr>
        <w:spacing w:line="580" w:lineRule="exact"/>
        <w:ind w:firstLine="640"/>
        <w:jc w:val="both"/>
      </w:pPr>
      <w:r>
        <w:rPr>
          <w:rFonts w:ascii="仿宋_GB2312" w:hAnsi="仿宋_GB2312" w:eastAsia="仿宋_GB2312"/>
          <w:b/>
          <w:sz w:val="32"/>
        </w:rPr>
        <w:t>本年支出675.30万元，</w:t>
      </w:r>
      <w:r>
        <w:rPr>
          <w:rFonts w:ascii="仿宋_GB2312" w:hAnsi="仿宋_GB2312" w:eastAsia="仿宋_GB2312"/>
          <w:b w:val="0"/>
          <w:sz w:val="32"/>
        </w:rPr>
        <w:t>其中：基本支出255.49万元，占37.83%；项目支出419.81万元，占62.17%；上缴上级支出0.00万元，占0.00%；经营支出0.00万元，占0.00%；对附属单位补助支出0.00万元，占0.00%。</w:t>
      </w:r>
    </w:p>
    <w:p w14:paraId="0BBE7A27">
      <w:pPr>
        <w:spacing w:line="640" w:lineRule="exact"/>
        <w:ind w:firstLine="640"/>
        <w:jc w:val="both"/>
        <w:outlineLvl w:val="2"/>
      </w:pPr>
      <w:r>
        <w:rPr>
          <w:rFonts w:ascii="黑体" w:hAnsi="黑体" w:eastAsia="黑体"/>
          <w:sz w:val="32"/>
        </w:rPr>
        <w:t>四、财政拨款收入支出决算总体情况说明</w:t>
      </w:r>
    </w:p>
    <w:p w14:paraId="162EB19C">
      <w:pPr>
        <w:spacing w:line="580" w:lineRule="exact"/>
        <w:ind w:firstLine="640"/>
        <w:jc w:val="both"/>
      </w:pPr>
      <w:r>
        <w:rPr>
          <w:rFonts w:ascii="仿宋_GB2312" w:hAnsi="仿宋_GB2312" w:eastAsia="仿宋_GB2312"/>
          <w:b/>
          <w:sz w:val="32"/>
        </w:rPr>
        <w:t>2024年度财政拨款收入总计675.30万元，</w:t>
      </w:r>
      <w:r>
        <w:rPr>
          <w:rFonts w:ascii="仿宋_GB2312" w:hAnsi="仿宋_GB2312" w:eastAsia="仿宋_GB2312"/>
          <w:b w:val="0"/>
          <w:sz w:val="32"/>
        </w:rPr>
        <w:t>其中：年初财政拨款结转和结余0.00万元，本年财政拨款收入675.30万元。</w:t>
      </w:r>
      <w:r>
        <w:rPr>
          <w:rFonts w:ascii="仿宋_GB2312" w:hAnsi="仿宋_GB2312" w:eastAsia="仿宋_GB2312"/>
          <w:b/>
          <w:sz w:val="32"/>
        </w:rPr>
        <w:t>财政拨款支出总计675.30万元，</w:t>
      </w:r>
      <w:r>
        <w:rPr>
          <w:rFonts w:ascii="仿宋_GB2312" w:hAnsi="仿宋_GB2312" w:eastAsia="仿宋_GB2312"/>
          <w:b w:val="0"/>
          <w:sz w:val="32"/>
        </w:rPr>
        <w:t>其中：年末财政拨款结转和结余0.00万元，本年财政拨款支出675.30万元。</w:t>
      </w:r>
    </w:p>
    <w:p w14:paraId="716E2A2F">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减少87.54万元，下降11.48%，主要原因是：本年在职人员减少，人员经费减少，纤维</w:t>
      </w:r>
      <w:r>
        <w:rPr>
          <w:rFonts w:hint="eastAsia" w:ascii="仿宋_GB2312" w:hAnsi="仿宋_GB2312" w:eastAsia="仿宋_GB2312"/>
          <w:b w:val="0"/>
          <w:sz w:val="32"/>
          <w:lang w:eastAsia="zh-CN"/>
        </w:rPr>
        <w:t>公证</w:t>
      </w:r>
      <w:r>
        <w:rPr>
          <w:rFonts w:ascii="仿宋_GB2312" w:hAnsi="仿宋_GB2312" w:eastAsia="仿宋_GB2312"/>
          <w:b w:val="0"/>
          <w:sz w:val="32"/>
        </w:rPr>
        <w:t>检验经费项目资金较上年减少。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年初预算数534.41万元，决算数675.30万元，预决算差异率26.36%，主要原因是：年中追加纤维公证检验经费项目经费，导致预决算存在差异。</w:t>
      </w:r>
    </w:p>
    <w:p w14:paraId="04015B52">
      <w:pPr>
        <w:spacing w:line="640" w:lineRule="exact"/>
        <w:ind w:firstLine="640"/>
        <w:jc w:val="both"/>
        <w:outlineLvl w:val="2"/>
      </w:pPr>
      <w:r>
        <w:rPr>
          <w:rFonts w:ascii="黑体" w:hAnsi="黑体" w:eastAsia="黑体"/>
          <w:sz w:val="32"/>
        </w:rPr>
        <w:t>五、一般公共预算财政拨款支出决算情况说明</w:t>
      </w:r>
    </w:p>
    <w:p w14:paraId="0DCB81A1">
      <w:pPr>
        <w:spacing w:line="640" w:lineRule="exact"/>
        <w:ind w:firstLine="640"/>
        <w:jc w:val="both"/>
        <w:outlineLvl w:val="3"/>
      </w:pPr>
      <w:r>
        <w:rPr>
          <w:rFonts w:ascii="楷体_GB2312" w:hAnsi="楷体_GB2312" w:eastAsia="楷体_GB2312"/>
          <w:b/>
          <w:sz w:val="32"/>
        </w:rPr>
        <w:t>（一）一般公共预算财政拨款支出决算总体情况</w:t>
      </w:r>
    </w:p>
    <w:p w14:paraId="1ED7A1E2">
      <w:pPr>
        <w:spacing w:line="580" w:lineRule="exact"/>
        <w:ind w:firstLine="640"/>
        <w:jc w:val="both"/>
      </w:pPr>
      <w:r>
        <w:rPr>
          <w:rFonts w:ascii="仿宋_GB2312" w:hAnsi="仿宋_GB2312" w:eastAsia="仿宋_GB2312"/>
          <w:b/>
          <w:sz w:val="32"/>
        </w:rPr>
        <w:t>2024年度一般公共预算财政拨款支出675.30万元，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减少87.54万元，下降11.48%，主要原因是：本年在职人员减少，人员经费减少，纤维</w:t>
      </w:r>
      <w:r>
        <w:rPr>
          <w:rFonts w:hint="eastAsia" w:ascii="仿宋_GB2312" w:hAnsi="仿宋_GB2312" w:eastAsia="仿宋_GB2312"/>
          <w:b w:val="0"/>
          <w:sz w:val="32"/>
          <w:lang w:eastAsia="zh-CN"/>
        </w:rPr>
        <w:t>公证</w:t>
      </w:r>
      <w:r>
        <w:rPr>
          <w:rFonts w:ascii="仿宋_GB2312" w:hAnsi="仿宋_GB2312" w:eastAsia="仿宋_GB2312"/>
          <w:b w:val="0"/>
          <w:sz w:val="32"/>
        </w:rPr>
        <w:t>检验经费项目资金较上年减少。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年初预算数534.41万元，决算数675.30万元，预决算差异率26.36%，主要原因是：年中追加纤维公证检验经费项目经费，导致预决算存在差异。</w:t>
      </w:r>
    </w:p>
    <w:p w14:paraId="7BE5635D">
      <w:pPr>
        <w:spacing w:line="640" w:lineRule="exact"/>
        <w:ind w:firstLine="640"/>
        <w:jc w:val="both"/>
        <w:outlineLvl w:val="3"/>
      </w:pPr>
      <w:r>
        <w:rPr>
          <w:rFonts w:ascii="楷体_GB2312" w:hAnsi="楷体_GB2312" w:eastAsia="楷体_GB2312"/>
          <w:b/>
          <w:sz w:val="32"/>
        </w:rPr>
        <w:t>（二）一般公共预算财政拨款支出决算结构情况</w:t>
      </w:r>
    </w:p>
    <w:p w14:paraId="2C4A8C83">
      <w:pPr>
        <w:spacing w:line="580" w:lineRule="exact"/>
        <w:ind w:firstLine="640"/>
        <w:jc w:val="both"/>
      </w:pPr>
      <w:r>
        <w:rPr>
          <w:rFonts w:ascii="仿宋_GB2312" w:hAnsi="仿宋_GB2312" w:eastAsia="仿宋_GB2312"/>
          <w:b w:val="0"/>
          <w:sz w:val="32"/>
        </w:rPr>
        <w:t>1.一般公共服务支出(类)597.49万元,占88.48%。</w:t>
      </w:r>
    </w:p>
    <w:p w14:paraId="754FFD3D">
      <w:pPr>
        <w:spacing w:line="580" w:lineRule="exact"/>
        <w:ind w:firstLine="640"/>
        <w:jc w:val="both"/>
      </w:pPr>
      <w:r>
        <w:rPr>
          <w:rFonts w:ascii="仿宋_GB2312" w:hAnsi="仿宋_GB2312" w:eastAsia="仿宋_GB2312"/>
          <w:b w:val="0"/>
          <w:sz w:val="32"/>
        </w:rPr>
        <w:t>2.社会保障和就业支出(类)48.46万元,占7.18%。</w:t>
      </w:r>
    </w:p>
    <w:p w14:paraId="55E27EA3">
      <w:pPr>
        <w:spacing w:line="580" w:lineRule="exact"/>
        <w:ind w:firstLine="640"/>
        <w:jc w:val="both"/>
      </w:pPr>
      <w:r>
        <w:rPr>
          <w:rFonts w:ascii="仿宋_GB2312" w:hAnsi="仿宋_GB2312" w:eastAsia="仿宋_GB2312"/>
          <w:b w:val="0"/>
          <w:sz w:val="32"/>
        </w:rPr>
        <w:t>3.卫生健康支出(类)10.49万元,占1.55%。</w:t>
      </w:r>
    </w:p>
    <w:p w14:paraId="52842E8D">
      <w:pPr>
        <w:spacing w:line="580" w:lineRule="exact"/>
        <w:ind w:firstLine="640"/>
        <w:jc w:val="both"/>
      </w:pPr>
      <w:r>
        <w:rPr>
          <w:rFonts w:ascii="仿宋_GB2312" w:hAnsi="仿宋_GB2312" w:eastAsia="仿宋_GB2312"/>
          <w:b w:val="0"/>
          <w:sz w:val="32"/>
        </w:rPr>
        <w:t>4.住房保障支出(类)18.87万元,占2.79%。</w:t>
      </w:r>
    </w:p>
    <w:p w14:paraId="4CC21080">
      <w:pPr>
        <w:spacing w:line="640" w:lineRule="exact"/>
        <w:ind w:firstLine="640"/>
        <w:jc w:val="both"/>
        <w:outlineLvl w:val="3"/>
      </w:pPr>
      <w:r>
        <w:rPr>
          <w:rFonts w:ascii="楷体_GB2312" w:hAnsi="楷体_GB2312" w:eastAsia="楷体_GB2312"/>
          <w:b/>
          <w:sz w:val="32"/>
        </w:rPr>
        <w:t>（三）一般公共预算财政拨款支出决算具体情况</w:t>
      </w:r>
    </w:p>
    <w:p w14:paraId="7991B7F0">
      <w:pPr>
        <w:spacing w:line="580" w:lineRule="exact"/>
        <w:ind w:firstLine="640"/>
        <w:jc w:val="both"/>
      </w:pPr>
      <w:r>
        <w:rPr>
          <w:rFonts w:ascii="仿宋_GB2312" w:hAnsi="仿宋_GB2312" w:eastAsia="仿宋_GB2312"/>
          <w:b w:val="0"/>
          <w:sz w:val="32"/>
        </w:rPr>
        <w:t>1.一般公共服务支出(类)市场监督管理事务(款)质量基础(项):支出决算数为419.81万元，比上年决算减少62.86万元，下降13.02%,主要原因是：本年纤维</w:t>
      </w:r>
      <w:r>
        <w:rPr>
          <w:rFonts w:hint="eastAsia" w:ascii="仿宋_GB2312" w:hAnsi="仿宋_GB2312" w:eastAsia="仿宋_GB2312"/>
          <w:b w:val="0"/>
          <w:sz w:val="32"/>
          <w:lang w:eastAsia="zh-CN"/>
        </w:rPr>
        <w:t>公证</w:t>
      </w:r>
      <w:r>
        <w:rPr>
          <w:rFonts w:ascii="仿宋_GB2312" w:hAnsi="仿宋_GB2312" w:eastAsia="仿宋_GB2312"/>
          <w:b w:val="0"/>
          <w:sz w:val="32"/>
        </w:rPr>
        <w:t>检验经费项目资金较上年减少。</w:t>
      </w:r>
    </w:p>
    <w:p w14:paraId="3FF3AEC0">
      <w:pPr>
        <w:spacing w:line="580" w:lineRule="exact"/>
        <w:ind w:firstLine="640"/>
        <w:jc w:val="both"/>
      </w:pPr>
      <w:r>
        <w:rPr>
          <w:rFonts w:ascii="仿宋_GB2312" w:hAnsi="仿宋_GB2312" w:eastAsia="仿宋_GB2312"/>
          <w:b w:val="0"/>
          <w:sz w:val="32"/>
        </w:rPr>
        <w:t>2.一般公共服务支出(类)市场监督管理事务(款)事业运行(项):支出决算数为177.68万元，比上年决算减少71.07万元，下降28.57%,主要原因是：本年在职人员减少，人员经费减少，功能科目调整，事业单位医疗、事业单位退休、住房公积金经费上年度在此科目列支，本年单独列支，导致经费较上年减少。</w:t>
      </w:r>
    </w:p>
    <w:p w14:paraId="639615BE">
      <w:pPr>
        <w:spacing w:line="580" w:lineRule="exact"/>
        <w:ind w:firstLine="640"/>
        <w:jc w:val="both"/>
      </w:pPr>
      <w:r>
        <w:rPr>
          <w:rFonts w:ascii="仿宋_GB2312" w:hAnsi="仿宋_GB2312" w:eastAsia="仿宋_GB2312"/>
          <w:b w:val="0"/>
          <w:sz w:val="32"/>
        </w:rPr>
        <w:t>3.社会保障和就业支出(类)行政事业单位养老支出(款)事业单位离退休(项):支出决算数为11.62万元，比上年决算增加11.62万元，增长100.00%,主要原因是：本年功能科目调整，事业单位退休经费上年度在主科目列支，本年单独列支，导致经费较上年增加。</w:t>
      </w:r>
    </w:p>
    <w:p w14:paraId="359792F3">
      <w:pPr>
        <w:spacing w:line="580" w:lineRule="exact"/>
        <w:ind w:firstLine="640"/>
        <w:jc w:val="both"/>
      </w:pPr>
      <w:r>
        <w:rPr>
          <w:rFonts w:ascii="仿宋_GB2312" w:hAnsi="仿宋_GB2312" w:eastAsia="仿宋_GB2312"/>
          <w:b w:val="0"/>
          <w:sz w:val="32"/>
        </w:rPr>
        <w:t>4.社会保障和就业支出(类)行政事业单位养老支出(款)机关事业单位基本养老保险缴费支出(项):支出决算数为25.61万元，比上年决算增加3.23万元，增长14.43%,主要原因是：本年在职人员工资基数调增，养老缴费基数上涨，相应支出增加。</w:t>
      </w:r>
    </w:p>
    <w:p w14:paraId="724BAF60">
      <w:pPr>
        <w:spacing w:line="580" w:lineRule="exact"/>
        <w:ind w:firstLine="640"/>
        <w:jc w:val="both"/>
      </w:pPr>
      <w:r>
        <w:rPr>
          <w:rFonts w:ascii="仿宋_GB2312" w:hAnsi="仿宋_GB2312" w:eastAsia="仿宋_GB2312"/>
          <w:b w:val="0"/>
          <w:sz w:val="32"/>
        </w:rPr>
        <w:t>5.社会保障和就业支出(类)行政事业单位养老支出(款)机关事业单位职业年金缴费支出(项):支出决算数为11.23万元，比上年决算增加2.19万元，增长24.23%,主要原因是：本年新增退休人员，职业年金缴费支出增加。</w:t>
      </w:r>
    </w:p>
    <w:p w14:paraId="5CBABCE1">
      <w:pPr>
        <w:spacing w:line="580" w:lineRule="exact"/>
        <w:ind w:firstLine="640"/>
        <w:jc w:val="both"/>
      </w:pPr>
      <w:r>
        <w:rPr>
          <w:rFonts w:ascii="仿宋_GB2312" w:hAnsi="仿宋_GB2312" w:eastAsia="仿宋_GB2312"/>
          <w:b w:val="0"/>
          <w:sz w:val="32"/>
        </w:rPr>
        <w:t>6.卫生健康支出(类)行政事业单位医疗(款)事业单位医疗(项):支出决算数为10.49万元，比上年决算增加10.49万元，增长100.00%,主要原因是：本年功能科目调整，事业单位医疗支出上年度在主科目列支，本年单独列支，导致经费较上年增加。</w:t>
      </w:r>
    </w:p>
    <w:p w14:paraId="1ED9D748">
      <w:pPr>
        <w:spacing w:line="580" w:lineRule="exact"/>
        <w:ind w:firstLine="640"/>
        <w:jc w:val="both"/>
      </w:pPr>
      <w:r>
        <w:rPr>
          <w:rFonts w:ascii="仿宋_GB2312" w:hAnsi="仿宋_GB2312" w:eastAsia="仿宋_GB2312"/>
          <w:b w:val="0"/>
          <w:sz w:val="32"/>
        </w:rPr>
        <w:t>7.住房保障支出(类)住房改革支出(款)住房公积金(项):支出决算数为18.87万元，比上年决算增加18.87万元，增长100.00%,主要原因是：本年功能科目调整，住房公积金上年度在主科目列支，本年单独列支，导致经费较上年增加。</w:t>
      </w:r>
    </w:p>
    <w:p w14:paraId="47ACCFDD">
      <w:pPr>
        <w:spacing w:line="640" w:lineRule="exact"/>
        <w:ind w:firstLine="640"/>
        <w:jc w:val="both"/>
        <w:outlineLvl w:val="2"/>
      </w:pPr>
      <w:r>
        <w:rPr>
          <w:rFonts w:ascii="黑体" w:hAnsi="黑体" w:eastAsia="黑体"/>
          <w:sz w:val="32"/>
        </w:rPr>
        <w:t>六、一般公共预算财政拨款基本支出决算情况说明</w:t>
      </w:r>
    </w:p>
    <w:p w14:paraId="1CCDFB7E">
      <w:pPr>
        <w:spacing w:line="580" w:lineRule="exact"/>
        <w:ind w:firstLine="640"/>
        <w:jc w:val="both"/>
      </w:pPr>
      <w:r>
        <w:rPr>
          <w:rFonts w:ascii="仿宋_GB2312" w:hAnsi="仿宋_GB2312" w:eastAsia="仿宋_GB2312"/>
          <w:b w:val="0"/>
          <w:sz w:val="32"/>
        </w:rPr>
        <w:t>2024年度一般公共预算财政拨款基本支出255.49万元，其中：</w:t>
      </w:r>
      <w:r>
        <w:rPr>
          <w:rFonts w:ascii="仿宋_GB2312" w:hAnsi="仿宋_GB2312" w:eastAsia="仿宋_GB2312"/>
          <w:b/>
          <w:sz w:val="32"/>
        </w:rPr>
        <w:t>人员经费238.09万元，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包括：基本工资、津贴补贴、绩效工资、机关事业单位基本养老保险缴费、职业年金缴费、职工基本医疗保险缴费、其他社会保障缴费、住房公积金、退休费、生活补助、奖励金。</w:t>
      </w:r>
    </w:p>
    <w:p w14:paraId="276A4866">
      <w:pPr>
        <w:spacing w:line="580" w:lineRule="exact"/>
        <w:ind w:firstLine="640"/>
        <w:jc w:val="both"/>
      </w:pPr>
      <w:r>
        <w:rPr>
          <w:rFonts w:ascii="仿宋_GB2312" w:hAnsi="仿宋_GB2312" w:eastAsia="仿宋_GB2312"/>
          <w:b/>
          <w:sz w:val="32"/>
        </w:rPr>
        <w:t>公用经费17.40万元，</w:t>
      </w:r>
      <w:r>
        <w:rPr>
          <w:rFonts w:ascii="仿宋_GB2312" w:hAnsi="仿宋_GB2312" w:eastAsia="仿宋_GB2312"/>
          <w:b w:val="0"/>
          <w:sz w:val="32"/>
        </w:rPr>
        <w:t>包括：办公费、印刷费、水费、电费、邮电费、取暖费、差旅费、维修（护）费、劳务费、工会经费、福利费、公务用车运行维护费、其他商品和服务支出。</w:t>
      </w:r>
    </w:p>
    <w:p w14:paraId="00AFF174">
      <w:pPr>
        <w:spacing w:line="640" w:lineRule="exact"/>
        <w:ind w:firstLine="640"/>
        <w:jc w:val="both"/>
        <w:outlineLvl w:val="2"/>
      </w:pPr>
      <w:r>
        <w:rPr>
          <w:rFonts w:ascii="黑体" w:hAnsi="黑体" w:eastAsia="黑体"/>
          <w:sz w:val="32"/>
        </w:rPr>
        <w:t>七、政府性基金预算财政拨款收入支出决算情况说明</w:t>
      </w:r>
    </w:p>
    <w:p w14:paraId="357C48F7">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5A8036E9">
      <w:pPr>
        <w:spacing w:line="640" w:lineRule="exact"/>
        <w:ind w:firstLine="640"/>
        <w:jc w:val="both"/>
        <w:outlineLvl w:val="2"/>
      </w:pPr>
      <w:r>
        <w:rPr>
          <w:rFonts w:ascii="黑体" w:hAnsi="黑体" w:eastAsia="黑体"/>
          <w:sz w:val="32"/>
        </w:rPr>
        <w:t>八、国有资本经营预算财政拨款收入支出决算情况说明</w:t>
      </w:r>
    </w:p>
    <w:p w14:paraId="4C7A981B">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57FE932E">
      <w:pPr>
        <w:spacing w:line="640" w:lineRule="exact"/>
        <w:ind w:firstLine="640"/>
        <w:jc w:val="both"/>
        <w:outlineLvl w:val="2"/>
      </w:pPr>
      <w:r>
        <w:rPr>
          <w:rFonts w:ascii="黑体" w:hAnsi="黑体" w:eastAsia="黑体"/>
          <w:sz w:val="32"/>
        </w:rPr>
        <w:t>九、财政拨款“三公”经费支出决算情况说明</w:t>
      </w:r>
    </w:p>
    <w:p w14:paraId="2CCD248B">
      <w:pPr>
        <w:spacing w:line="580" w:lineRule="exact"/>
        <w:ind w:firstLine="640"/>
        <w:jc w:val="both"/>
      </w:pPr>
      <w:r>
        <w:rPr>
          <w:rFonts w:ascii="仿宋_GB2312" w:hAnsi="仿宋_GB2312" w:eastAsia="仿宋_GB2312"/>
          <w:b/>
          <w:sz w:val="32"/>
        </w:rPr>
        <w:t>2024年度财政拨款“三公”经费支出1.93万元，</w:t>
      </w:r>
      <w:r>
        <w:rPr>
          <w:rFonts w:ascii="仿宋_GB2312" w:hAnsi="仿宋_GB2312" w:eastAsia="仿宋_GB2312"/>
          <w:b w:val="0"/>
          <w:sz w:val="32"/>
        </w:rPr>
        <w:t>比上年增加0.93万元，增长93.00%，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1.93万元，占100.00%，比上年增加0.93万元，增长93.00%，主要原因是：本年因业务需求，用车次数增加，燃油费增加，导致公务用车运行维护费较上年增加。公务接待费支出0.00万元，占0.00%，比上年增加0.00万元，增长0.00%，主要原因是：2023年与2024年均未安排公务接待费支出。</w:t>
      </w:r>
    </w:p>
    <w:p w14:paraId="50A3340E">
      <w:pPr>
        <w:spacing w:line="580" w:lineRule="exact"/>
        <w:ind w:firstLine="640"/>
        <w:jc w:val="both"/>
      </w:pPr>
      <w:r>
        <w:rPr>
          <w:rFonts w:ascii="仿宋_GB2312" w:hAnsi="仿宋_GB2312" w:eastAsia="仿宋_GB2312"/>
          <w:b/>
          <w:sz w:val="32"/>
        </w:rPr>
        <w:t>具体情况如下：</w:t>
      </w:r>
    </w:p>
    <w:p w14:paraId="22CC5098">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A9884FF">
      <w:pPr>
        <w:spacing w:line="580" w:lineRule="exact"/>
        <w:ind w:firstLine="640"/>
        <w:jc w:val="both"/>
      </w:pPr>
      <w:r>
        <w:rPr>
          <w:rFonts w:ascii="仿宋_GB2312" w:hAnsi="仿宋_GB2312" w:eastAsia="仿宋_GB2312"/>
          <w:b w:val="0"/>
          <w:sz w:val="32"/>
        </w:rPr>
        <w:t>公务用车购置及运行维护费1.93万元，其中：公务用车购置费0.00万元，公务用车运行维护费1.93万元。公务用车运行维护费开支内容包括车辆加油费、维修费、保险费、审车费、过路费等。公务用车购置数0辆，公务用车保有量2辆。国有资产占用情况中固定资产车辆2辆，与公务用车保有量差异原因是：本单位固定资产车辆与公务用车保有量一致无差异。</w:t>
      </w:r>
    </w:p>
    <w:p w14:paraId="5E0C66B0">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3E65D06D">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1.93万元，决算数1.93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1.93万元，决算数1.93万元，预决算差异率0.00%，主要原因是：严格按照预算执行，预决算无差异。公务接待费全年预算数0.00万元，决算数0.00万元，预决算差异率0.00%，主要原因是：本单位无公务接待费。</w:t>
      </w:r>
    </w:p>
    <w:p w14:paraId="3E3E5C2C">
      <w:pPr>
        <w:spacing w:line="640" w:lineRule="exact"/>
        <w:ind w:firstLine="640"/>
        <w:jc w:val="both"/>
        <w:outlineLvl w:val="2"/>
      </w:pPr>
      <w:r>
        <w:rPr>
          <w:rFonts w:ascii="黑体" w:hAnsi="黑体" w:eastAsia="黑体"/>
          <w:sz w:val="32"/>
        </w:rPr>
        <w:t>十、其他重要事项的情况说明</w:t>
      </w:r>
    </w:p>
    <w:p w14:paraId="30C556FA">
      <w:pPr>
        <w:spacing w:line="640" w:lineRule="exact"/>
        <w:ind w:firstLine="640"/>
        <w:jc w:val="both"/>
        <w:outlineLvl w:val="3"/>
      </w:pPr>
      <w:r>
        <w:rPr>
          <w:rFonts w:ascii="楷体_GB2312" w:hAnsi="楷体_GB2312" w:eastAsia="楷体_GB2312"/>
          <w:b/>
          <w:sz w:val="32"/>
        </w:rPr>
        <w:t>（一）机关运行经费及公用经费支出情况</w:t>
      </w:r>
    </w:p>
    <w:p w14:paraId="34FA59E4">
      <w:pPr>
        <w:spacing w:line="580" w:lineRule="exact"/>
        <w:ind w:firstLine="640"/>
        <w:jc w:val="both"/>
      </w:pPr>
      <w:r>
        <w:rPr>
          <w:rFonts w:ascii="仿宋_GB2312" w:hAnsi="仿宋_GB2312" w:eastAsia="仿宋_GB2312"/>
          <w:b w:val="0"/>
          <w:sz w:val="32"/>
        </w:rPr>
        <w:t>2024年度和田地区纤维检验所（事业单位）公用经费支出17.40万元，比上年增加0.19万元，增长1.10%，主要原因是：本年劳务费较上年增加，导致公用经费较上年增加。</w:t>
      </w:r>
    </w:p>
    <w:p w14:paraId="4EFF40F4">
      <w:pPr>
        <w:spacing w:line="640" w:lineRule="exact"/>
        <w:ind w:firstLine="640"/>
        <w:jc w:val="both"/>
        <w:outlineLvl w:val="3"/>
      </w:pPr>
      <w:r>
        <w:rPr>
          <w:rFonts w:ascii="楷体_GB2312" w:hAnsi="楷体_GB2312" w:eastAsia="楷体_GB2312"/>
          <w:b/>
          <w:sz w:val="32"/>
        </w:rPr>
        <w:t>（二）政府采购情况</w:t>
      </w:r>
    </w:p>
    <w:p w14:paraId="02ED3DD4">
      <w:pPr>
        <w:spacing w:line="580" w:lineRule="exact"/>
        <w:ind w:firstLine="640"/>
        <w:jc w:val="both"/>
      </w:pPr>
      <w:r>
        <w:rPr>
          <w:rFonts w:ascii="仿宋_GB2312" w:hAnsi="仿宋_GB2312" w:eastAsia="仿宋_GB2312"/>
          <w:b w:val="0"/>
          <w:sz w:val="32"/>
        </w:rPr>
        <w:t>2024年度政府采购支出总额3.64万元，其中：政府采购货物支出1.56万元、政府采购工程支出0.00万元、政府采购服务支出2.08万元。</w:t>
      </w:r>
    </w:p>
    <w:p w14:paraId="05544AA9">
      <w:pPr>
        <w:spacing w:line="580" w:lineRule="exact"/>
        <w:ind w:firstLine="640"/>
        <w:jc w:val="both"/>
      </w:pPr>
      <w:r>
        <w:rPr>
          <w:rFonts w:ascii="仿宋_GB2312" w:hAnsi="仿宋_GB2312" w:eastAsia="仿宋_GB2312"/>
          <w:b w:val="0"/>
          <w:sz w:val="32"/>
        </w:rPr>
        <w:t>授予中小企业合同金额2.67万元，占政府采购支出总额的73.35%，其中：授予小微企业合同金额2.29万元，占政府采购支出总额的62.91%。</w:t>
      </w:r>
    </w:p>
    <w:p w14:paraId="0533CC3A">
      <w:pPr>
        <w:spacing w:line="640" w:lineRule="exact"/>
        <w:ind w:firstLine="640"/>
        <w:jc w:val="both"/>
        <w:outlineLvl w:val="3"/>
      </w:pPr>
      <w:r>
        <w:rPr>
          <w:rFonts w:ascii="楷体_GB2312" w:hAnsi="楷体_GB2312" w:eastAsia="楷体_GB2312"/>
          <w:b/>
          <w:sz w:val="32"/>
        </w:rPr>
        <w:t>（三）国有资产占用情况说明</w:t>
      </w:r>
    </w:p>
    <w:p w14:paraId="6EDC5AB4">
      <w:pPr>
        <w:spacing w:line="580" w:lineRule="exact"/>
        <w:ind w:firstLine="640"/>
        <w:jc w:val="both"/>
      </w:pPr>
      <w:r>
        <w:rPr>
          <w:rFonts w:ascii="仿宋_GB2312" w:hAnsi="仿宋_GB2312" w:eastAsia="仿宋_GB2312"/>
          <w:b w:val="0"/>
          <w:sz w:val="32"/>
        </w:rPr>
        <w:t>截至2024年12月31日，房屋3,164.57平方米，价值814.08万元。车辆2辆，价值23.80万元，其中：副部（省）级及以上领导用车0辆、主要负责人用车0辆、机要通信用车0辆、应急保障用车0辆、执法执勤用车0辆、特种专业技术用车1辆、离退休干部服务用车0辆、其他用车1辆，其他用车主要是：一般公务用车。单价100万元（含）以上设备（不含车辆）5台（套）。</w:t>
      </w:r>
    </w:p>
    <w:p w14:paraId="3E92C9C8">
      <w:pPr>
        <w:spacing w:line="640" w:lineRule="exact"/>
        <w:ind w:firstLine="640"/>
        <w:jc w:val="both"/>
        <w:outlineLvl w:val="2"/>
      </w:pPr>
      <w:r>
        <w:rPr>
          <w:rFonts w:ascii="黑体" w:hAnsi="黑体" w:eastAsia="黑体"/>
          <w:sz w:val="32"/>
        </w:rPr>
        <w:t>十一、预算绩效的情况说明</w:t>
      </w:r>
    </w:p>
    <w:p w14:paraId="1D7D155B">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675.30万元，实际执行总额675.30万元；预算绩效评价项目1个，全年预算数416.81万元，全年执行数416.81万元。预算绩效管理取得的成效：一是在工作效率提高方面，明确的预算绩效指标激励着员工积极履行职责。合理安排工作任务和时间，加快了检验进度，缩短了检验周期，满足了市场对纤维检验的迫切需求。同时，预算绩效管理也增强了单位的责任感和使命感。通过对绩效目标的定期评估和反馈，及时发现问题并加以改进，不断提高自身的管理水平和业务能力，为和田地区纤维产业的健康发展提供了有力保障。发现的问题及原因：一是在纤维含量检测等方面可能存在检测结果不准确或检测方法不够科学的情况。对于一些新型纤维材料或复杂纤维制品的检测，可能由于检测技术的局限性，导致检测结果与实际情况存在偏差。二是检测技术和设备的更新换代相对滞后，无法满足日益多样化和复杂化的纤维制品检测需求。纤维检验所的检测设备可能老化、精度不够，或者缺乏一些先进的检测技术和方法，影响了检测结果的准确性。下一步改进措施：1. 设备更新与维护，定期评估现有检测设备的性能和精度，对于老化、落后的设备及时进行更新换代。确保设备能够满足不断变化的纤维检验标准和需求。建立严格的设备维护制度，安排专人负责设备的日常保养和定期检修，延长设备使用寿命，保证检测结果的准确性和稳定性。具体附整体支出绩效自评表，项目支出绩效自评表和评价报告。</w:t>
      </w:r>
    </w:p>
    <w:p w14:paraId="4637EE01">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5BAC6231">
        <w:tblPrEx>
          <w:tblCellMar>
            <w:top w:w="0" w:type="dxa"/>
            <w:left w:w="108" w:type="dxa"/>
            <w:bottom w:w="0" w:type="dxa"/>
            <w:right w:w="108" w:type="dxa"/>
          </w:tblCellMar>
        </w:tblPrEx>
        <w:tc>
          <w:tcPr>
            <w:tcW w:w="8847" w:type="dxa"/>
            <w:gridSpan w:val="9"/>
            <w:vAlign w:val="center"/>
          </w:tcPr>
          <w:p w14:paraId="1C161B1B">
            <w:pPr>
              <w:jc w:val="center"/>
            </w:pPr>
            <w:r>
              <w:rPr>
                <w:rFonts w:ascii="宋体" w:hAnsi="宋体" w:eastAsia="宋体"/>
                <w:sz w:val="24"/>
              </w:rPr>
              <w:t>单位整体支出绩效自评表</w:t>
            </w:r>
          </w:p>
        </w:tc>
      </w:tr>
      <w:tr w14:paraId="775D004B">
        <w:tc>
          <w:tcPr>
            <w:tcW w:w="8847" w:type="dxa"/>
            <w:gridSpan w:val="9"/>
            <w:vAlign w:val="center"/>
          </w:tcPr>
          <w:p w14:paraId="552EC793">
            <w:pPr>
              <w:jc w:val="center"/>
            </w:pPr>
            <w:r>
              <w:rPr>
                <w:rFonts w:ascii="宋体" w:hAnsi="宋体" w:eastAsia="宋体"/>
                <w:sz w:val="24"/>
              </w:rPr>
              <w:t>（2024年度）</w:t>
            </w:r>
          </w:p>
        </w:tc>
      </w:tr>
      <w:tr w14:paraId="1C74F287">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9DCC0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4D9963B">
            <w:pPr>
              <w:jc w:val="center"/>
            </w:pPr>
            <w:r>
              <w:rPr>
                <w:rFonts w:ascii="宋体" w:hAnsi="宋体" w:eastAsia="宋体"/>
                <w:sz w:val="16"/>
              </w:rPr>
              <w:t>和田地区纤维检验所</w:t>
            </w:r>
          </w:p>
        </w:tc>
      </w:tr>
      <w:tr w14:paraId="4F9FFEC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C59AAC5">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3FD020">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8D2D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8F33A">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95BF1">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DB5963">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D64F16">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F96266F">
            <w:pPr>
              <w:jc w:val="center"/>
            </w:pPr>
            <w:r>
              <w:rPr>
                <w:rFonts w:ascii="宋体" w:hAnsi="宋体" w:eastAsia="宋体"/>
                <w:sz w:val="16"/>
              </w:rPr>
              <w:t>得分</w:t>
            </w:r>
          </w:p>
        </w:tc>
      </w:tr>
      <w:tr w14:paraId="41AB5210">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335A3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F15380">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C0D97">
            <w:pPr>
              <w:jc w:val="center"/>
            </w:pPr>
            <w:r>
              <w:rPr>
                <w:rFonts w:ascii="宋体" w:hAnsi="宋体" w:eastAsia="宋体"/>
                <w:sz w:val="16"/>
              </w:rPr>
              <w:t>534.41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2A41E">
            <w:pPr>
              <w:jc w:val="center"/>
            </w:pPr>
            <w:r>
              <w:rPr>
                <w:rFonts w:ascii="宋体" w:hAnsi="宋体" w:eastAsia="宋体"/>
                <w:sz w:val="16"/>
              </w:rPr>
              <w:t>675.30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E06F00">
            <w:pPr>
              <w:jc w:val="center"/>
            </w:pPr>
            <w:r>
              <w:rPr>
                <w:rFonts w:ascii="宋体" w:hAnsi="宋体" w:eastAsia="宋体"/>
                <w:sz w:val="16"/>
              </w:rPr>
              <w:t>675.30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33B3A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1FA87D">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1DBBD86">
            <w:pPr>
              <w:jc w:val="center"/>
            </w:pPr>
            <w:r>
              <w:rPr>
                <w:rFonts w:ascii="宋体" w:hAnsi="宋体" w:eastAsia="宋体"/>
                <w:sz w:val="16"/>
              </w:rPr>
              <w:t>10</w:t>
            </w:r>
          </w:p>
        </w:tc>
      </w:tr>
      <w:tr w14:paraId="2CC856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DC395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50E0D6">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DD4F1">
            <w:pPr>
              <w:jc w:val="center"/>
            </w:pPr>
            <w:r>
              <w:rPr>
                <w:rFonts w:ascii="宋体" w:hAnsi="宋体" w:eastAsia="宋体"/>
                <w:sz w:val="16"/>
              </w:rPr>
              <w:t>272.02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3E8AEF">
            <w:pPr>
              <w:jc w:val="center"/>
            </w:pPr>
            <w:r>
              <w:rPr>
                <w:rFonts w:ascii="宋体" w:hAnsi="宋体" w:eastAsia="宋体"/>
                <w:sz w:val="16"/>
              </w:rPr>
              <w:t>419.81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E8BF2">
            <w:pPr>
              <w:jc w:val="center"/>
            </w:pPr>
            <w:r>
              <w:rPr>
                <w:rFonts w:ascii="宋体" w:hAnsi="宋体" w:eastAsia="宋体"/>
                <w:sz w:val="16"/>
              </w:rPr>
              <w:t>419.81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CB8DFE">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D2A196">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9A695C3">
            <w:pPr>
              <w:jc w:val="center"/>
            </w:pPr>
            <w:r>
              <w:rPr>
                <w:rFonts w:ascii="宋体" w:hAnsi="宋体" w:eastAsia="宋体"/>
                <w:sz w:val="16"/>
              </w:rPr>
              <w:t>—</w:t>
            </w:r>
          </w:p>
        </w:tc>
      </w:tr>
      <w:tr w14:paraId="52D6BD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9A0CC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B9AE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C1B531">
            <w:pPr>
              <w:jc w:val="center"/>
            </w:pPr>
            <w:r>
              <w:rPr>
                <w:rFonts w:ascii="宋体" w:hAnsi="宋体" w:eastAsia="宋体"/>
                <w:sz w:val="16"/>
              </w:rPr>
              <w:t>262.39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D52EF">
            <w:pPr>
              <w:jc w:val="center"/>
            </w:pPr>
            <w:r>
              <w:rPr>
                <w:rFonts w:ascii="宋体" w:hAnsi="宋体" w:eastAsia="宋体"/>
                <w:sz w:val="16"/>
              </w:rPr>
              <w:t>255.49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D968C">
            <w:pPr>
              <w:jc w:val="center"/>
            </w:pPr>
            <w:r>
              <w:rPr>
                <w:rFonts w:ascii="宋体" w:hAnsi="宋体" w:eastAsia="宋体"/>
                <w:sz w:val="16"/>
              </w:rPr>
              <w:t>255.49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E2890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602DB0">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DBD06AB">
            <w:pPr>
              <w:jc w:val="center"/>
            </w:pPr>
            <w:r>
              <w:rPr>
                <w:rFonts w:ascii="宋体" w:hAnsi="宋体" w:eastAsia="宋体"/>
                <w:sz w:val="16"/>
              </w:rPr>
              <w:t>—</w:t>
            </w:r>
          </w:p>
        </w:tc>
      </w:tr>
      <w:tr w14:paraId="2E540D7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5FABA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8F47DA">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228C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F42BF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1675E9">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C1F9E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5FB8EA">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75DE026">
            <w:pPr>
              <w:jc w:val="center"/>
            </w:pPr>
            <w:r>
              <w:rPr>
                <w:rFonts w:ascii="宋体" w:hAnsi="宋体" w:eastAsia="宋体"/>
                <w:sz w:val="16"/>
              </w:rPr>
              <w:t>—</w:t>
            </w:r>
          </w:p>
        </w:tc>
      </w:tr>
      <w:tr w14:paraId="121440B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ED943E">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AAE9F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10969E1">
            <w:pPr>
              <w:jc w:val="center"/>
            </w:pPr>
            <w:r>
              <w:rPr>
                <w:rFonts w:ascii="宋体" w:hAnsi="宋体" w:eastAsia="宋体"/>
                <w:sz w:val="16"/>
              </w:rPr>
              <w:t>实际完成目标</w:t>
            </w:r>
          </w:p>
        </w:tc>
      </w:tr>
      <w:tr w14:paraId="6738ED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919924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CC3B450">
            <w:pPr>
              <w:jc w:val="both"/>
            </w:pPr>
            <w:r>
              <w:rPr>
                <w:rFonts w:ascii="宋体" w:hAnsi="宋体" w:eastAsia="宋体"/>
                <w:sz w:val="16"/>
              </w:rPr>
              <w:t>进行检验检测机构资质认定到期复评审，向自治区市场监管局认证认可办提出申请工作。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措施：</w:t>
            </w:r>
            <w:r>
              <w:rPr>
                <w:rFonts w:hint="eastAsia" w:ascii="宋体" w:hAnsi="宋体"/>
                <w:sz w:val="16"/>
                <w:lang w:eastAsia="zh-CN"/>
              </w:rPr>
              <w:t>全力以赴</w:t>
            </w:r>
            <w:r>
              <w:rPr>
                <w:rFonts w:ascii="宋体" w:hAnsi="宋体" w:eastAsia="宋体"/>
                <w:sz w:val="16"/>
              </w:rPr>
              <w:t>认定到期复评审相关申报、软件、硬件资料的准备工作，于1月中旬完成复评审申请工作。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2022年度新疆监管公检入库检验工作检验周期延长，持续配合自治区承检机构做好监管棉公检入库检验收尾工作。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提升检验检测能力，提高专业技术人员水平。加大人员培训力度，对检验检测人员进行培训取证。以外培形式，选派专业技术人员，赴疆内或内地省市进行鞋类、羽绒项目培训取证工作。</w:t>
            </w:r>
            <w:r>
              <w:rPr>
                <w:rFonts w:ascii="宋体" w:hAnsi="宋体" w:eastAsia="宋体"/>
                <w:sz w:val="16"/>
              </w:rPr>
              <w:br w:type="textWrapping"/>
            </w:r>
            <w:r>
              <w:rPr>
                <w:rFonts w:ascii="宋体" w:hAnsi="宋体" w:eastAsia="宋体"/>
                <w:sz w:val="16"/>
              </w:rPr>
              <w:br w:type="textWrapping"/>
            </w:r>
            <w:r>
              <w:rPr>
                <w:rFonts w:ascii="宋体" w:hAnsi="宋体" w:eastAsia="宋体"/>
                <w:sz w:val="16"/>
              </w:rPr>
              <w:t>检验公证检验次数2500批次，</w:t>
            </w:r>
            <w:r>
              <w:rPr>
                <w:rFonts w:hint="eastAsia" w:ascii="宋体" w:hAnsi="宋体"/>
                <w:sz w:val="16"/>
                <w:lang w:eastAsia="zh-CN"/>
              </w:rPr>
              <w:t>棉纤维</w:t>
            </w:r>
            <w:r>
              <w:rPr>
                <w:rFonts w:ascii="宋体" w:hAnsi="宋体" w:eastAsia="宋体"/>
                <w:sz w:val="16"/>
              </w:rPr>
              <w:t>公证检验吨数100000吨，</w:t>
            </w:r>
            <w:r>
              <w:rPr>
                <w:rFonts w:hint="eastAsia" w:ascii="宋体" w:hAnsi="宋体"/>
                <w:sz w:val="16"/>
                <w:lang w:eastAsia="zh-CN"/>
              </w:rPr>
              <w:t>棉纤维</w:t>
            </w:r>
            <w:r>
              <w:rPr>
                <w:rFonts w:ascii="宋体" w:hAnsi="宋体" w:eastAsia="宋体"/>
                <w:sz w:val="16"/>
              </w:rPr>
              <w:t>公证检验合格率95%。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093FCD2">
            <w:pPr>
              <w:jc w:val="both"/>
            </w:pPr>
            <w:r>
              <w:rPr>
                <w:rFonts w:hint="eastAsia" w:ascii="宋体" w:hAnsi="宋体"/>
                <w:sz w:val="16"/>
                <w:lang w:eastAsia="zh-CN"/>
              </w:rPr>
              <w:t>截至</w:t>
            </w:r>
            <w:r>
              <w:rPr>
                <w:rFonts w:ascii="宋体" w:hAnsi="宋体" w:eastAsia="宋体"/>
                <w:sz w:val="16"/>
              </w:rPr>
              <w:t>2024年12月31日，项目实际形成支出675.3万元，全年</w:t>
            </w:r>
            <w:r>
              <w:rPr>
                <w:rFonts w:hint="eastAsia" w:ascii="宋体" w:hAnsi="宋体"/>
                <w:sz w:val="16"/>
                <w:lang w:eastAsia="zh-CN"/>
              </w:rPr>
              <w:t>纤维</w:t>
            </w:r>
            <w:r>
              <w:rPr>
                <w:rFonts w:ascii="宋体" w:hAnsi="宋体" w:eastAsia="宋体"/>
                <w:sz w:val="16"/>
              </w:rPr>
              <w:t>检验公证检验次数达到14133批次，共达59.71万吨，检验合格率达到95%。通过完成以上工作，公检工作健康发展比去年提高了20%，受益人群满意度达到100%。</w:t>
            </w:r>
          </w:p>
        </w:tc>
      </w:tr>
      <w:tr w14:paraId="44604B4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1679D">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3D0F7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FFCD4D">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2AB9FE">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70C126">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5783F">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C46F51">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AE23E1">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E91858">
            <w:pPr>
              <w:jc w:val="center"/>
            </w:pPr>
            <w:r>
              <w:rPr>
                <w:rFonts w:ascii="宋体" w:hAnsi="宋体" w:eastAsia="宋体"/>
                <w:sz w:val="16"/>
              </w:rPr>
              <w:t>得分</w:t>
            </w:r>
          </w:p>
        </w:tc>
      </w:tr>
      <w:tr w14:paraId="318423AD">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F34796">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0CD74C1">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4F3254">
            <w:pPr>
              <w:jc w:val="center"/>
            </w:pPr>
            <w:r>
              <w:rPr>
                <w:rFonts w:ascii="宋体" w:hAnsi="宋体" w:eastAsia="宋体"/>
                <w:sz w:val="16"/>
              </w:rPr>
              <w:t>日常公用经费控制率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215887">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F5FF6">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5598BB">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CB0F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DDCAC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40B4BE">
            <w:pPr>
              <w:jc w:val="center"/>
            </w:pPr>
            <w:r>
              <w:rPr>
                <w:rFonts w:ascii="宋体" w:hAnsi="宋体" w:eastAsia="宋体"/>
                <w:sz w:val="16"/>
              </w:rPr>
              <w:t>13</w:t>
            </w:r>
          </w:p>
        </w:tc>
      </w:tr>
      <w:tr w14:paraId="5110852B">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55D65A">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23D1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C1238C">
            <w:pPr>
              <w:jc w:val="center"/>
            </w:pPr>
            <w:r>
              <w:rPr>
                <w:rFonts w:hint="eastAsia" w:ascii="宋体" w:hAnsi="宋体"/>
                <w:sz w:val="16"/>
                <w:lang w:eastAsia="zh-CN"/>
              </w:rPr>
              <w:t>纤维</w:t>
            </w:r>
            <w:r>
              <w:rPr>
                <w:rFonts w:ascii="宋体" w:hAnsi="宋体" w:eastAsia="宋体"/>
                <w:sz w:val="16"/>
              </w:rPr>
              <w:t>检验公证检验次数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6F11C3">
            <w:pPr>
              <w:jc w:val="center"/>
            </w:pPr>
            <w:r>
              <w:rPr>
                <w:rFonts w:hint="default" w:ascii="Arial" w:hAnsi="Arial" w:eastAsia="宋体" w:cs="Arial"/>
                <w:sz w:val="16"/>
              </w:rPr>
              <w:t>≥</w:t>
            </w:r>
            <w:r>
              <w:rPr>
                <w:rFonts w:ascii="宋体" w:hAnsi="宋体" w:eastAsia="宋体"/>
                <w:sz w:val="16"/>
              </w:rPr>
              <w:t>1363批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2BC12E">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EEB8C">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F1295C">
            <w:pPr>
              <w:jc w:val="center"/>
            </w:pPr>
            <w:r>
              <w:rPr>
                <w:rFonts w:ascii="宋体" w:hAnsi="宋体" w:eastAsia="宋体"/>
                <w:sz w:val="16"/>
              </w:rPr>
              <w:t>14133批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9154A">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9B2751">
            <w:pPr>
              <w:jc w:val="center"/>
            </w:pPr>
            <w:r>
              <w:rPr>
                <w:rFonts w:ascii="宋体" w:hAnsi="宋体" w:eastAsia="宋体"/>
                <w:sz w:val="16"/>
              </w:rPr>
              <w:t>12</w:t>
            </w:r>
          </w:p>
        </w:tc>
      </w:tr>
      <w:tr w14:paraId="14C5549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EA60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4158F8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9BD3D6">
            <w:pPr>
              <w:jc w:val="center"/>
            </w:pPr>
            <w:r>
              <w:rPr>
                <w:rFonts w:hint="eastAsia" w:ascii="宋体" w:hAnsi="宋体"/>
                <w:sz w:val="16"/>
                <w:lang w:eastAsia="zh-CN"/>
              </w:rPr>
              <w:t>纤维</w:t>
            </w:r>
            <w:r>
              <w:rPr>
                <w:rFonts w:ascii="宋体" w:hAnsi="宋体" w:eastAsia="宋体"/>
                <w:sz w:val="16"/>
              </w:rPr>
              <w:t>公证检验吨数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67B1A">
            <w:pPr>
              <w:jc w:val="center"/>
            </w:pPr>
            <w:r>
              <w:rPr>
                <w:rFonts w:hint="default" w:ascii="Arial" w:hAnsi="Arial" w:eastAsia="宋体" w:cs="Arial"/>
                <w:sz w:val="16"/>
              </w:rPr>
              <w:t>≥</w:t>
            </w:r>
            <w:r>
              <w:rPr>
                <w:rFonts w:ascii="宋体" w:hAnsi="宋体" w:eastAsia="宋体"/>
                <w:sz w:val="16"/>
              </w:rPr>
              <w:t>15万吨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56D2BB">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B356F">
            <w:pPr>
              <w:jc w:val="center"/>
            </w:pPr>
            <w:r>
              <w:rPr>
                <w:rFonts w:ascii="宋体" w:hAnsi="宋体" w:eastAsia="宋体"/>
                <w:sz w:val="16"/>
              </w:rPr>
              <w:t>13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F2770">
            <w:pPr>
              <w:jc w:val="center"/>
            </w:pPr>
            <w:r>
              <w:rPr>
                <w:rFonts w:ascii="宋体" w:hAnsi="宋体" w:eastAsia="宋体"/>
                <w:sz w:val="16"/>
              </w:rPr>
              <w:t>59.71万吨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0AE6CC">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94C2C8">
            <w:pPr>
              <w:jc w:val="center"/>
            </w:pPr>
            <w:r>
              <w:rPr>
                <w:rFonts w:ascii="宋体" w:hAnsi="宋体" w:eastAsia="宋体"/>
                <w:sz w:val="16"/>
              </w:rPr>
              <w:t>13</w:t>
            </w:r>
          </w:p>
        </w:tc>
      </w:tr>
      <w:tr w14:paraId="0B10D4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C18E8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3284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FB19DF">
            <w:pPr>
              <w:jc w:val="center"/>
            </w:pPr>
            <w:r>
              <w:rPr>
                <w:rFonts w:hint="eastAsia" w:ascii="宋体" w:hAnsi="宋体"/>
                <w:sz w:val="16"/>
                <w:lang w:eastAsia="zh-CN"/>
              </w:rPr>
              <w:t>纤维</w:t>
            </w:r>
            <w:r>
              <w:rPr>
                <w:rFonts w:ascii="宋体" w:hAnsi="宋体" w:eastAsia="宋体"/>
                <w:sz w:val="16"/>
              </w:rPr>
              <w:t>公证检验合格率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55A264">
            <w:pPr>
              <w:jc w:val="center"/>
            </w:pPr>
            <w:r>
              <w:rPr>
                <w:rFonts w:hint="default" w:ascii="Arial" w:hAnsi="Arial" w:eastAsia="宋体" w:cs="Arial"/>
                <w:sz w:val="16"/>
              </w:rPr>
              <w:t>≥</w:t>
            </w:r>
            <w:r>
              <w:rPr>
                <w:rFonts w:ascii="宋体" w:hAnsi="宋体" w:eastAsia="宋体"/>
                <w:sz w:val="16"/>
              </w:rPr>
              <w:t>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D8268F">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D0ACD">
            <w:pPr>
              <w:jc w:val="center"/>
            </w:pPr>
            <w:r>
              <w:rPr>
                <w:rFonts w:ascii="宋体" w:hAnsi="宋体" w:eastAsia="宋体"/>
                <w:sz w:val="16"/>
              </w:rPr>
              <w:t>12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017402">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001909">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616998">
            <w:pPr>
              <w:jc w:val="center"/>
            </w:pPr>
            <w:r>
              <w:rPr>
                <w:rFonts w:ascii="宋体" w:hAnsi="宋体" w:eastAsia="宋体"/>
                <w:sz w:val="16"/>
              </w:rPr>
              <w:t>12</w:t>
            </w:r>
          </w:p>
        </w:tc>
      </w:tr>
      <w:tr w14:paraId="44D6C5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FF1B4F"/>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B9B24C">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68F86">
            <w:pPr>
              <w:jc w:val="center"/>
            </w:pPr>
            <w:r>
              <w:rPr>
                <w:rFonts w:hint="eastAsia" w:ascii="宋体" w:hAnsi="宋体"/>
                <w:sz w:val="16"/>
                <w:lang w:eastAsia="zh-CN"/>
              </w:rPr>
              <w:t>纤维</w:t>
            </w:r>
            <w:r>
              <w:rPr>
                <w:rFonts w:ascii="宋体" w:hAnsi="宋体" w:eastAsia="宋体"/>
                <w:sz w:val="16"/>
              </w:rPr>
              <w:t>检验完成率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DF2112">
            <w:pPr>
              <w:jc w:val="center"/>
            </w:pPr>
            <w:r>
              <w:rPr>
                <w:rFonts w:hint="default" w:ascii="Arial" w:hAnsi="Arial" w:eastAsia="宋体" w:cs="Arial"/>
                <w:sz w:val="16"/>
              </w:rPr>
              <w:t>≥</w:t>
            </w:r>
            <w:r>
              <w:rPr>
                <w:rFonts w:ascii="宋体" w:hAnsi="宋体" w:eastAsia="宋体"/>
                <w:sz w:val="16"/>
              </w:rPr>
              <w:t>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D893A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1BBAAC">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B8AD16">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7EB72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260E7">
            <w:pPr>
              <w:jc w:val="center"/>
            </w:pPr>
            <w:r>
              <w:rPr>
                <w:rFonts w:ascii="宋体" w:hAnsi="宋体" w:eastAsia="宋体"/>
                <w:sz w:val="16"/>
              </w:rPr>
              <w:t>15</w:t>
            </w:r>
          </w:p>
        </w:tc>
      </w:tr>
      <w:tr w14:paraId="54CA3A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B8D63A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1AFEB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7469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635DA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40923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8D8F8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524F6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CDC62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D617C5">
            <w:pPr>
              <w:jc w:val="center"/>
            </w:pPr>
            <w:r>
              <w:rPr>
                <w:rFonts w:ascii="宋体" w:hAnsi="宋体" w:eastAsia="宋体"/>
                <w:sz w:val="16"/>
              </w:rPr>
              <w:t>10</w:t>
            </w:r>
          </w:p>
        </w:tc>
      </w:tr>
      <w:tr w14:paraId="0DEC90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B9BB7">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359BB4">
            <w:pPr>
              <w:jc w:val="center"/>
            </w:pPr>
            <w:r>
              <w:rPr>
                <w:rFonts w:ascii="宋体" w:hAnsi="宋体" w:eastAsia="宋体"/>
                <w:sz w:val="16"/>
              </w:rPr>
              <w:t>满意制度</w:t>
            </w:r>
            <w:r>
              <w:rPr>
                <w:rFonts w:hint="eastAsia" w:ascii="宋体" w:hAnsi="宋体"/>
                <w:sz w:val="16"/>
                <w:lang w:eastAsia="zh-CN"/>
              </w:rPr>
              <w:t>标准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0D0112">
            <w:pPr>
              <w:jc w:val="center"/>
            </w:pPr>
            <w:r>
              <w:rPr>
                <w:rFonts w:ascii="宋体" w:hAnsi="宋体" w:eastAsia="宋体"/>
                <w:sz w:val="16"/>
              </w:rPr>
              <w:t>公众对部门履职效果满意度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4C9040">
            <w:pPr>
              <w:jc w:val="center"/>
            </w:pPr>
            <w:r>
              <w:rPr>
                <w:rFonts w:hint="default" w:ascii="Arial" w:hAnsi="Arial" w:eastAsia="宋体" w:cs="Arial"/>
                <w:sz w:val="16"/>
              </w:rPr>
              <w:t>≥</w:t>
            </w:r>
            <w:r>
              <w:rPr>
                <w:rFonts w:ascii="宋体" w:hAnsi="宋体" w:eastAsia="宋体"/>
                <w:sz w:val="16"/>
              </w:rPr>
              <w:t>195%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3B2D63">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AAD23">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6E68D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1FD95">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BE2BD">
            <w:pPr>
              <w:jc w:val="center"/>
            </w:pPr>
            <w:r>
              <w:rPr>
                <w:rFonts w:ascii="宋体" w:hAnsi="宋体" w:eastAsia="宋体"/>
                <w:sz w:val="16"/>
              </w:rPr>
              <w:t>15</w:t>
            </w:r>
          </w:p>
        </w:tc>
      </w:tr>
    </w:tbl>
    <w:p w14:paraId="5B9A1DA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11A802D">
        <w:tblPrEx>
          <w:tblCellMar>
            <w:top w:w="0" w:type="dxa"/>
            <w:left w:w="108" w:type="dxa"/>
            <w:bottom w:w="0" w:type="dxa"/>
            <w:right w:w="108" w:type="dxa"/>
          </w:tblCellMar>
        </w:tblPrEx>
        <w:tc>
          <w:tcPr>
            <w:tcW w:w="8847" w:type="dxa"/>
            <w:gridSpan w:val="9"/>
            <w:vAlign w:val="center"/>
          </w:tcPr>
          <w:p w14:paraId="06F09B7E">
            <w:pPr>
              <w:jc w:val="center"/>
            </w:pPr>
            <w:r>
              <w:rPr>
                <w:rFonts w:ascii="宋体" w:hAnsi="宋体" w:eastAsia="宋体"/>
                <w:sz w:val="24"/>
              </w:rPr>
              <w:t>项目支出绩效自评表</w:t>
            </w:r>
          </w:p>
        </w:tc>
      </w:tr>
      <w:tr w14:paraId="185736A3">
        <w:tblPrEx>
          <w:tblCellMar>
            <w:top w:w="0" w:type="dxa"/>
            <w:left w:w="108" w:type="dxa"/>
            <w:bottom w:w="0" w:type="dxa"/>
            <w:right w:w="108" w:type="dxa"/>
          </w:tblCellMar>
        </w:tblPrEx>
        <w:tc>
          <w:tcPr>
            <w:tcW w:w="8847" w:type="dxa"/>
            <w:gridSpan w:val="9"/>
            <w:vAlign w:val="center"/>
          </w:tcPr>
          <w:p w14:paraId="6D5A744D">
            <w:pPr>
              <w:jc w:val="center"/>
            </w:pPr>
            <w:r>
              <w:rPr>
                <w:rFonts w:ascii="宋体" w:hAnsi="宋体" w:eastAsia="宋体"/>
                <w:sz w:val="24"/>
              </w:rPr>
              <w:t>(2024年度)</w:t>
            </w:r>
          </w:p>
        </w:tc>
      </w:tr>
      <w:tr w14:paraId="6E4B9223">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D2C110">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6352FEA">
            <w:pPr>
              <w:jc w:val="center"/>
            </w:pPr>
            <w:r>
              <w:rPr>
                <w:rFonts w:ascii="宋体" w:hAnsi="宋体" w:eastAsia="宋体"/>
                <w:sz w:val="16"/>
              </w:rPr>
              <w:t>2024年纤维</w:t>
            </w:r>
            <w:r>
              <w:rPr>
                <w:rFonts w:hint="eastAsia" w:ascii="宋体" w:hAnsi="宋体"/>
                <w:sz w:val="16"/>
                <w:lang w:eastAsia="zh-CN"/>
              </w:rPr>
              <w:t>公证</w:t>
            </w:r>
            <w:r>
              <w:rPr>
                <w:rFonts w:ascii="宋体" w:hAnsi="宋体" w:eastAsia="宋体"/>
                <w:sz w:val="16"/>
              </w:rPr>
              <w:t>检验经费</w:t>
            </w:r>
          </w:p>
        </w:tc>
      </w:tr>
      <w:tr w14:paraId="4A38D9C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B6BBD3">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12B7749">
            <w:pPr>
              <w:jc w:val="center"/>
            </w:pPr>
            <w:r>
              <w:rPr>
                <w:rFonts w:ascii="宋体" w:hAnsi="宋体" w:eastAsia="宋体"/>
                <w:sz w:val="16"/>
              </w:rPr>
              <w:t>和田地区纤维检验所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9398B1">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4CE02D1">
            <w:pPr>
              <w:jc w:val="center"/>
            </w:pPr>
            <w:r>
              <w:rPr>
                <w:rFonts w:ascii="宋体" w:hAnsi="宋体" w:eastAsia="宋体"/>
                <w:sz w:val="16"/>
              </w:rPr>
              <w:t>和田地区纤维检验所</w:t>
            </w:r>
          </w:p>
        </w:tc>
      </w:tr>
      <w:tr w14:paraId="2472855F">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B48D1">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3388D6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2E0A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EF1EEB">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DD047">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55E517">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533EB1">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1F580B">
            <w:pPr>
              <w:jc w:val="center"/>
            </w:pPr>
            <w:r>
              <w:rPr>
                <w:rFonts w:ascii="宋体" w:hAnsi="宋体" w:eastAsia="宋体"/>
                <w:sz w:val="16"/>
              </w:rPr>
              <w:t>得分</w:t>
            </w:r>
          </w:p>
        </w:tc>
      </w:tr>
      <w:tr w14:paraId="4549F504">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CA0E30"/>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FD0352F">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F18F9C">
            <w:pPr>
              <w:jc w:val="center"/>
            </w:pPr>
            <w:r>
              <w:rPr>
                <w:rFonts w:ascii="宋体" w:hAnsi="宋体" w:eastAsia="宋体"/>
                <w:sz w:val="16"/>
              </w:rPr>
              <w:t>166.00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8FDCA">
            <w:pPr>
              <w:jc w:val="center"/>
            </w:pPr>
            <w:r>
              <w:rPr>
                <w:rFonts w:ascii="宋体" w:hAnsi="宋体" w:eastAsia="宋体"/>
                <w:sz w:val="16"/>
              </w:rPr>
              <w:t>416.81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13354E">
            <w:pPr>
              <w:jc w:val="center"/>
            </w:pPr>
            <w:r>
              <w:rPr>
                <w:rFonts w:ascii="宋体" w:hAnsi="宋体" w:eastAsia="宋体"/>
                <w:sz w:val="16"/>
              </w:rPr>
              <w:t>416.81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68646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B94D98">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ABC8AE">
            <w:pPr>
              <w:jc w:val="center"/>
            </w:pPr>
            <w:r>
              <w:rPr>
                <w:rFonts w:ascii="宋体" w:hAnsi="宋体" w:eastAsia="宋体"/>
                <w:sz w:val="16"/>
              </w:rPr>
              <w:t>10.00分</w:t>
            </w:r>
          </w:p>
        </w:tc>
      </w:tr>
      <w:tr w14:paraId="03F38A5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1F54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FFE9E8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B747F0">
            <w:pPr>
              <w:jc w:val="center"/>
            </w:pPr>
            <w:r>
              <w:rPr>
                <w:rFonts w:ascii="宋体" w:hAnsi="宋体" w:eastAsia="宋体"/>
                <w:sz w:val="16"/>
              </w:rPr>
              <w:t>166.00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4250C1">
            <w:pPr>
              <w:jc w:val="center"/>
            </w:pPr>
            <w:r>
              <w:rPr>
                <w:rFonts w:ascii="宋体" w:hAnsi="宋体" w:eastAsia="宋体"/>
                <w:sz w:val="16"/>
              </w:rPr>
              <w:t>416.81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AFD975">
            <w:pPr>
              <w:jc w:val="center"/>
            </w:pPr>
            <w:r>
              <w:rPr>
                <w:rFonts w:ascii="宋体" w:hAnsi="宋体" w:eastAsia="宋体"/>
                <w:sz w:val="16"/>
              </w:rPr>
              <w:t>416.81</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23AAA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B011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310C68">
            <w:pPr>
              <w:jc w:val="center"/>
            </w:pPr>
            <w:r>
              <w:rPr>
                <w:rFonts w:ascii="宋体" w:hAnsi="宋体" w:eastAsia="宋体"/>
                <w:sz w:val="16"/>
              </w:rPr>
              <w:t>—</w:t>
            </w:r>
          </w:p>
        </w:tc>
      </w:tr>
      <w:tr w14:paraId="04FEB0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6F5A89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AE4033">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F8A4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A301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E2D9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D615F6">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DA0BE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C5C768">
            <w:pPr>
              <w:jc w:val="center"/>
            </w:pPr>
            <w:r>
              <w:rPr>
                <w:rFonts w:ascii="宋体" w:hAnsi="宋体" w:eastAsia="宋体"/>
                <w:sz w:val="16"/>
              </w:rPr>
              <w:t>—</w:t>
            </w:r>
          </w:p>
        </w:tc>
      </w:tr>
      <w:tr w14:paraId="039E4B9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4EE171"/>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7052F">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F0385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A41F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0AF34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31713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57899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07CC5C">
            <w:pPr>
              <w:jc w:val="center"/>
            </w:pPr>
            <w:r>
              <w:rPr>
                <w:rFonts w:ascii="宋体" w:hAnsi="宋体" w:eastAsia="宋体"/>
                <w:sz w:val="16"/>
              </w:rPr>
              <w:t>—</w:t>
            </w:r>
          </w:p>
        </w:tc>
      </w:tr>
      <w:tr w14:paraId="73C8AB9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4DD244">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3A5B500">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21AAF05">
            <w:pPr>
              <w:jc w:val="center"/>
            </w:pPr>
            <w:r>
              <w:rPr>
                <w:rFonts w:ascii="宋体" w:hAnsi="宋体" w:eastAsia="宋体"/>
                <w:sz w:val="16"/>
              </w:rPr>
              <w:t>实际完成情况</w:t>
            </w:r>
          </w:p>
        </w:tc>
      </w:tr>
      <w:tr w14:paraId="12EC858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E2CEAB"/>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B4B2050">
            <w:pPr>
              <w:jc w:val="both"/>
            </w:pPr>
            <w:r>
              <w:rPr>
                <w:rFonts w:ascii="宋体" w:hAnsi="宋体" w:eastAsia="宋体"/>
                <w:sz w:val="16"/>
              </w:rPr>
              <w:t>本项目主要实施内容为：全年</w:t>
            </w:r>
            <w:r>
              <w:rPr>
                <w:rFonts w:hint="eastAsia" w:ascii="宋体" w:hAnsi="宋体"/>
                <w:sz w:val="16"/>
                <w:lang w:eastAsia="zh-CN"/>
              </w:rPr>
              <w:t>纤维</w:t>
            </w:r>
            <w:r>
              <w:rPr>
                <w:rFonts w:ascii="宋体" w:hAnsi="宋体" w:eastAsia="宋体"/>
                <w:sz w:val="16"/>
              </w:rPr>
              <w:t>检验公证检验次数计划达到25000次，项目总投资为416.81万元，项目计划于2024年12月完成。通过本项目的实施，公检工作健康发展比去年提高20%，待项目实施完成，争取使受益人群满意度不低于95%。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7C94D00">
            <w:pPr>
              <w:jc w:val="both"/>
            </w:pPr>
            <w:r>
              <w:rPr>
                <w:rFonts w:hint="eastAsia" w:ascii="宋体" w:hAnsi="宋体"/>
                <w:sz w:val="16"/>
                <w:lang w:eastAsia="zh-CN"/>
              </w:rPr>
              <w:t>截至</w:t>
            </w:r>
            <w:r>
              <w:rPr>
                <w:rFonts w:ascii="宋体" w:hAnsi="宋体" w:eastAsia="宋体"/>
                <w:sz w:val="16"/>
              </w:rPr>
              <w:t>2024年12月31日，项目实际形成支出416.81万元，全年</w:t>
            </w:r>
            <w:r>
              <w:rPr>
                <w:rFonts w:hint="eastAsia" w:ascii="宋体" w:hAnsi="宋体"/>
                <w:sz w:val="16"/>
                <w:lang w:eastAsia="zh-CN"/>
              </w:rPr>
              <w:t>纤维</w:t>
            </w:r>
            <w:r>
              <w:rPr>
                <w:rFonts w:ascii="宋体" w:hAnsi="宋体" w:eastAsia="宋体"/>
                <w:sz w:val="16"/>
              </w:rPr>
              <w:t>检验公证检验次数达到25000次。通过本项目的实施，公检工作健康发展比去年提高了20%，项目实施完成，受益人群满意度达到100%。</w:t>
            </w:r>
          </w:p>
        </w:tc>
      </w:tr>
      <w:tr w14:paraId="49A6D04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4C4B9E0B"/>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9F8C9">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EC3391">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0E256F">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3EF40F">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2A0D8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E0D2C8">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599735">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A4C016">
            <w:pPr>
              <w:jc w:val="center"/>
            </w:pPr>
            <w:r>
              <w:rPr>
                <w:rFonts w:ascii="宋体" w:hAnsi="宋体" w:eastAsia="宋体"/>
                <w:sz w:val="16"/>
              </w:rPr>
              <w:t>偏差原因分析及改进措施</w:t>
            </w:r>
          </w:p>
        </w:tc>
      </w:tr>
      <w:tr w14:paraId="526BFC5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2E93320">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3F7B07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BB9773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CDEFA">
            <w:pPr>
              <w:jc w:val="center"/>
            </w:pPr>
            <w:r>
              <w:rPr>
                <w:rFonts w:hint="eastAsia" w:ascii="宋体" w:hAnsi="宋体"/>
                <w:sz w:val="16"/>
                <w:lang w:eastAsia="zh-CN"/>
              </w:rPr>
              <w:t>纤维</w:t>
            </w:r>
            <w:r>
              <w:rPr>
                <w:rFonts w:ascii="宋体" w:hAnsi="宋体" w:eastAsia="宋体"/>
                <w:sz w:val="16"/>
              </w:rPr>
              <w:t>检验公证检验次数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F73E5E">
            <w:pPr>
              <w:jc w:val="center"/>
            </w:pPr>
            <w:r>
              <w:rPr>
                <w:rFonts w:ascii="宋体" w:hAnsi="宋体" w:eastAsia="宋体"/>
                <w:sz w:val="16"/>
              </w:rPr>
              <w:t>≥25000次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7C5B46">
            <w:pPr>
              <w:jc w:val="center"/>
            </w:pPr>
            <w:r>
              <w:rPr>
                <w:rFonts w:ascii="宋体" w:hAnsi="宋体" w:eastAsia="宋体"/>
                <w:sz w:val="16"/>
              </w:rPr>
              <w:t>=25000次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3BA3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BB5A8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BE947">
            <w:pPr>
              <w:jc w:val="center"/>
            </w:pPr>
          </w:p>
        </w:tc>
      </w:tr>
      <w:tr w14:paraId="4523C47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4F8C18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856B70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876B0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A8EE8">
            <w:pPr>
              <w:jc w:val="center"/>
            </w:pPr>
            <w:r>
              <w:rPr>
                <w:rFonts w:ascii="宋体" w:hAnsi="宋体" w:eastAsia="宋体"/>
                <w:sz w:val="16"/>
              </w:rPr>
              <w:t>实验室日常维修维护以及购买办公用品</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9B7F0A">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6E352">
            <w:pPr>
              <w:jc w:val="center"/>
            </w:pPr>
            <w:r>
              <w:rPr>
                <w:rFonts w:ascii="宋体" w:hAnsi="宋体" w:eastAsia="宋体"/>
                <w:sz w:val="16"/>
              </w:rPr>
              <w:t>=12次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A75A4E">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AD0D4B">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32E50">
            <w:pPr>
              <w:jc w:val="center"/>
            </w:pPr>
          </w:p>
        </w:tc>
      </w:tr>
      <w:tr w14:paraId="407D80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33A32C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37FECC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6763C6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7A55F4">
            <w:pPr>
              <w:jc w:val="center"/>
            </w:pPr>
            <w:r>
              <w:rPr>
                <w:rFonts w:ascii="宋体" w:hAnsi="宋体" w:eastAsia="宋体"/>
                <w:sz w:val="16"/>
              </w:rPr>
              <w:t>实验室专业人员工资</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7CD76D">
            <w:pPr>
              <w:jc w:val="center"/>
            </w:pPr>
            <w:r>
              <w:rPr>
                <w:rFonts w:ascii="宋体" w:hAnsi="宋体" w:eastAsia="宋体"/>
                <w:sz w:val="16"/>
              </w:rPr>
              <w:t>≥12月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A0A36">
            <w:pPr>
              <w:jc w:val="center"/>
            </w:pPr>
            <w:r>
              <w:rPr>
                <w:rFonts w:ascii="宋体" w:hAnsi="宋体" w:eastAsia="宋体"/>
                <w:sz w:val="16"/>
              </w:rPr>
              <w:t>=12月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67827B">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B81A6">
            <w:pPr>
              <w:jc w:val="center"/>
            </w:pPr>
            <w:r>
              <w:rPr>
                <w:rFonts w:ascii="宋体" w:hAnsi="宋体" w:eastAsia="宋体"/>
                <w:sz w:val="16"/>
              </w:rPr>
              <w:t>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4C9D2B">
            <w:pPr>
              <w:jc w:val="center"/>
            </w:pPr>
          </w:p>
        </w:tc>
      </w:tr>
      <w:tr w14:paraId="596B18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A73D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E16CE9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45084C3">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200AA7">
            <w:pPr>
              <w:jc w:val="center"/>
            </w:pPr>
            <w:bookmarkStart w:id="0" w:name="_GoBack"/>
            <w:bookmarkEnd w:id="0"/>
            <w:r>
              <w:rPr>
                <w:rFonts w:hint="eastAsia" w:ascii="宋体" w:hAnsi="宋体"/>
                <w:sz w:val="16"/>
                <w:lang w:eastAsia="zh-CN"/>
              </w:rPr>
              <w:t>纤维</w:t>
            </w:r>
            <w:r>
              <w:rPr>
                <w:rFonts w:ascii="宋体" w:hAnsi="宋体" w:eastAsia="宋体"/>
                <w:sz w:val="16"/>
              </w:rPr>
              <w:t>公证检验合格率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33E91C">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6AC879">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9C8E5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636791">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404DE">
            <w:pPr>
              <w:jc w:val="center"/>
            </w:pPr>
          </w:p>
        </w:tc>
      </w:tr>
      <w:tr w14:paraId="006A03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F08F4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CBDE7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970F75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68642A">
            <w:pPr>
              <w:jc w:val="center"/>
            </w:pPr>
            <w:r>
              <w:rPr>
                <w:rFonts w:ascii="宋体" w:hAnsi="宋体" w:eastAsia="宋体"/>
                <w:sz w:val="16"/>
              </w:rPr>
              <w:t>质量验收合格率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7AC1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22CB7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36FEC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B7BB78">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BCB7B">
            <w:pPr>
              <w:jc w:val="center"/>
            </w:pPr>
          </w:p>
        </w:tc>
      </w:tr>
      <w:tr w14:paraId="28489B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99ACD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D40D48"/>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CA5F3">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9B2E23">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B96E1">
            <w:pPr>
              <w:jc w:val="center"/>
            </w:pPr>
            <w:r>
              <w:rPr>
                <w:rFonts w:ascii="宋体" w:hAnsi="宋体" w:eastAsia="宋体"/>
                <w:sz w:val="16"/>
              </w:rPr>
              <w:t>≥98%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B5E4F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AFC45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0EC1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E761F6">
            <w:pPr>
              <w:jc w:val="center"/>
            </w:pPr>
          </w:p>
        </w:tc>
      </w:tr>
      <w:tr w14:paraId="3910F96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C672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706505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44E2C7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9B493F">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3C0CF">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0796227">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60F9A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35D84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BF5468">
            <w:pPr>
              <w:jc w:val="center"/>
            </w:pPr>
          </w:p>
        </w:tc>
      </w:tr>
      <w:tr w14:paraId="1797057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36BF9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BF35B0">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7063BD">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43EB98">
            <w:pPr>
              <w:jc w:val="center"/>
            </w:pPr>
            <w:r>
              <w:rPr>
                <w:rFonts w:ascii="宋体" w:hAnsi="宋体" w:eastAsia="宋体"/>
                <w:sz w:val="16"/>
              </w:rPr>
              <w:t>纤维</w:t>
            </w:r>
            <w:r>
              <w:rPr>
                <w:rFonts w:hint="eastAsia" w:ascii="宋体" w:hAnsi="宋体"/>
                <w:sz w:val="16"/>
                <w:lang w:eastAsia="zh-CN"/>
              </w:rPr>
              <w:t>公证</w:t>
            </w:r>
            <w:r>
              <w:rPr>
                <w:rFonts w:ascii="宋体" w:hAnsi="宋体" w:eastAsia="宋体"/>
                <w:sz w:val="16"/>
              </w:rPr>
              <w:t>检验运行经费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AE7041">
            <w:pPr>
              <w:jc w:val="center"/>
            </w:pPr>
            <w:r>
              <w:rPr>
                <w:rFonts w:ascii="宋体" w:hAnsi="宋体" w:eastAsia="宋体"/>
                <w:sz w:val="16"/>
              </w:rPr>
              <w:t>≤416.81万元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943EBD">
            <w:pPr>
              <w:jc w:val="center"/>
            </w:pPr>
            <w:r>
              <w:rPr>
                <w:rFonts w:ascii="宋体" w:hAnsi="宋体" w:eastAsia="宋体"/>
                <w:sz w:val="16"/>
              </w:rPr>
              <w:t>=416.81万元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B984FC">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B7E82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1D6950">
            <w:pPr>
              <w:jc w:val="center"/>
            </w:pPr>
          </w:p>
        </w:tc>
      </w:tr>
      <w:tr w14:paraId="7651A04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9BFEE5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3C394F">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0A032E">
            <w:pPr>
              <w:jc w:val="center"/>
            </w:pPr>
            <w:r>
              <w:rPr>
                <w:rFonts w:ascii="宋体" w:hAnsi="宋体" w:eastAsia="宋体"/>
                <w:sz w:val="16"/>
              </w:rPr>
              <w:t>经济效益指标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B65EE1">
            <w:pPr>
              <w:jc w:val="center"/>
            </w:pPr>
            <w:r>
              <w:rPr>
                <w:rFonts w:ascii="宋体" w:hAnsi="宋体" w:eastAsia="宋体"/>
                <w:sz w:val="16"/>
              </w:rPr>
              <w:t>公检工作健康发展比去年提高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205047">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79D052">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17DCC6">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D3C2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F2FE84">
            <w:pPr>
              <w:jc w:val="center"/>
            </w:pPr>
          </w:p>
        </w:tc>
      </w:tr>
      <w:tr w14:paraId="75A9243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2158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32477">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A94451">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907055">
            <w:pPr>
              <w:jc w:val="center"/>
            </w:pPr>
            <w:r>
              <w:rPr>
                <w:rFonts w:ascii="宋体" w:hAnsi="宋体" w:eastAsia="宋体"/>
                <w:sz w:val="16"/>
              </w:rPr>
              <w:t>服务企业满意度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F0462B">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FAB5F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33DC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8CE8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741BF0">
            <w:pPr>
              <w:jc w:val="center"/>
            </w:pPr>
          </w:p>
        </w:tc>
      </w:tr>
      <w:tr w14:paraId="5EE6C50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5423B3">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25D932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FB7E05">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D5E07F0">
            <w:pPr>
              <w:jc w:val="center"/>
            </w:pPr>
            <w:r>
              <w:rPr>
                <w:rFonts w:ascii="宋体" w:hAnsi="宋体" w:eastAsia="宋体"/>
                <w:sz w:val="16"/>
              </w:rPr>
              <w:t>100分</w:t>
            </w:r>
          </w:p>
        </w:tc>
      </w:tr>
    </w:tbl>
    <w:p w14:paraId="7C594DD6">
      <w:r>
        <w:br w:type="page"/>
      </w:r>
    </w:p>
    <w:p w14:paraId="557F2157">
      <w:pPr>
        <w:spacing w:line="640" w:lineRule="exact"/>
        <w:ind w:firstLine="640"/>
        <w:jc w:val="both"/>
        <w:outlineLvl w:val="2"/>
      </w:pPr>
      <w:r>
        <w:rPr>
          <w:rFonts w:ascii="黑体" w:hAnsi="黑体" w:eastAsia="黑体"/>
          <w:sz w:val="32"/>
        </w:rPr>
        <w:t>十二、其他需说明的事项</w:t>
      </w:r>
    </w:p>
    <w:p w14:paraId="599C7432">
      <w:pPr>
        <w:spacing w:line="580" w:lineRule="exact"/>
        <w:ind w:firstLine="640"/>
        <w:jc w:val="both"/>
      </w:pPr>
      <w:r>
        <w:rPr>
          <w:rFonts w:ascii="仿宋_GB2312" w:hAnsi="仿宋_GB2312" w:eastAsia="仿宋_GB2312"/>
          <w:b w:val="0"/>
          <w:sz w:val="32"/>
        </w:rPr>
        <w:t>本单位无其他需说明的事项。</w:t>
      </w:r>
    </w:p>
    <w:p w14:paraId="7B37BD59">
      <w:r>
        <w:br w:type="page"/>
      </w:r>
    </w:p>
    <w:p w14:paraId="1BD66DA2">
      <w:pPr>
        <w:spacing w:line="240" w:lineRule="auto"/>
        <w:jc w:val="center"/>
        <w:outlineLvl w:val="1"/>
      </w:pPr>
      <w:r>
        <w:rPr>
          <w:rFonts w:ascii="黑体" w:hAnsi="黑体" w:eastAsia="黑体"/>
          <w:sz w:val="32"/>
        </w:rPr>
        <w:t>第三部分 专业名词解释</w:t>
      </w:r>
    </w:p>
    <w:p w14:paraId="7EFF9A23">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0846ECBB">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4640A84">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5ED65B48">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79274130">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29DA516F">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11420783">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0EF0EFA">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5614715B">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A1CE034">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6BC36659">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39FAB356">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E0C1BCB">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6A963716">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677F6579">
      <w:r>
        <w:br w:type="page"/>
      </w:r>
    </w:p>
    <w:p w14:paraId="701B3262">
      <w:pPr>
        <w:spacing w:line="240" w:lineRule="auto"/>
        <w:jc w:val="center"/>
        <w:outlineLvl w:val="1"/>
      </w:pPr>
      <w:r>
        <w:rPr>
          <w:rFonts w:ascii="黑体" w:hAnsi="黑体" w:eastAsia="黑体"/>
          <w:sz w:val="32"/>
        </w:rPr>
        <w:t>第四部分 部门决算报表（见附表）</w:t>
      </w:r>
    </w:p>
    <w:p w14:paraId="43902C56">
      <w:pPr>
        <w:spacing w:line="240" w:lineRule="auto"/>
        <w:ind w:firstLine="640"/>
        <w:jc w:val="both"/>
      </w:pPr>
      <w:r>
        <w:rPr>
          <w:rFonts w:ascii="仿宋_GB2312" w:hAnsi="仿宋_GB2312" w:eastAsia="仿宋_GB2312"/>
          <w:b w:val="0"/>
          <w:sz w:val="32"/>
        </w:rPr>
        <w:t>一、《收入支出决算总表》</w:t>
      </w:r>
    </w:p>
    <w:p w14:paraId="440DFE6E">
      <w:pPr>
        <w:spacing w:line="240" w:lineRule="auto"/>
        <w:ind w:firstLine="640"/>
        <w:jc w:val="both"/>
      </w:pPr>
      <w:r>
        <w:rPr>
          <w:rFonts w:ascii="仿宋_GB2312" w:hAnsi="仿宋_GB2312" w:eastAsia="仿宋_GB2312"/>
          <w:b w:val="0"/>
          <w:sz w:val="32"/>
        </w:rPr>
        <w:t>二、《收入决算表》</w:t>
      </w:r>
    </w:p>
    <w:p w14:paraId="4A8FB598">
      <w:pPr>
        <w:spacing w:line="240" w:lineRule="auto"/>
        <w:ind w:firstLine="640"/>
        <w:jc w:val="both"/>
      </w:pPr>
      <w:r>
        <w:rPr>
          <w:rFonts w:ascii="仿宋_GB2312" w:hAnsi="仿宋_GB2312" w:eastAsia="仿宋_GB2312"/>
          <w:b w:val="0"/>
          <w:sz w:val="32"/>
        </w:rPr>
        <w:t>三、《支出决算表》</w:t>
      </w:r>
    </w:p>
    <w:p w14:paraId="01B8FC6A">
      <w:pPr>
        <w:spacing w:line="240" w:lineRule="auto"/>
        <w:ind w:firstLine="640"/>
        <w:jc w:val="both"/>
      </w:pPr>
      <w:r>
        <w:rPr>
          <w:rFonts w:ascii="仿宋_GB2312" w:hAnsi="仿宋_GB2312" w:eastAsia="仿宋_GB2312"/>
          <w:b w:val="0"/>
          <w:sz w:val="32"/>
        </w:rPr>
        <w:t>四、《财政拨款收入支出决算总表》</w:t>
      </w:r>
    </w:p>
    <w:p w14:paraId="16B3FA68">
      <w:pPr>
        <w:spacing w:line="240" w:lineRule="auto"/>
        <w:ind w:firstLine="640"/>
        <w:jc w:val="both"/>
      </w:pPr>
      <w:r>
        <w:rPr>
          <w:rFonts w:ascii="仿宋_GB2312" w:hAnsi="仿宋_GB2312" w:eastAsia="仿宋_GB2312"/>
          <w:b w:val="0"/>
          <w:sz w:val="32"/>
        </w:rPr>
        <w:t>五、《一般公共预算财政拨款支出决算表》</w:t>
      </w:r>
    </w:p>
    <w:p w14:paraId="51C715B5">
      <w:pPr>
        <w:spacing w:line="240" w:lineRule="auto"/>
        <w:ind w:firstLine="640"/>
        <w:jc w:val="both"/>
      </w:pPr>
      <w:r>
        <w:rPr>
          <w:rFonts w:ascii="仿宋_GB2312" w:hAnsi="仿宋_GB2312" w:eastAsia="仿宋_GB2312"/>
          <w:b w:val="0"/>
          <w:sz w:val="32"/>
        </w:rPr>
        <w:t>六、《一般公共预算财政拨款基本支出决算表》</w:t>
      </w:r>
    </w:p>
    <w:p w14:paraId="0C910701">
      <w:pPr>
        <w:spacing w:line="240" w:lineRule="auto"/>
        <w:ind w:firstLine="640"/>
        <w:jc w:val="both"/>
      </w:pPr>
      <w:r>
        <w:rPr>
          <w:rFonts w:ascii="仿宋_GB2312" w:hAnsi="仿宋_GB2312" w:eastAsia="仿宋_GB2312"/>
          <w:b w:val="0"/>
          <w:sz w:val="32"/>
        </w:rPr>
        <w:t>七、《政府性基金预算财政拨款收入支出决算表》</w:t>
      </w:r>
    </w:p>
    <w:p w14:paraId="5E5F8094">
      <w:pPr>
        <w:spacing w:line="240" w:lineRule="auto"/>
        <w:ind w:firstLine="640"/>
        <w:jc w:val="both"/>
      </w:pPr>
      <w:r>
        <w:rPr>
          <w:rFonts w:ascii="仿宋_GB2312" w:hAnsi="仿宋_GB2312" w:eastAsia="仿宋_GB2312"/>
          <w:b w:val="0"/>
          <w:sz w:val="32"/>
        </w:rPr>
        <w:t>八、《国有资本经营预算财政拨款收入支出决算表》</w:t>
      </w:r>
    </w:p>
    <w:p w14:paraId="2FC50480">
      <w:pPr>
        <w:spacing w:line="240" w:lineRule="auto"/>
        <w:ind w:firstLine="640"/>
        <w:jc w:val="both"/>
      </w:pPr>
      <w:r>
        <w:rPr>
          <w:rFonts w:ascii="仿宋_GB2312" w:hAnsi="仿宋_GB2312" w:eastAsia="仿宋_GB2312"/>
          <w:b w:val="0"/>
          <w:sz w:val="32"/>
        </w:rPr>
        <w:t>九、《财政拨款“三公”经费支出决算表》</w:t>
      </w:r>
    </w:p>
    <w:p w14:paraId="2B9EA8C6">
      <w:pPr>
        <w:spacing w:line="240" w:lineRule="auto"/>
        <w:ind w:firstLine="640"/>
        <w:jc w:val="both"/>
      </w:pPr>
    </w:p>
    <w:p w14:paraId="581CE6F1">
      <w:pPr>
        <w:spacing w:line="240" w:lineRule="auto"/>
        <w:ind w:firstLine="640"/>
        <w:jc w:val="both"/>
      </w:pPr>
    </w:p>
    <w:p w14:paraId="3F7933AB">
      <w:pPr>
        <w:spacing w:line="240" w:lineRule="auto"/>
        <w:ind w:firstLine="640"/>
        <w:jc w:val="both"/>
      </w:pPr>
    </w:p>
    <w:p w14:paraId="2B106E6C">
      <w:pPr>
        <w:spacing w:line="240" w:lineRule="auto"/>
        <w:ind w:firstLine="640"/>
        <w:jc w:val="both"/>
      </w:pPr>
    </w:p>
    <w:p w14:paraId="61497797">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C7194D"/>
    <w:rsid w:val="11E15093"/>
    <w:rsid w:val="120E0809"/>
    <w:rsid w:val="15CD44D1"/>
    <w:rsid w:val="19071D6C"/>
    <w:rsid w:val="19B5554D"/>
    <w:rsid w:val="1B8F2D19"/>
    <w:rsid w:val="1C317E4F"/>
    <w:rsid w:val="1C472464"/>
    <w:rsid w:val="1DAF458D"/>
    <w:rsid w:val="1E086ACE"/>
    <w:rsid w:val="1E4B5CA5"/>
    <w:rsid w:val="1EAA4A5F"/>
    <w:rsid w:val="1F233019"/>
    <w:rsid w:val="1F587A0B"/>
    <w:rsid w:val="2064678E"/>
    <w:rsid w:val="20BC0B75"/>
    <w:rsid w:val="20DD6197"/>
    <w:rsid w:val="21F317F2"/>
    <w:rsid w:val="2241392C"/>
    <w:rsid w:val="23BC04D2"/>
    <w:rsid w:val="248218F0"/>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78B60F6"/>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795729"/>
    <w:rsid w:val="52F92565"/>
    <w:rsid w:val="543D17CB"/>
    <w:rsid w:val="55DA564E"/>
    <w:rsid w:val="56E07045"/>
    <w:rsid w:val="583059FA"/>
    <w:rsid w:val="587E6212"/>
    <w:rsid w:val="5AFC6609"/>
    <w:rsid w:val="5FA17648"/>
    <w:rsid w:val="5FD320BD"/>
    <w:rsid w:val="601B6F8F"/>
    <w:rsid w:val="60DE4D57"/>
    <w:rsid w:val="613409CB"/>
    <w:rsid w:val="61A46A97"/>
    <w:rsid w:val="6221653C"/>
    <w:rsid w:val="62DD7D21"/>
    <w:rsid w:val="63F272DA"/>
    <w:rsid w:val="65D97752"/>
    <w:rsid w:val="664C500C"/>
    <w:rsid w:val="67D111AB"/>
    <w:rsid w:val="680E7D90"/>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 w:val="FCFBD3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20</Pages>
  <Words>5313</Words>
  <Characters>6079</Characters>
  <Lines>0</Lines>
  <Paragraphs>0</Paragraphs>
  <TotalTime>7</TotalTime>
  <ScaleCrop>false</ScaleCrop>
  <LinksUpToDate>false</LinksUpToDate>
  <CharactersWithSpaces>6089</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2025-10-14T15:56:27Z</cp:lastPrinted>
  <dcterms:modified xsi:type="dcterms:W3CDTF">2025-10-14T15:56:52Z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A5D1D36A63AA4451B1A6B71B81465782_13</vt:lpwstr>
  </property>
  <property fmtid="{D5CDD505-2E9C-101B-9397-08002B2CF9AE}" pid="4" name="KSOTemplateDocerSaveRecord">
    <vt:lpwstr>eyJoZGlkIjoiZWE5M2E4OTRkNmEwYTUyNjM2Mzg3NThiMTA5NmIzZWUiLCJ1c2VySWQiOiI0OTMxMTE3MjUifQ==</vt:lpwstr>
  </property>
</Properties>
</file>