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857DD"/>
    <w:p w14:paraId="3EFFFEAF">
      <w:pPr>
        <w:spacing w:line="54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附件2：</w:t>
      </w:r>
    </w:p>
    <w:p w14:paraId="3EA0A162">
      <w:pPr>
        <w:spacing w:line="540" w:lineRule="exact"/>
        <w:jc w:val="center"/>
        <w:rPr>
          <w:rFonts w:ascii="华文中宋" w:hAnsi="华文中宋" w:eastAsia="华文中宋" w:cs="宋体"/>
          <w:b/>
          <w:kern w:val="0"/>
          <w:sz w:val="52"/>
          <w:szCs w:val="52"/>
        </w:rPr>
      </w:pPr>
    </w:p>
    <w:p w14:paraId="3C891976">
      <w:pPr>
        <w:spacing w:line="540" w:lineRule="exact"/>
        <w:jc w:val="center"/>
        <w:rPr>
          <w:rFonts w:ascii="华文中宋" w:hAnsi="华文中宋" w:eastAsia="华文中宋" w:cs="宋体"/>
          <w:b/>
          <w:kern w:val="0"/>
          <w:sz w:val="52"/>
          <w:szCs w:val="52"/>
        </w:rPr>
      </w:pPr>
    </w:p>
    <w:p w14:paraId="4E26154B">
      <w:pPr>
        <w:spacing w:line="540" w:lineRule="exact"/>
        <w:jc w:val="center"/>
        <w:rPr>
          <w:rFonts w:ascii="华文中宋" w:hAnsi="华文中宋" w:eastAsia="华文中宋" w:cs="宋体"/>
          <w:b/>
          <w:kern w:val="0"/>
          <w:sz w:val="52"/>
          <w:szCs w:val="52"/>
        </w:rPr>
      </w:pPr>
    </w:p>
    <w:p w14:paraId="0A62C6DC">
      <w:pPr>
        <w:spacing w:line="540" w:lineRule="exact"/>
        <w:jc w:val="center"/>
        <w:rPr>
          <w:rFonts w:ascii="华文中宋" w:hAnsi="华文中宋" w:eastAsia="华文中宋" w:cs="宋体"/>
          <w:b/>
          <w:kern w:val="0"/>
          <w:sz w:val="52"/>
          <w:szCs w:val="52"/>
        </w:rPr>
      </w:pPr>
    </w:p>
    <w:p w14:paraId="2C6963D3">
      <w:pPr>
        <w:spacing w:line="540" w:lineRule="exact"/>
        <w:jc w:val="center"/>
        <w:rPr>
          <w:rFonts w:ascii="华文中宋" w:hAnsi="华文中宋" w:eastAsia="华文中宋" w:cs="宋体"/>
          <w:b/>
          <w:kern w:val="0"/>
          <w:sz w:val="52"/>
          <w:szCs w:val="52"/>
        </w:rPr>
      </w:pPr>
    </w:p>
    <w:p w14:paraId="2004948E">
      <w:pPr>
        <w:spacing w:line="540" w:lineRule="exact"/>
        <w:jc w:val="center"/>
        <w:rPr>
          <w:rFonts w:ascii="华文中宋" w:hAnsi="华文中宋" w:eastAsia="华文中宋" w:cs="宋体"/>
          <w:b/>
          <w:kern w:val="0"/>
          <w:sz w:val="52"/>
          <w:szCs w:val="52"/>
        </w:rPr>
      </w:pPr>
    </w:p>
    <w:p w14:paraId="7F89A12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80F2A4C">
      <w:pPr>
        <w:spacing w:line="540" w:lineRule="exact"/>
        <w:jc w:val="center"/>
        <w:rPr>
          <w:rFonts w:ascii="华文中宋" w:hAnsi="华文中宋" w:eastAsia="华文中宋" w:cs="宋体"/>
          <w:b/>
          <w:kern w:val="0"/>
          <w:sz w:val="52"/>
          <w:szCs w:val="52"/>
        </w:rPr>
      </w:pPr>
    </w:p>
    <w:p w14:paraId="21015213">
      <w:pPr>
        <w:spacing w:line="540" w:lineRule="exact"/>
        <w:jc w:val="center"/>
        <w:rPr>
          <w:rFonts w:hint="eastAsia" w:ascii="楷体_GB2312" w:hAnsi="楷体_GB2312" w:eastAsia="楷体_GB2312" w:cs="楷体_GB2312"/>
          <w:kern w:val="0"/>
          <w:sz w:val="36"/>
          <w:szCs w:val="36"/>
        </w:rPr>
      </w:pPr>
      <w:r>
        <w:rPr>
          <w:rFonts w:hint="eastAsia" w:ascii="楷体_GB2312" w:hAnsi="楷体_GB2312" w:eastAsia="楷体_GB2312" w:cs="楷体_GB2312"/>
          <w:kern w:val="0"/>
          <w:sz w:val="36"/>
          <w:szCs w:val="36"/>
        </w:rPr>
        <w:t>（</w:t>
      </w:r>
      <w:r>
        <w:rPr>
          <w:rStyle w:val="19"/>
          <w:rFonts w:hint="eastAsia" w:ascii="楷体_GB2312" w:hAnsi="楷体_GB2312" w:eastAsia="楷体_GB2312" w:cs="楷体_GB2312"/>
          <w:spacing w:val="-4"/>
          <w:sz w:val="32"/>
          <w:szCs w:val="32"/>
        </w:rPr>
        <w:t>2024</w:t>
      </w:r>
      <w:r>
        <w:rPr>
          <w:rFonts w:hint="eastAsia" w:ascii="楷体_GB2312" w:hAnsi="楷体_GB2312" w:eastAsia="楷体_GB2312" w:cs="楷体_GB2312"/>
          <w:kern w:val="0"/>
          <w:sz w:val="36"/>
          <w:szCs w:val="36"/>
        </w:rPr>
        <w:t>年度）</w:t>
      </w:r>
    </w:p>
    <w:p w14:paraId="13964B85">
      <w:pPr>
        <w:spacing w:line="540" w:lineRule="exact"/>
        <w:jc w:val="center"/>
        <w:rPr>
          <w:rFonts w:hAnsi="宋体" w:eastAsia="仿宋_GB2312" w:cs="宋体"/>
          <w:kern w:val="0"/>
          <w:sz w:val="30"/>
          <w:szCs w:val="30"/>
        </w:rPr>
      </w:pPr>
    </w:p>
    <w:p w14:paraId="6A15C143">
      <w:pPr>
        <w:spacing w:line="540" w:lineRule="exact"/>
        <w:jc w:val="center"/>
        <w:rPr>
          <w:rFonts w:hAnsi="宋体" w:eastAsia="仿宋_GB2312" w:cs="宋体"/>
          <w:kern w:val="0"/>
          <w:sz w:val="30"/>
          <w:szCs w:val="30"/>
        </w:rPr>
      </w:pPr>
    </w:p>
    <w:p w14:paraId="44F1BF3F">
      <w:pPr>
        <w:spacing w:line="540" w:lineRule="exact"/>
        <w:jc w:val="center"/>
        <w:rPr>
          <w:rFonts w:hAnsi="宋体" w:eastAsia="仿宋_GB2312" w:cs="宋体"/>
          <w:kern w:val="0"/>
          <w:sz w:val="30"/>
          <w:szCs w:val="30"/>
        </w:rPr>
      </w:pPr>
    </w:p>
    <w:p w14:paraId="5AE6076B">
      <w:pPr>
        <w:spacing w:line="540" w:lineRule="exact"/>
        <w:jc w:val="center"/>
        <w:rPr>
          <w:rFonts w:hAnsi="宋体" w:eastAsia="仿宋_GB2312" w:cs="宋体"/>
          <w:kern w:val="0"/>
          <w:sz w:val="30"/>
          <w:szCs w:val="30"/>
        </w:rPr>
      </w:pPr>
    </w:p>
    <w:p w14:paraId="46D58EE1">
      <w:pPr>
        <w:spacing w:line="540" w:lineRule="exact"/>
        <w:jc w:val="center"/>
        <w:rPr>
          <w:rFonts w:hAnsi="宋体" w:eastAsia="仿宋_GB2312" w:cs="宋体"/>
          <w:kern w:val="0"/>
          <w:sz w:val="30"/>
          <w:szCs w:val="30"/>
        </w:rPr>
      </w:pPr>
    </w:p>
    <w:p w14:paraId="44909257">
      <w:pPr>
        <w:spacing w:line="540" w:lineRule="exact"/>
        <w:jc w:val="center"/>
        <w:rPr>
          <w:rFonts w:hAnsi="宋体" w:eastAsia="仿宋_GB2312" w:cs="宋体"/>
          <w:kern w:val="0"/>
          <w:sz w:val="30"/>
          <w:szCs w:val="30"/>
        </w:rPr>
      </w:pPr>
    </w:p>
    <w:p w14:paraId="293A23FB">
      <w:pPr>
        <w:spacing w:line="540" w:lineRule="exact"/>
        <w:rPr>
          <w:rFonts w:hAnsi="宋体" w:eastAsia="仿宋_GB2312" w:cs="宋体"/>
          <w:kern w:val="0"/>
          <w:sz w:val="30"/>
          <w:szCs w:val="30"/>
        </w:rPr>
      </w:pPr>
    </w:p>
    <w:p w14:paraId="0282298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761B53C">
      <w:pPr>
        <w:spacing w:line="700" w:lineRule="exact"/>
        <w:ind w:firstLine="900" w:firstLineChars="250"/>
        <w:jc w:val="left"/>
        <w:rPr>
          <w:rFonts w:hint="eastAsia" w:ascii="仿宋_GB2312" w:hAnsi="仿宋_GB2312" w:eastAsia="仿宋_GB2312" w:cs="仿宋_GB2312"/>
          <w:kern w:val="0"/>
          <w:sz w:val="36"/>
          <w:szCs w:val="36"/>
        </w:rPr>
      </w:pPr>
      <w:r>
        <w:rPr>
          <w:rFonts w:hint="eastAsia" w:ascii="黑体" w:hAnsi="黑体" w:eastAsia="黑体" w:cs="黑体"/>
          <w:kern w:val="0"/>
          <w:sz w:val="36"/>
          <w:szCs w:val="36"/>
        </w:rPr>
        <w:t>项目名称：</w:t>
      </w:r>
      <w:r>
        <w:rPr>
          <w:rStyle w:val="19"/>
          <w:rFonts w:hint="eastAsia" w:ascii="仿宋_GB2312" w:hAnsi="仿宋_GB2312" w:eastAsia="仿宋_GB2312" w:cs="仿宋_GB2312"/>
          <w:b w:val="0"/>
          <w:bCs w:val="0"/>
          <w:spacing w:val="-4"/>
          <w:sz w:val="32"/>
          <w:szCs w:val="32"/>
        </w:rPr>
        <w:t>2024年科技计划专项资金</w:t>
      </w:r>
    </w:p>
    <w:p w14:paraId="246BBEF5">
      <w:pPr>
        <w:spacing w:line="540" w:lineRule="exact"/>
        <w:ind w:firstLine="567"/>
        <w:rPr>
          <w:rFonts w:hint="eastAsia" w:ascii="仿宋_GB2312" w:hAnsi="仿宋_GB2312" w:eastAsia="仿宋_GB2312" w:cs="仿宋_GB2312"/>
          <w:b w:val="0"/>
          <w:bCs w:val="0"/>
          <w:spacing w:val="-4"/>
          <w:sz w:val="32"/>
          <w:szCs w:val="32"/>
        </w:rPr>
      </w:pPr>
      <w:r>
        <w:rPr>
          <w:rFonts w:hint="eastAsia" w:hAnsi="宋体" w:eastAsia="仿宋_GB2312" w:cs="宋体"/>
          <w:kern w:val="0"/>
          <w:sz w:val="36"/>
          <w:szCs w:val="36"/>
        </w:rPr>
        <w:t xml:space="preserve">  </w:t>
      </w:r>
      <w:r>
        <w:rPr>
          <w:rFonts w:hint="eastAsia" w:ascii="黑体" w:hAnsi="黑体" w:eastAsia="黑体" w:cs="黑体"/>
          <w:kern w:val="0"/>
          <w:sz w:val="36"/>
          <w:szCs w:val="36"/>
        </w:rPr>
        <w:t>实施单位（公章）：</w:t>
      </w:r>
      <w:r>
        <w:rPr>
          <w:rStyle w:val="19"/>
          <w:rFonts w:hint="eastAsia" w:ascii="仿宋_GB2312" w:hAnsi="仿宋_GB2312" w:eastAsia="仿宋_GB2312" w:cs="仿宋_GB2312"/>
          <w:b w:val="0"/>
          <w:bCs w:val="0"/>
          <w:spacing w:val="-4"/>
          <w:sz w:val="32"/>
          <w:szCs w:val="32"/>
        </w:rPr>
        <w:t>和田地区科学技术局</w:t>
      </w:r>
    </w:p>
    <w:p w14:paraId="599F0105">
      <w:pPr>
        <w:spacing w:line="540" w:lineRule="exact"/>
        <w:ind w:firstLine="900" w:firstLineChars="250"/>
        <w:rPr>
          <w:rFonts w:hint="eastAsia" w:ascii="仿宋_GB2312" w:hAnsi="仿宋_GB2312" w:eastAsia="仿宋_GB2312" w:cs="仿宋_GB2312"/>
          <w:b w:val="0"/>
          <w:bCs w:val="0"/>
          <w:spacing w:val="-4"/>
          <w:sz w:val="32"/>
          <w:szCs w:val="32"/>
        </w:rPr>
      </w:pPr>
      <w:r>
        <w:rPr>
          <w:rFonts w:hint="eastAsia" w:ascii="黑体" w:hAnsi="黑体" w:eastAsia="黑体" w:cs="黑体"/>
          <w:kern w:val="0"/>
          <w:sz w:val="36"/>
          <w:szCs w:val="36"/>
        </w:rPr>
        <w:t>主管部门（公章）：</w:t>
      </w:r>
      <w:r>
        <w:rPr>
          <w:rStyle w:val="19"/>
          <w:rFonts w:hint="eastAsia" w:ascii="仿宋_GB2312" w:hAnsi="仿宋_GB2312" w:eastAsia="仿宋_GB2312" w:cs="仿宋_GB2312"/>
          <w:b w:val="0"/>
          <w:bCs w:val="0"/>
          <w:spacing w:val="-4"/>
          <w:sz w:val="32"/>
          <w:szCs w:val="32"/>
        </w:rPr>
        <w:t>和田地区科学技术局</w:t>
      </w:r>
    </w:p>
    <w:p w14:paraId="22619796">
      <w:pPr>
        <w:spacing w:line="540" w:lineRule="exact"/>
        <w:ind w:firstLine="900" w:firstLineChars="250"/>
        <w:rPr>
          <w:rFonts w:hint="eastAsia" w:ascii="仿宋_GB2312" w:hAnsi="仿宋_GB2312" w:eastAsia="仿宋_GB2312" w:cs="仿宋_GB2312"/>
          <w:b w:val="0"/>
          <w:bCs w:val="0"/>
          <w:spacing w:val="-4"/>
          <w:sz w:val="32"/>
          <w:szCs w:val="32"/>
        </w:rPr>
      </w:pPr>
      <w:r>
        <w:rPr>
          <w:rFonts w:hint="eastAsia" w:ascii="黑体" w:hAnsi="黑体" w:eastAsia="黑体" w:cs="黑体"/>
          <w:kern w:val="0"/>
          <w:sz w:val="36"/>
          <w:szCs w:val="36"/>
        </w:rPr>
        <w:t>项目负责人（签章）：</w:t>
      </w:r>
      <w:r>
        <w:rPr>
          <w:rStyle w:val="19"/>
          <w:rFonts w:hint="eastAsia" w:ascii="仿宋_GB2312" w:hAnsi="仿宋_GB2312" w:eastAsia="仿宋_GB2312" w:cs="仿宋_GB2312"/>
          <w:b w:val="0"/>
          <w:bCs w:val="0"/>
          <w:spacing w:val="-4"/>
          <w:sz w:val="32"/>
          <w:szCs w:val="32"/>
        </w:rPr>
        <w:t>阿依奴尔</w:t>
      </w:r>
    </w:p>
    <w:p w14:paraId="3994E7D7">
      <w:pPr>
        <w:spacing w:line="540" w:lineRule="exact"/>
        <w:ind w:left="840" w:leftChars="400" w:firstLine="0" w:firstLineChars="0"/>
        <w:rPr>
          <w:rStyle w:val="19"/>
          <w:rFonts w:hint="eastAsia" w:ascii="仿宋_GB2312" w:hAnsi="仿宋_GB2312" w:eastAsia="仿宋_GB2312" w:cs="仿宋_GB2312"/>
          <w:b w:val="0"/>
          <w:bCs w:val="0"/>
          <w:spacing w:val="-4"/>
          <w:sz w:val="32"/>
          <w:szCs w:val="32"/>
        </w:rPr>
      </w:pPr>
      <w:r>
        <w:rPr>
          <w:rFonts w:hint="eastAsia" w:ascii="黑体" w:hAnsi="黑体" w:eastAsia="黑体" w:cs="黑体"/>
          <w:kern w:val="0"/>
          <w:sz w:val="36"/>
          <w:szCs w:val="36"/>
        </w:rPr>
        <w:t>填报时间：</w:t>
      </w:r>
      <w:r>
        <w:rPr>
          <w:rStyle w:val="19"/>
          <w:rFonts w:hint="eastAsia" w:ascii="仿宋_GB2312" w:hAnsi="仿宋_GB2312" w:eastAsia="仿宋_GB2312" w:cs="仿宋_GB2312"/>
          <w:b w:val="0"/>
          <w:bCs w:val="0"/>
          <w:spacing w:val="-4"/>
          <w:sz w:val="32"/>
          <w:szCs w:val="32"/>
        </w:rPr>
        <w:t>2025年03月17日</w:t>
      </w:r>
    </w:p>
    <w:p w14:paraId="27476359">
      <w:pPr>
        <w:spacing w:line="700" w:lineRule="exact"/>
        <w:ind w:firstLine="708" w:firstLineChars="236"/>
        <w:jc w:val="left"/>
        <w:rPr>
          <w:rFonts w:hAnsi="宋体" w:eastAsia="仿宋_GB2312" w:cs="宋体"/>
          <w:kern w:val="0"/>
          <w:sz w:val="30"/>
          <w:szCs w:val="30"/>
        </w:rPr>
      </w:pPr>
    </w:p>
    <w:p w14:paraId="5FB4718C">
      <w:pPr>
        <w:spacing w:line="540" w:lineRule="exact"/>
        <w:rPr>
          <w:rStyle w:val="19"/>
          <w:rFonts w:hint="eastAsia" w:ascii="仿宋_GB2312" w:hAnsi="仿宋_GB2312" w:eastAsia="仿宋_GB2312" w:cs="仿宋_GB2312"/>
          <w:b w:val="0"/>
          <w:spacing w:val="-4"/>
          <w:sz w:val="32"/>
          <w:szCs w:val="32"/>
        </w:rPr>
      </w:pPr>
    </w:p>
    <w:p w14:paraId="4F418DE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65B9CCF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（一）项目概况</w:t>
      </w:r>
    </w:p>
    <w:p w14:paraId="35D1BC6D">
      <w:pPr>
        <w:keepNext w:val="0"/>
        <w:keepLines w:val="0"/>
        <w:pageBreakBefore w:val="0"/>
        <w:widowControl w:val="0"/>
        <w:kinsoku/>
        <w:wordWrap/>
        <w:overflowPunct/>
        <w:topLinePunct w:val="0"/>
        <w:autoSpaceDE/>
        <w:autoSpaceDN/>
        <w:bidi w:val="0"/>
        <w:adjustRightInd/>
        <w:snapToGrid/>
        <w:spacing w:line="560" w:lineRule="exact"/>
        <w:ind w:left="638" w:leftChars="304" w:firstLine="219" w:firstLineChars="7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1.项目背景</w:t>
      </w:r>
    </w:p>
    <w:p w14:paraId="14F678A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为深入学习贯彻落实党的二十大和二十届一中全会精神，贯彻落实《自治区党委、自治区人民政府〈关于强化科技创新支撑引领作用推动新疆经济社会高质量发展的意见〉》（新党发〔2022〕9号）文件精神</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加大财政科技投入。建立全</w:t>
      </w:r>
      <w:r>
        <w:rPr>
          <w:rStyle w:val="19"/>
          <w:rFonts w:hint="eastAsia" w:ascii="仿宋_GB2312" w:hAnsi="仿宋_GB2312" w:eastAsia="仿宋_GB2312" w:cs="仿宋_GB2312"/>
          <w:b w:val="0"/>
          <w:bCs w:val="0"/>
          <w:spacing w:val="-4"/>
          <w:sz w:val="32"/>
          <w:szCs w:val="32"/>
          <w:lang w:eastAsia="zh-CN"/>
        </w:rPr>
        <w:t>地</w:t>
      </w:r>
      <w:r>
        <w:rPr>
          <w:rStyle w:val="19"/>
          <w:rFonts w:hint="eastAsia" w:ascii="仿宋_GB2312" w:hAnsi="仿宋_GB2312" w:eastAsia="仿宋_GB2312" w:cs="仿宋_GB2312"/>
          <w:b w:val="0"/>
          <w:bCs w:val="0"/>
          <w:spacing w:val="-4"/>
          <w:sz w:val="32"/>
          <w:szCs w:val="32"/>
        </w:rPr>
        <w:t>区各级财政科技支出稳定增长机制，提高财政科技支出用于研发活动的比例，到2025年争取达到20%，重点投向关键核心技术攻关、基础研究、创新平台建设等方面。设立创新驱动发展引导资金，建设地县财政科技联动投入机制，根据地县财政科技投入和创新绩效情况进行奖补”等要求，以加快实现高水平科技自立自强为目标，深入实施科教兴国战略、人才强国战略、创新驱动发展战略，努力提升全地区科技创新能力和科技成果转化能力。</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2.主要内容</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2024年拟定立项本级科技计划项目39项，拟投入总经费928万元，其中：申请财政科技经费496万元；2024年拟拨付资金300万元（5项一年期项目48万元，30项二年期项目56%资金252万元），2025年拨付34项二年期项目剩余44%资金196万元。项目分布：县市乡村振兴产业发展科技行动示范项目13项，分别是和田市3项，皮山县1项，和田县3项，墨玉县1项，洛浦县2项，策勒县1项，于田县1项，民丰县1项；地直行业部门项目29项，分别是地区畜牧技术推广站1项，林业技术推广中心1项，农业技术推广中心2项，动物疫病控制中心1项，地区人民医院3项，地区维吾尔</w:t>
      </w:r>
      <w:r>
        <w:rPr>
          <w:rStyle w:val="19"/>
          <w:rFonts w:hint="eastAsia" w:ascii="仿宋_GB2312" w:hAnsi="仿宋_GB2312" w:eastAsia="仿宋_GB2312" w:cs="仿宋_GB2312"/>
          <w:b w:val="0"/>
          <w:bCs w:val="0"/>
          <w:spacing w:val="-4"/>
          <w:sz w:val="32"/>
          <w:szCs w:val="32"/>
          <w:lang w:eastAsia="zh-CN"/>
        </w:rPr>
        <w:t>医</w:t>
      </w:r>
      <w:r>
        <w:rPr>
          <w:rStyle w:val="19"/>
          <w:rFonts w:hint="eastAsia" w:ascii="仿宋_GB2312" w:hAnsi="仿宋_GB2312" w:eastAsia="仿宋_GB2312" w:cs="仿宋_GB2312"/>
          <w:b w:val="0"/>
          <w:bCs w:val="0"/>
          <w:spacing w:val="-4"/>
          <w:sz w:val="32"/>
          <w:szCs w:val="32"/>
        </w:rPr>
        <w:t>医院2项，地区传染病医院1项，地区妇幼保健院2项，和田蚕桑科学研究所2项，新疆维吾尔医学专科学校5项（其中：新疆和田特色中医药研究重点实验室2项），和田师范专科学校2项，和田职业技术学院2项，地区药物研究所1项，科技企业孵化器（和田拓成中小企业服务有限公司）1项。</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3.实施情况</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实施主体：各企业各事业单位。</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实施时间：2024年度39项本级科技计划项目实施期限1～3年。</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实施情况：拟定39个项目纳入和田地区2024年地区本级科技计划，总投入928万元，拟申请财政科技经费496万元，其中：2024年拨付300万元；计划2025年拨付2024年30项二年期项目剩余资金196万元。</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4.资金投入和使用情况</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（1）项目资金安排落实、总投入等情况分析</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本项目预算安排总额为300万元，资金来源为本级部门预算，其中：财政资金300万元，其他资金0万元，2024年实际收到预算资金300万元，预算资金到位率为100%。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本项目实际支付资金300万元，预算执行率100%。本项目资金主要用于支付项目技术研究与开发项目立项300万元。</w:t>
      </w:r>
    </w:p>
    <w:p w14:paraId="78B8266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（二）项目绩效目标</w:t>
      </w:r>
    </w:p>
    <w:p w14:paraId="15151A5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1.总体目标</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为推动全地区的农牧业科技进步，该项目计划开展技术研究与开发项目至少10项，包括对农作物民族技术培训至少500人次，帮助至少150人农牧民解决增收中的难点问题；拉动本地区特色优势产业快速发展，研究项目优先支持对特色林果业、畜禽养殖业、设施农业发展具有示范带动作用的科技项目以及对</w:t>
      </w:r>
      <w:r>
        <w:rPr>
          <w:rStyle w:val="19"/>
          <w:rFonts w:hint="eastAsia" w:ascii="仿宋_GB2312" w:hAnsi="仿宋_GB2312" w:eastAsia="仿宋_GB2312" w:cs="仿宋_GB2312"/>
          <w:b w:val="0"/>
          <w:bCs w:val="0"/>
          <w:spacing w:val="-4"/>
          <w:sz w:val="32"/>
          <w:szCs w:val="32"/>
          <w:lang w:eastAsia="zh-CN"/>
        </w:rPr>
        <w:t>全</w:t>
      </w:r>
      <w:r>
        <w:rPr>
          <w:rStyle w:val="19"/>
          <w:rFonts w:hint="eastAsia" w:ascii="仿宋_GB2312" w:hAnsi="仿宋_GB2312" w:eastAsia="仿宋_GB2312" w:cs="仿宋_GB2312"/>
          <w:b w:val="0"/>
          <w:bCs w:val="0"/>
          <w:spacing w:val="-4"/>
          <w:sz w:val="32"/>
          <w:szCs w:val="32"/>
        </w:rPr>
        <w:t>地区经济社会和科技发展重大决策可提供选择依据或方案的科技战略研究项目，从而推动地区农牧业科学技术的应用及科技创新能力的提升。</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2.阶段性目标</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项目前期准备工作：为进一步深入预算绩效管理理念，提高财政资金使用效益，确保本年度预算项目顺利完成、资金合规使用，发挥财政资金预期效益。已成立和田地区科技计划项目管理委员会。</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项目实施：拟定39个项目纳入和田地区2024年地区本级科技计划，总投入928万元，拟申请财政科技经费496万元，其中：2024年拨付300万元；2025年拨付2024年30项二年期项目剩余资金196万元。地区科技局属于项目监管单位，不是项目实施单位，根据与项目实施单位签订的合同内容，按节点对项目进行督促检查，自资金拨付半年后督促项目实施单位上报开展进度，目前项目还在实施当中。</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项目完成：2024年12月31日，已完成拨付300万元。</w:t>
      </w:r>
    </w:p>
    <w:p w14:paraId="25FDFBE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74579155">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（一）绩效评价目的、对象和范围</w:t>
      </w:r>
    </w:p>
    <w:p w14:paraId="240452A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1.绩效评价的目的</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项目支出绩效评价管理办法》（财预〔2020〕10号）、《自治区财政支出绩效评价管理暂行办法》（新财预〔2018〕189号）文件精神，我单位针对科技计划专项资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1E32939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5831339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07897C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55205B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2.绩效评价对象</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此次我单位根据《财政支出绩效评价管理暂行办法》（财预〔2020〕10号）文件要求实施评价工作，本次评价对象为科技计划专项资金项目，评价核心为项目的资金投入、产出及效益。</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3.绩效评价范围</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4BE208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（二）绩效评价原则、评价指标体系、评价方法、评价标准</w:t>
      </w:r>
    </w:p>
    <w:p w14:paraId="76A2E35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1.绩效评价原则</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w:t>
      </w:r>
      <w:bookmarkStart w:id="0" w:name="_GoBack"/>
      <w:bookmarkEnd w:id="0"/>
      <w:r>
        <w:rPr>
          <w:rStyle w:val="19"/>
          <w:rFonts w:hint="eastAsia" w:ascii="仿宋_GB2312" w:hAnsi="仿宋_GB2312" w:eastAsia="仿宋_GB2312" w:cs="仿宋_GB2312"/>
          <w:b w:val="0"/>
          <w:bCs w:val="0"/>
          <w:spacing w:val="-4"/>
          <w:sz w:val="32"/>
          <w:szCs w:val="32"/>
        </w:rPr>
        <w:t>《项目支出绩效评价管理办法》（财预〔2020〕10号）《自治区党委、自治区人民政府关于全面实施预算绩效管理的实施意见》（新党发〔2018〕30号）《自治区财政支出绩效评价管理暂行办法》（新财预〔2018〕189号）等要求，绩效评价应遵循如下原则：</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根据以上原则，绩效评价应遵循如下要求:</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（2）保证评价结果的真实性、公正性，提高评价报告的公信力。</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2.绩效评价指标体系</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3.评价方法</w:t>
      </w:r>
    </w:p>
    <w:p w14:paraId="3F9D310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p>
    <w:p w14:paraId="43F1601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bCs/>
          <w:spacing w:val="-4"/>
          <w:sz w:val="32"/>
          <w:szCs w:val="32"/>
        </w:rPr>
        <w:t>4.评价标准</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66E116E">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（三）绩效评价工作过程</w:t>
      </w:r>
    </w:p>
    <w:p w14:paraId="02EA8E1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1.前期准备</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陈超（评价小组组长）：主要负责审核并解决项目实施过程所有相关问题，复核绩效评价报告质量;</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阿依奴尔·买吐送（评价小组组员）：主要负责收集项目绩效相关所有资料，负责报告中数据的核实;</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王学明（评价小组组员）：主要负责编制绩效评价报告，编制绩效评价附件表格。</w:t>
      </w:r>
    </w:p>
    <w:p w14:paraId="2229195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2.组织实施</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2025年1月11日—2月15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3.分析评价</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2025年2月16日—3月1日，评价小组按照绩效评价的原则和规范，对取得的资料进行审查核实，对采集的数据进行分析，按照绩效评价指标评分表逐项进行打分、分析、汇总各方评价结果。</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4.撰写与提交评价报告</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2025年3月2日—4月15日评价小组撰写绩效评价报告，按照新疆维吾尔自治区财政绩效管理信息系统绩效评价模块中统一格式和文本框架撰写绩效评价报告并提交审核。</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5.问题整改</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6.档案整理</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35B52D9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7C69274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楷体_GB2312" w:hAnsi="楷体_GB2312" w:eastAsia="楷体_GB2312" w:cs="楷体_GB2312"/>
          <w:b/>
          <w:bCs/>
          <w:spacing w:val="-4"/>
          <w:sz w:val="32"/>
          <w:szCs w:val="32"/>
        </w:rPr>
        <w:t>（一）综合评价情况</w:t>
      </w:r>
      <w:r>
        <w:cr/>
      </w:r>
      <w:r>
        <w:rPr>
          <w:rStyle w:val="19"/>
          <w:rFonts w:hint="eastAsia" w:ascii="楷体_GB2312" w:hAnsi="楷体_GB2312" w:eastAsia="楷体_GB2312" w:cs="楷体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经评价，本项目达成2024年初设立的绩效目标，在实施过程中取得了良好的成效，具体表现在以下三方面：</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一是：评价组通过实地调研、综合分析法、问卷调查法等方式，主要采用综合分析法对项目的决策、实施、产出、效益进行综合评价分析。</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二是：运用项目组制定评价指标体系及财政部《项目支出绩效评价管理办法》（财预〔2020〕10号）文件评分标准进行评价，本次绩效评价结果主要采取评分和评级相结合的方式，具体分值和等级可根据不同评价的内容设定。</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三是：项目执行过程中，队伍成员的能力和协作水平得到明显提升，培养了一批业务骨干。同时，通过总结，优化了管理制度和流程，建立了更加科学、高效的运行机制，为未来项目的高质量实施提供了有力保障。</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楷体_GB2312" w:hAnsi="楷体_GB2312" w:eastAsia="楷体_GB2312" w:cs="楷体_GB2312"/>
          <w:b/>
          <w:bCs/>
          <w:spacing w:val="-4"/>
          <w:sz w:val="32"/>
          <w:szCs w:val="32"/>
        </w:rPr>
        <w:t>（二）评价结论</w:t>
      </w:r>
      <w:r>
        <w:cr/>
      </w:r>
      <w:r>
        <w:rPr>
          <w:rStyle w:val="19"/>
          <w:rFonts w:hint="eastAsia" w:ascii="楷体_GB2312" w:hAnsi="楷体_GB2312" w:eastAsia="楷体_GB2312" w:cs="楷体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21个，实现三级指标数量21个，总体完成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项目产出类指标共设置8个，满分指标8个，权重分20分，得分20分，得分率100%；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详细情况见“附件2：项目综合得分表”。</w:t>
      </w:r>
    </w:p>
    <w:p w14:paraId="1DD6DD6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仿宋_GB2312" w:hAnsi="仿宋_GB2312" w:eastAsia="仿宋_GB2312" w:cs="仿宋_GB2312"/>
          <w:sz w:val="32"/>
          <w:szCs w:val="32"/>
        </w:rPr>
      </w:pPr>
      <w:r>
        <w:rPr>
          <w:rStyle w:val="19"/>
          <w:rFonts w:hint="eastAsia" w:ascii="黑体" w:hAnsi="黑体" w:eastAsia="黑体" w:cs="黑体"/>
          <w:b w:val="0"/>
          <w:spacing w:val="-4"/>
          <w:sz w:val="32"/>
          <w:szCs w:val="32"/>
        </w:rPr>
        <w:t>四、绩效评价指标分析</w:t>
      </w:r>
      <w:r>
        <w:rPr>
          <w:rStyle w:val="19"/>
          <w:rFonts w:hint="eastAsia" w:ascii="黑体" w:hAnsi="黑体" w:eastAsia="黑体" w:cs="黑体"/>
          <w:sz w:val="32"/>
          <w:szCs w:val="32"/>
        </w:rPr>
        <w:t xml:space="preserve"> </w:t>
      </w:r>
    </w:p>
    <w:p w14:paraId="0136FD2D">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w:t>
      </w:r>
      <w:r>
        <w:rPr>
          <w:rStyle w:val="19"/>
          <w:rFonts w:hint="eastAsia" w:ascii="楷体_GB2312" w:hAnsi="楷体_GB2312" w:eastAsia="楷体_GB2312" w:cs="楷体_GB2312"/>
          <w:spacing w:val="-4"/>
          <w:sz w:val="32"/>
          <w:szCs w:val="32"/>
        </w:rPr>
        <w:t>项目决策情况</w:t>
      </w:r>
    </w:p>
    <w:p w14:paraId="2EAA23F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1.项目立项情况分析</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（1）立项依据充分性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立项符合行署第八次常务会议研究通过并呈报地委研究的《中共和田地委和田地区行署〈关于强化科技创新支撑引领作用推动和田经济社会高质量发展的实施意见〉（送审稿）》，《和田地区科技创新“十四五”规划》《和田地区科技计划项目管理办法》《和田地区科技计划项目管理办法实施细则（暂行）》中的：“围绕服务地区主导产业和特色产业，突出政产学研用“五位一体”，着力解决制约地区经济社会发展中面临的种源、防疫、饲草、园区建设等瓶颈和“卡脖子”问题，着力强化企业创新主体地位，激励企业研发投入，提升创新能力，落实基础研究十年规划，加强基础领域科学技术研究，着力打好关键核心技术攻坚战，支持具有一定科研基础的企业和科研人员，在自然科学范畴内自主选题、自由探索，开展创新性科学研究，为区域创新体系建设和经济社会发展提供科技服务，稳定和凝聚优秀人才，强化科技人才培养，引导科技、信息、人才、资金、管理等要素向基层、农业一线集聚，提高科技创新对地区经济社会发展的支撑和引领作用”内容，符合行业发展规划和政策要求；本项目立项符合《地区科技局配置内设机构和人员编制规定》中职责范围中的“科技创新工作”，属于我单位履职所需；根据《财政资金直接支付申请书》，本项目资金性质为“公共财政预算”功能分类为“2060199其他科学技术管理事务支出”经济分类为“50201办公费”属于公共财政支持范围，符合中央、地方事权支出责任划分原则；经检查我单位财政应用平台指标，本项目不存在重复。</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（2）立项程序规范性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贯彻落实《自治区党委自治区人民政府〈关于强化科技创新支撑引领作用推动新疆经济社会高质量发展的意见〉》（新党发〔2022〕9号）文件精神“加大财政科技投入。建立全区各级财政科技支出稳定增长机制，提高财政科技支出用于研发活动的比例，到2025年争取达到20%，重点投向关键核心技术攻关、基础研究、创新平台建设等方面”。项目立项过程中产生的文件均符合相关要求。本项目为产业发展类项目，属于经常性项目，项目预算金额为300万元，不涉及事前绩效评估和风险评估，已委托项目第三方单位完成本项目可行性研究报告的编制，并经过专家论证。</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综上所述，本指标满分为3分，根据评分标准得3分，本项目立项程序合规。</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2.绩效目标情况分析</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（1）绩效目标合理性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已设置年度绩效目标，具体内容为“为推动全地区的农牧业科技进步，该项目计划开展技术研究与开发项目至少39项，包括对农作物民技术培训至少500人次，帮助至少150人农牧民解决增收中的难点问题；拉动本地区特色优势产业快速发展，研究项目优先支持对特色林果业、畜禽养殖业、设施农业发展具有示范带动作用的科技项目、以及对我地区经济社会和科技发展重大决策可提供选择依据或方案的科技战略研究项目，从而推动地区农牧业科学技术的应用及科技创新能力的提升”；本项目实际工作为：截至2024年12月31日，该项目计划开展技术研究与开发项39项，包括对农作物民族技术培训至少500人次，帮助至少150人农作物民解决增收中的难点问题；拉动本地区特色优势产业快速发展，研究项目优先支持对特色林果业、畜禽养殖业、设施农业发展具有示范带动作用的科技项目、以及对我地区经济社会和科技发展重大决策可提供选择依据或方案的科技战略研究项目，从而推动地区农牧业科学技术的应用及科技创新能力的提升。绩效目标与实际工作内容一致，两者具有相关性;本项目按照绩效目标完成数量指标、质量指标、时效指标、成本指标，有效保障了提高农牧民科学技术应用水平，年度绩效目标完成，预期产出效益和效果符合正常的业绩水平。</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（2）绩效指标明确性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10个，定量指标9个，定性指标1个，指标量化率为90%，量化率达70%以上。</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3.资金投入情况分析</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（1）预算编制科学性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本项目根据《关于下达2024年度地区本级技术研究与开发经费项目计划的通知》（和地科研〔2024〕1号）文件确定预算为300万元，即预算编制较科学且经过论证；</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预算申请内容为科技计划专项资金，项目实际内容为2024年科技计划专项资金，预算申请与《2024年科技计划专项资金项目实施方案》中涉及的项目内容匹配；</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本项目预算申请资金300万元，我单位在预算申请中严格按照单位标准和数量进行核算，本项目预算额度测算依据充分，严格按照标准编制，预算确定资金量与实际工作任务相匹配；</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综上所述，本指标满分为4分，根据评分标准得4分，本项目预算编制科学。</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（2）资金分配合理性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实际分配资金以《关于申请2024年科技计划专项资金项目资金的请示》和《2024年科技计划专项资金项目实施方案》为依据进行资金分配，预算资金分配依据充分。根据《2024年科技计划专项资金资金下达文件》文件显示，本项目实际到位资金300万元，实际分配资金与我单位提交申请的资金额度一致，资金分配额度合理，与我单位实际需求相适应。</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1B50FB5B">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w:t>
      </w:r>
      <w:r>
        <w:rPr>
          <w:rFonts w:hint="eastAsia" w:ascii="楷体_GB2312" w:hAnsi="楷体_GB2312" w:eastAsia="楷体_GB2312" w:cs="楷体_GB2312"/>
          <w:b/>
          <w:spacing w:val="-4"/>
          <w:sz w:val="32"/>
          <w:szCs w:val="32"/>
          <w:lang w:val="en-US" w:eastAsia="zh-CN"/>
        </w:rPr>
        <w:t>二</w:t>
      </w:r>
      <w:r>
        <w:rPr>
          <w:rFonts w:hint="eastAsia" w:ascii="楷体_GB2312" w:hAnsi="楷体_GB2312" w:eastAsia="楷体_GB2312" w:cs="楷体_GB2312"/>
          <w:b/>
          <w:spacing w:val="-4"/>
          <w:sz w:val="32"/>
          <w:szCs w:val="32"/>
        </w:rPr>
        <w:t>）</w:t>
      </w:r>
      <w:r>
        <w:rPr>
          <w:rStyle w:val="19"/>
          <w:rFonts w:hint="eastAsia" w:ascii="楷体_GB2312" w:hAnsi="楷体_GB2312" w:eastAsia="楷体_GB2312" w:cs="楷体_GB2312"/>
          <w:spacing w:val="-4"/>
          <w:sz w:val="32"/>
          <w:szCs w:val="32"/>
        </w:rPr>
        <w:t>项目过程情况</w:t>
      </w:r>
    </w:p>
    <w:p w14:paraId="34E8DE4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1.资金管理情况分析</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（1）资金到位率</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本项目预算资金为300万元，其中：本级财政安排资金300万元，其他资金0万元，实际到位资金300万元，资金到位率=（实际到位资金/预算资金）×100%=（300/300）*100%=100%。得分=资金到位率*分值=100%*4=4分。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（2）预算执行率</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本项目实际支出资金300万元，预算执行率=（实际支出资金/实际到位资金）×100%=（300/300）*100%=100%。得分=预算执行率*分值=100%*5=5分。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（3）资金使用合规性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地区科技局科技化项目资金管理办法》《地区科技局科技计划专项资金管理办法》，资金的拨付有完整的审批程序和手续，资金实际使用方向与预算批复用途一致，不存在截留、挤占、挪用、虚列支出的情况。</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2.组织实施情况分析</w:t>
      </w:r>
    </w:p>
    <w:p w14:paraId="7B2EC66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（1）管理制度健全性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我单位已制定《地区科技局科技项目资金管理办法》《地区科技局收支业务管理制度》《地区科技局政府采购业务管理制度》《地区科技局合同管理制度》，上述已建立的制度均符合行政事业单位内控管理要求，财务和业务管理制度合法、合规、完整，本项目执行符合上述制度规定。</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（2）制度执行有效性</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地区科技局项目工作领导小组，由党组副书记、局长高艳任组长，负责项目的组织工作；三级调研员木塔力甫·买买提明任副组长，负责项目的实施工作；组员包括：江铁军、王峰、艾力·依明，主要负责项目监督管理、验收以及资金核拨等工作。</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1C54C60C">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w:t>
      </w:r>
      <w:r>
        <w:rPr>
          <w:rFonts w:hint="eastAsia" w:ascii="楷体_GB2312" w:hAnsi="楷体_GB2312" w:eastAsia="楷体_GB2312" w:cs="楷体_GB2312"/>
          <w:b/>
          <w:spacing w:val="-4"/>
          <w:sz w:val="32"/>
          <w:szCs w:val="32"/>
          <w:lang w:val="en-US" w:eastAsia="zh-CN"/>
        </w:rPr>
        <w:t>三</w:t>
      </w:r>
      <w:r>
        <w:rPr>
          <w:rFonts w:hint="eastAsia" w:ascii="楷体_GB2312" w:hAnsi="楷体_GB2312" w:eastAsia="楷体_GB2312" w:cs="楷体_GB2312"/>
          <w:b/>
          <w:spacing w:val="-4"/>
          <w:sz w:val="32"/>
          <w:szCs w:val="32"/>
        </w:rPr>
        <w:t>）</w:t>
      </w:r>
      <w:r>
        <w:rPr>
          <w:rStyle w:val="19"/>
          <w:rFonts w:hint="eastAsia" w:ascii="楷体_GB2312" w:hAnsi="楷体_GB2312" w:eastAsia="楷体_GB2312" w:cs="楷体_GB2312"/>
          <w:spacing w:val="-4"/>
          <w:sz w:val="32"/>
          <w:szCs w:val="32"/>
        </w:rPr>
        <w:t>项目产出情况</w:t>
      </w:r>
    </w:p>
    <w:p w14:paraId="27B6C45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项目产出类指标由4个二级指标和8个三级指标构成，权重分20分，实际得分20分。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1.数量指标完成情况分析</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“覆盖县市数据”指标：预期指标值为≥7个，实际完成指标值为7个，指标完成率为100%。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“特派员技术培训”指标：预期指标值为≥500人，实际完成指标值为500人，指标完成率为100%。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“技术研究与开发项目立项数”指标：预期指标值为≥39项，实际完成指标值为39项，指标完成率为100%。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2.质量指标完成情况分析</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“培训合格率”指标：预期指标值为=100%，实际完成指标值为100%，指标完成率为100%。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“难点问题解决率”指标：预期指标值为≥90%，实际完成指标值为90%，指标完成率为100%。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3.时效指标完成情况分析</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“资金支付及时率”指标：预期指标值为=100%，实际完成指标值为100%，指标完成率为100%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“项目完成时间”指标：预期指标值为=100%，实际完成指标值为100%，指标完成率为100%。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4.成本指标完成情况分析</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“技术研究与开发项目立项（万元）”指标：预期指标值为≤300万元，实际完成指标值为300元，指标完成率为100%。</w:t>
      </w:r>
    </w:p>
    <w:p w14:paraId="73F3B825">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w:t>
      </w:r>
      <w:r>
        <w:rPr>
          <w:rFonts w:hint="eastAsia" w:ascii="楷体_GB2312" w:hAnsi="楷体_GB2312" w:eastAsia="楷体_GB2312" w:cs="楷体_GB2312"/>
          <w:b/>
          <w:spacing w:val="-4"/>
          <w:sz w:val="32"/>
          <w:szCs w:val="32"/>
          <w:lang w:val="en-US" w:eastAsia="zh-CN"/>
        </w:rPr>
        <w:t>四</w:t>
      </w:r>
      <w:r>
        <w:rPr>
          <w:rFonts w:hint="eastAsia" w:ascii="楷体_GB2312" w:hAnsi="楷体_GB2312" w:eastAsia="楷体_GB2312" w:cs="楷体_GB2312"/>
          <w:b/>
          <w:spacing w:val="-4"/>
          <w:sz w:val="32"/>
          <w:szCs w:val="32"/>
        </w:rPr>
        <w:t>）</w:t>
      </w:r>
      <w:r>
        <w:rPr>
          <w:rStyle w:val="19"/>
          <w:rFonts w:hint="eastAsia" w:ascii="楷体_GB2312" w:hAnsi="楷体_GB2312" w:eastAsia="楷体_GB2312" w:cs="楷体_GB2312"/>
          <w:spacing w:val="-4"/>
          <w:sz w:val="32"/>
          <w:szCs w:val="32"/>
        </w:rPr>
        <w:t>项目效益情况</w:t>
      </w:r>
    </w:p>
    <w:p w14:paraId="3867C4B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1.经济效益完成情况分析</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无。</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bCs/>
          <w:spacing w:val="-4"/>
          <w:sz w:val="32"/>
          <w:szCs w:val="32"/>
        </w:rPr>
        <w:t>2.社会效益完成情况分析</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“提高农牧民科学技术应用水平”指标：预期指标值为有效提高，实际完成指标值为基本达成目标，指标完成率为100%。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3.生态效益完成情况分析</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无。</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4.可持续影响完成情况分析</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无。</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bCs/>
          <w:spacing w:val="-4"/>
          <w:sz w:val="32"/>
          <w:szCs w:val="32"/>
        </w:rPr>
        <w:t>5.满意度指标完成情况分析</w:t>
      </w:r>
      <w:r>
        <w:cr/>
      </w:r>
      <w:r>
        <w:rPr>
          <w:rStyle w:val="19"/>
          <w:rFonts w:hint="eastAsia" w:ascii="仿宋_GB2312" w:hAnsi="仿宋_GB2312" w:eastAsia="仿宋_GB2312" w:cs="仿宋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“提高农牧民科学技术应用水平”指标：预期指标值为≥95%，实际完成指标值为100%，指标完成率为100%。</w:t>
      </w:r>
    </w:p>
    <w:p w14:paraId="1410F41F">
      <w:pPr>
        <w:keepNext w:val="0"/>
        <w:keepLines w:val="0"/>
        <w:pageBreakBefore w:val="0"/>
        <w:widowControl w:val="0"/>
        <w:kinsoku/>
        <w:wordWrap/>
        <w:overflowPunct/>
        <w:topLinePunct w:val="0"/>
        <w:autoSpaceDE/>
        <w:autoSpaceDN/>
        <w:bidi w:val="0"/>
        <w:adjustRightInd/>
        <w:snapToGrid/>
        <w:spacing w:line="560" w:lineRule="exact"/>
        <w:textAlignment w:val="auto"/>
        <w:rPr>
          <w:rStyle w:val="19"/>
          <w:rFonts w:hint="eastAsia" w:ascii="黑体" w:hAnsi="黑体" w:eastAsia="黑体" w:cs="黑体"/>
          <w:b w:val="0"/>
          <w:spacing w:val="-4"/>
          <w:sz w:val="32"/>
          <w:szCs w:val="32"/>
        </w:rPr>
      </w:pPr>
      <w:r>
        <w:rPr>
          <w:rStyle w:val="19"/>
          <w:rFonts w:hint="eastAsia" w:ascii="仿宋_GB2312" w:hAnsi="仿宋_GB2312" w:eastAsia="仿宋_GB2312" w:cs="仿宋_GB2312"/>
          <w:b w:val="0"/>
          <w:spacing w:val="-4"/>
          <w:sz w:val="32"/>
          <w:szCs w:val="32"/>
          <w:lang w:eastAsia="zh-CN"/>
        </w:rPr>
        <w:t>　　</w:t>
      </w:r>
      <w:r>
        <w:rPr>
          <w:rStyle w:val="19"/>
          <w:rFonts w:hint="eastAsia" w:ascii="黑体" w:hAnsi="黑体" w:eastAsia="黑体" w:cs="黑体"/>
          <w:b w:val="0"/>
          <w:spacing w:val="-4"/>
          <w:sz w:val="32"/>
          <w:szCs w:val="32"/>
        </w:rPr>
        <w:t>五、预算执行进度与绩效指标偏差</w:t>
      </w:r>
    </w:p>
    <w:p w14:paraId="0D492C9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本项目年初预算资金总额为300万元，全年预算数为300万元，全年执行数为300万元，预算执行率为100%。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本项目共设置三级指标数量21个，满分指标数量21个，扣分指标数量0个，经分析计算所有三级指标完成率得出，本项目总体完成率为100%。</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45ED7BB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六、主要经验及做法、存在的问题及原因分析</w:t>
      </w:r>
    </w:p>
    <w:p w14:paraId="1828612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spacing w:val="-4"/>
          <w:sz w:val="32"/>
          <w:szCs w:val="32"/>
        </w:rPr>
      </w:pPr>
      <w:r>
        <w:rPr>
          <w:rStyle w:val="19"/>
          <w:rFonts w:hint="eastAsia" w:ascii="楷体_GB2312" w:hAnsi="楷体_GB2312" w:eastAsia="楷体_GB2312" w:cs="楷体_GB2312"/>
          <w:b/>
          <w:bCs/>
          <w:spacing w:val="-4"/>
          <w:sz w:val="32"/>
          <w:szCs w:val="32"/>
        </w:rPr>
        <w:t>（一）主要经验及做法</w:t>
      </w:r>
      <w:r>
        <w:cr/>
      </w:r>
      <w:r>
        <w:rPr>
          <w:rStyle w:val="19"/>
          <w:rFonts w:hint="eastAsia" w:ascii="楷体_GB2312" w:hAnsi="楷体_GB2312" w:eastAsia="楷体_GB2312" w:cs="楷体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不断完善各项预算管理制度，根据新形势和新要求，结合不断出台的各项制度，制定相应的预算管理制度。强化预算管理，事前必编预算，控制经费使用，使用必问绩效，将绩效管理贯穿于预算编制、执行及决算等环节。科技计划专项资金项目的成功实施，首要在于科学规划与精准立项。在项目启动前，需进行深入的市场调研和技术需求分析，确保项目方向与国家战略、行业发展趋势及地方经济需求相契合。通过建立多层次的专家评审机制，对项目的技术可行性、创新性及预期效益进行全面评估，确保资金投向具有高成长性和突破性的领域。同时，注重项目的可持续性，避免短期行为，确保资金能够长期支持科技创新和产业升级。科学规划还包括对项目执行周期的合理设定，确保各阶段目标明确、任务清晰，避免资源浪费和进度延误。</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楷体_GB2312" w:hAnsi="楷体_GB2312" w:eastAsia="楷体_GB2312" w:cs="楷体_GB2312"/>
          <w:b/>
          <w:bCs/>
          <w:spacing w:val="-4"/>
          <w:sz w:val="32"/>
          <w:szCs w:val="32"/>
        </w:rPr>
        <w:t>（二）存在的问题及原因分析</w:t>
      </w:r>
      <w:r>
        <w:cr/>
      </w:r>
      <w:r>
        <w:rPr>
          <w:rStyle w:val="19"/>
          <w:rFonts w:hint="eastAsia" w:ascii="楷体_GB2312" w:hAnsi="楷体_GB2312" w:eastAsia="楷体_GB2312" w:cs="楷体_GB2312"/>
          <w:b/>
          <w:bCs/>
          <w:spacing w:val="-4"/>
          <w:sz w:val="32"/>
          <w:szCs w:val="32"/>
          <w:lang w:eastAsia="zh-CN"/>
        </w:rPr>
        <w:t>　　</w:t>
      </w:r>
      <w:r>
        <w:rPr>
          <w:rStyle w:val="19"/>
          <w:rFonts w:hint="eastAsia" w:ascii="仿宋_GB2312" w:hAnsi="仿宋_GB2312" w:eastAsia="仿宋_GB2312" w:cs="仿宋_GB2312"/>
          <w:b w:val="0"/>
          <w:bCs w:val="0"/>
          <w:spacing w:val="-4"/>
          <w:sz w:val="32"/>
          <w:szCs w:val="32"/>
        </w:rPr>
        <w:t>一是进一步优化指标方面存在的问题，当前项目自评指标体系仍存在系统性不足与动态性缺失的双重问题。首先，指标设计多聚焦于短期可量化的经济性成果，而对社会效益、生态影响、长期可持续性等隐性价值的考量不足。其次，指标权重分配固化，未建立动态调整机制。以科技创新项目为例，其研发周期长、成果转化滞后，但现有指标仍以年度产出为考核基准，缺乏对阶段性进展与长期潜力的差异化评价标准。此外，定性指标与定量指标的协同性不足，部分领域（如团队协作、创新能力）过度依赖主观评分，缺乏可追溯的行为锚定标准，易造成评估结果失真。</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二是未带着问题去评价的意识，当前项目自评工作中普遍存在“为评而评”的倾向，缺乏以问题为导向的主动探索意识。部分执行团队将自评视为程序性任务，仅对照既定指标完成数据填报，却未针对项目实施中的潜在风险、矛盾冲突或瓶颈问题进行系统性反思。</w:t>
      </w:r>
    </w:p>
    <w:p w14:paraId="469E340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七</w:t>
      </w:r>
      <w:r>
        <w:rPr>
          <w:rStyle w:val="19"/>
          <w:rFonts w:hint="eastAsia" w:ascii="黑体" w:hAnsi="黑体" w:eastAsia="黑体" w:cs="黑体"/>
          <w:b w:val="0"/>
          <w:spacing w:val="-4"/>
          <w:sz w:val="32"/>
          <w:szCs w:val="32"/>
        </w:rPr>
        <w:t>、有关建议</w:t>
      </w:r>
    </w:p>
    <w:p w14:paraId="788EE53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建立动态调整机制，每季度结合业务重点及数据表现迭代指标权重，避免僵化；引入定性指标（如用户体验、创新性）与定量指标互补，增设外部专家评审环节；设置预警阈值，对异常波动指标启动专项归因分析。</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二）推行"问题树"分析法，在评估前通过问卷/访谈定位3～5个核心问题；制定"问题-指标-数据源"三维映射表，确保每个分析维度直指具体问题；建立"评估-反馈-整改"闭环机制，要求被评单位针对问题清单提交改进台账，并将整改成效纳入下期评估权重（占比不低于20%）。建议开展季度复盘工作坊，通过跨部门案例推演提升问题敏锐度。</w:t>
      </w:r>
    </w:p>
    <w:p w14:paraId="3413742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八</w:t>
      </w:r>
      <w:r>
        <w:rPr>
          <w:rStyle w:val="19"/>
          <w:rFonts w:hint="eastAsia" w:ascii="黑体" w:hAnsi="黑体" w:eastAsia="黑体" w:cs="黑体"/>
          <w:b w:val="0"/>
          <w:spacing w:val="-4"/>
          <w:sz w:val="32"/>
          <w:szCs w:val="32"/>
        </w:rPr>
        <w:t>、其他需要说明的问题</w:t>
      </w:r>
    </w:p>
    <w:p w14:paraId="439AA64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cr/>
      </w:r>
      <w:r>
        <w:rPr>
          <w:rStyle w:val="19"/>
          <w:rFonts w:hint="eastAsia" w:ascii="仿宋_GB2312" w:hAnsi="仿宋_GB2312" w:eastAsia="仿宋_GB2312" w:cs="仿宋_GB2312"/>
          <w:b w:val="0"/>
          <w:bCs w:val="0"/>
          <w:spacing w:val="-4"/>
          <w:sz w:val="32"/>
          <w:szCs w:val="32"/>
          <w:lang w:eastAsia="zh-CN"/>
        </w:rPr>
        <w:t>　　</w:t>
      </w: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15BA56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DAC9758">
        <w:pPr>
          <w:pStyle w:val="12"/>
          <w:jc w:val="center"/>
        </w:pPr>
        <w:r>
          <w:fldChar w:fldCharType="begin"/>
        </w:r>
        <w:r>
          <w:instrText xml:space="preserve">PAGE   \* MERGEFORMAT</w:instrText>
        </w:r>
        <w:r>
          <w:fldChar w:fldCharType="separate"/>
        </w:r>
        <w:r>
          <w:rPr>
            <w:lang w:val="zh-CN"/>
          </w:rPr>
          <w:t>1</w:t>
        </w:r>
        <w:r>
          <w:fldChar w:fldCharType="end"/>
        </w:r>
      </w:p>
    </w:sdtContent>
  </w:sdt>
  <w:p w14:paraId="5AC013A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6C070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name="KSOProductBuildVer" pid="2">
    <vt:lpwstr xmlns:vt="http://schemas.openxmlformats.org/officeDocument/2006/docPropsVTypes">2052-12.1.0.21915</vt:lpwstr>
  </property>
  <property xmlns="http://schemas.openxmlformats.org/officeDocument/2006/custom-properties" fmtid="{D5CDD505-2E9C-101B-9397-08002B2CF9AE}" name="ICV" pid="3">
    <vt:lpwstr xmlns:vt="http://schemas.openxmlformats.org/officeDocument/2006/docPropsVTypes">C734C92AAAF24344A0E4232D8EB3359B</vt:lpwstr>
  </property>
  <property xmlns="http://schemas.openxmlformats.org/officeDocument/2006/custom-properties" fmtid="{D5CDD505-2E9C-101B-9397-08002B2CF9AE}" name="KSOTemplateDocerSaveRecord" pid="4">
    <vt:lpwstr xmlns:vt="http://schemas.openxmlformats.org/officeDocument/2006/docPropsVTypes">eyJoZGlkIjoiOGRhNDIxODUxOGI4NGI3NDZmNGVjMmE3MTNkYjk5MjEifQ==</vt:lpwstr>
  </property>
</Properties>
</file>

<file path=customXml/itemProps1.xml><?xml version="1.0" encoding="utf-8"?>
<ds:datastoreItem xmlns:ds="http://schemas.openxmlformats.org/officeDocument/2006/customXml" ds:itemID="{8538c3c5-1059-46b1-b06e-6e64839465c1}">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108</Words>
  <Characters>119</Characters>
  <Lines>5</Lines>
  <Paragraphs>1</Paragraphs>
  <TotalTime>19</TotalTime>
  <ScaleCrop>false</ScaleCrop>
  <LinksUpToDate>false</LinksUpToDate>
  <CharactersWithSpaces>131</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2025-10-13T18:23:36Z</cp:lastPrinted>
  <dcterms:modified xsi:type="dcterms:W3CDTF">2025-10-13T18:26:59Z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eyJoZGlkIjoiOGRhNDIxODUxOGI4NGI3NDZmNGVjMmE3MTNkYjk5MjEifQ_x003D__x003D_</vt:lpwstr>
  </property>
</Properties>
</file>