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和田地区教育学院2024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303B24B">
      <w:r>
        <w:br w:type="page"/>
      </w:r>
    </w:p>
    <w:p w14:paraId="53F1864F">
      <w:pPr>
        <w:spacing w:line="640" w:lineRule="exact"/>
        <w:jc w:val="center"/>
        <w:outlineLvl w:val="1"/>
      </w:pPr>
      <w:r>
        <w:rPr>
          <w:rFonts w:ascii="黑体" w:hAnsi="黑体" w:eastAsia="黑体"/>
          <w:sz w:val="32"/>
        </w:rPr>
        <w:t>第一部分 单位概况</w:t>
      </w:r>
    </w:p>
    <w:p w14:paraId="103EDBC7">
      <w:pPr>
        <w:spacing w:line="640" w:lineRule="exact"/>
        <w:ind w:firstLine="640"/>
        <w:jc w:val="both"/>
        <w:outlineLvl w:val="2"/>
      </w:pPr>
      <w:r>
        <w:rPr>
          <w:rFonts w:ascii="黑体" w:hAnsi="黑体" w:eastAsia="黑体"/>
          <w:sz w:val="32"/>
        </w:rPr>
        <w:t>一、主要职能</w:t>
      </w:r>
    </w:p>
    <w:p w14:paraId="234736A8">
      <w:pPr>
        <w:spacing w:line="580" w:lineRule="exact"/>
        <w:ind w:firstLine="640"/>
        <w:jc w:val="both"/>
      </w:pPr>
      <w:r>
        <w:rPr>
          <w:rFonts w:ascii="仿宋_GB2312" w:hAnsi="仿宋_GB2312" w:eastAsia="仿宋_GB2312"/>
          <w:sz w:val="32"/>
        </w:rPr>
        <w:t>和田地区教育学院是一所成人培训学院。学院专业设有学前专业，语文专业，音乐教育，美术教育，体育教育5个成人大专学历教育专业，同时承办全地区在职学前和中小学教师国家通用语言文字教育培训，继续教育培训，以及地区中小学，幼儿园校长，书记培训等工作。</w:t>
      </w:r>
    </w:p>
    <w:p w14:paraId="16F93673">
      <w:pPr>
        <w:spacing w:line="640" w:lineRule="exact"/>
        <w:ind w:firstLine="640"/>
        <w:jc w:val="both"/>
        <w:outlineLvl w:val="2"/>
      </w:pPr>
      <w:r>
        <w:rPr>
          <w:rFonts w:ascii="黑体" w:hAnsi="黑体" w:eastAsia="黑体"/>
          <w:sz w:val="32"/>
        </w:rPr>
        <w:t>二、机构设置及人员情况</w:t>
      </w:r>
    </w:p>
    <w:p w14:paraId="19776B20">
      <w:pPr>
        <w:spacing w:line="580" w:lineRule="exact"/>
        <w:ind w:firstLine="640"/>
        <w:jc w:val="both"/>
      </w:pPr>
      <w:r>
        <w:rPr>
          <w:rFonts w:ascii="仿宋_GB2312" w:hAnsi="仿宋_GB2312" w:eastAsia="仿宋_GB2312"/>
          <w:sz w:val="32"/>
        </w:rPr>
        <w:t>和田地区教育学院2024年度，实有人数126人，其中：在职人员77人，减少3人；离休人员0人，增加0人；退休人员49人,增加2人。</w:t>
      </w:r>
    </w:p>
    <w:p w14:paraId="7F431648">
      <w:pPr>
        <w:spacing w:line="580" w:lineRule="exact"/>
        <w:ind w:firstLine="640"/>
        <w:jc w:val="both"/>
      </w:pPr>
      <w:r>
        <w:rPr>
          <w:rFonts w:ascii="仿宋_GB2312" w:hAnsi="仿宋_GB2312" w:eastAsia="仿宋_GB2312"/>
          <w:sz w:val="32"/>
        </w:rPr>
        <w:t>和田地区教育学院无下属预算单位，下设11个科室，分别是：办公室、教务科、学生科、思政科、团委、保卫科、后勤服务中心、理科部、语言部、文科部、培训科。</w:t>
      </w:r>
    </w:p>
    <w:p w14:paraId="2F36620C">
      <w:r>
        <w:br w:type="page"/>
      </w:r>
    </w:p>
    <w:p w14:paraId="76B9EFBA">
      <w:pPr>
        <w:spacing w:line="240" w:lineRule="auto"/>
        <w:jc w:val="center"/>
        <w:outlineLvl w:val="1"/>
      </w:pPr>
      <w:r>
        <w:rPr>
          <w:rFonts w:ascii="黑体" w:hAnsi="黑体" w:eastAsia="黑体"/>
          <w:sz w:val="32"/>
        </w:rPr>
        <w:t>第二部分 部门决算情况说明</w:t>
      </w:r>
    </w:p>
    <w:p w14:paraId="201E8B17">
      <w:pPr>
        <w:spacing w:line="640" w:lineRule="exact"/>
        <w:ind w:firstLine="640"/>
        <w:jc w:val="both"/>
        <w:outlineLvl w:val="2"/>
      </w:pPr>
      <w:r>
        <w:rPr>
          <w:rFonts w:ascii="黑体" w:hAnsi="黑体" w:eastAsia="黑体"/>
          <w:sz w:val="32"/>
        </w:rPr>
        <w:t>一、收入支出决算总体情况说明</w:t>
      </w:r>
    </w:p>
    <w:p w14:paraId="127D16A0">
      <w:pPr>
        <w:spacing w:line="580" w:lineRule="exact"/>
        <w:ind w:firstLine="640"/>
        <w:jc w:val="both"/>
      </w:pPr>
      <w:r>
        <w:rPr>
          <w:rFonts w:ascii="仿宋_GB2312" w:hAnsi="仿宋_GB2312" w:eastAsia="仿宋_GB2312"/>
          <w:b/>
          <w:sz w:val="32"/>
        </w:rPr>
        <w:t>2024年度收入总计2,818.55万元，</w:t>
      </w:r>
      <w:r>
        <w:rPr>
          <w:rFonts w:ascii="仿宋_GB2312" w:hAnsi="仿宋_GB2312" w:eastAsia="仿宋_GB2312"/>
          <w:b w:val="0"/>
          <w:sz w:val="32"/>
        </w:rPr>
        <w:t>其中：本年收入合计2,803.50万元，使用非财政拨款结余（含专用结余）0.00万元，年初结转和结余15.05万元。</w:t>
      </w:r>
    </w:p>
    <w:p w14:paraId="1F0A8966">
      <w:pPr>
        <w:spacing w:line="580" w:lineRule="exact"/>
        <w:ind w:firstLine="640"/>
        <w:jc w:val="both"/>
      </w:pPr>
      <w:r>
        <w:rPr>
          <w:rFonts w:ascii="仿宋_GB2312" w:hAnsi="仿宋_GB2312" w:eastAsia="仿宋_GB2312"/>
          <w:b/>
          <w:sz w:val="32"/>
        </w:rPr>
        <w:t>2024年度支出总计2,818.55万元，</w:t>
      </w:r>
      <w:r>
        <w:rPr>
          <w:rFonts w:ascii="仿宋_GB2312" w:hAnsi="仿宋_GB2312" w:eastAsia="仿宋_GB2312"/>
          <w:b w:val="0"/>
          <w:sz w:val="32"/>
        </w:rPr>
        <w:t>其中：本年支出合计2,802.11万元，结余分配0.00万元，年末结转和结余16.44万元。</w:t>
      </w:r>
    </w:p>
    <w:p w14:paraId="63900F2C">
      <w:pPr>
        <w:spacing w:line="580" w:lineRule="exact"/>
        <w:ind w:firstLine="640"/>
        <w:jc w:val="both"/>
      </w:pPr>
      <w:r>
        <w:rPr>
          <w:rFonts w:ascii="仿宋_GB2312" w:hAnsi="仿宋_GB2312" w:eastAsia="仿宋_GB2312"/>
          <w:b w:val="0"/>
          <w:sz w:val="32"/>
        </w:rPr>
        <w:t>收入支出总体与上年相比，增加736.56万元，增长35.38%，主要原因是：本年增加中小学幼儿园教师国家级培训项目、一期工程款、导致经费较上年增加。</w:t>
      </w:r>
    </w:p>
    <w:p w14:paraId="082323C1">
      <w:pPr>
        <w:spacing w:line="640" w:lineRule="exact"/>
        <w:ind w:firstLine="640"/>
        <w:jc w:val="both"/>
        <w:outlineLvl w:val="2"/>
      </w:pPr>
      <w:r>
        <w:rPr>
          <w:rFonts w:ascii="黑体" w:hAnsi="黑体" w:eastAsia="黑体"/>
          <w:sz w:val="32"/>
        </w:rPr>
        <w:t>二、收入决算情况说明</w:t>
      </w:r>
    </w:p>
    <w:p w14:paraId="0CC893FD">
      <w:pPr>
        <w:spacing w:line="580" w:lineRule="exact"/>
        <w:ind w:firstLine="640"/>
        <w:jc w:val="both"/>
      </w:pPr>
      <w:r>
        <w:rPr>
          <w:rFonts w:ascii="仿宋_GB2312" w:hAnsi="仿宋_GB2312" w:eastAsia="仿宋_GB2312"/>
          <w:b/>
          <w:sz w:val="32"/>
        </w:rPr>
        <w:t>本年收入2,803.50万元，</w:t>
      </w:r>
      <w:r>
        <w:rPr>
          <w:rFonts w:ascii="仿宋_GB2312" w:hAnsi="仿宋_GB2312" w:eastAsia="仿宋_GB2312"/>
          <w:b w:val="0"/>
          <w:sz w:val="32"/>
        </w:rPr>
        <w:t>其中：财政拨款收入1,920.69万元，占68.51%；上级补助收入0.00万元，占0.00%；事业收入56.82万元，占2.03%；经营收入0.00万元，占0.00%；附属单位上缴收入0.00万元，占0.00%；其他收入825.99万元，占29.46%。</w:t>
      </w:r>
    </w:p>
    <w:p w14:paraId="2CC8605D">
      <w:pPr>
        <w:spacing w:line="640" w:lineRule="exact"/>
        <w:ind w:firstLine="640"/>
        <w:jc w:val="both"/>
        <w:outlineLvl w:val="2"/>
      </w:pPr>
      <w:r>
        <w:rPr>
          <w:rFonts w:ascii="黑体" w:hAnsi="黑体" w:eastAsia="黑体"/>
          <w:sz w:val="32"/>
        </w:rPr>
        <w:t>三、支出决算情况说明</w:t>
      </w:r>
    </w:p>
    <w:p w14:paraId="7909BCFC">
      <w:pPr>
        <w:spacing w:line="580" w:lineRule="exact"/>
        <w:ind w:firstLine="640"/>
        <w:jc w:val="both"/>
      </w:pPr>
      <w:r>
        <w:rPr>
          <w:rFonts w:ascii="仿宋_GB2312" w:hAnsi="仿宋_GB2312" w:eastAsia="仿宋_GB2312"/>
          <w:b/>
          <w:sz w:val="32"/>
        </w:rPr>
        <w:t>本年支出2,802.11万元，</w:t>
      </w:r>
      <w:r>
        <w:rPr>
          <w:rFonts w:ascii="仿宋_GB2312" w:hAnsi="仿宋_GB2312" w:eastAsia="仿宋_GB2312"/>
          <w:b w:val="0"/>
          <w:sz w:val="32"/>
        </w:rPr>
        <w:t>其中：基本支出1,745.73万元，占62.30%；项目支出1,056.38万元，占37.70%；上缴上级支出0.00万元，占0.00%；经营支出0.00万元，占0.00%；对附属单位补助支出0.00万元，占0.00%。</w:t>
      </w:r>
    </w:p>
    <w:p w14:paraId="603CDE37">
      <w:pPr>
        <w:spacing w:line="640" w:lineRule="exact"/>
        <w:ind w:firstLine="640"/>
        <w:jc w:val="both"/>
        <w:outlineLvl w:val="2"/>
      </w:pPr>
      <w:r>
        <w:rPr>
          <w:rFonts w:ascii="黑体" w:hAnsi="黑体" w:eastAsia="黑体"/>
          <w:sz w:val="32"/>
        </w:rPr>
        <w:t>四、财政拨款收入支出决算总体情况说明</w:t>
      </w:r>
    </w:p>
    <w:p w14:paraId="5B385498">
      <w:pPr>
        <w:spacing w:line="580" w:lineRule="exact"/>
        <w:ind w:firstLine="640"/>
        <w:jc w:val="both"/>
      </w:pPr>
      <w:r>
        <w:rPr>
          <w:rFonts w:ascii="仿宋_GB2312" w:hAnsi="仿宋_GB2312" w:eastAsia="仿宋_GB2312"/>
          <w:b/>
          <w:sz w:val="32"/>
        </w:rPr>
        <w:t>2024年度财政拨款收入总计1,920.69万元，</w:t>
      </w:r>
      <w:r>
        <w:rPr>
          <w:rFonts w:ascii="仿宋_GB2312" w:hAnsi="仿宋_GB2312" w:eastAsia="仿宋_GB2312"/>
          <w:b w:val="0"/>
          <w:sz w:val="32"/>
        </w:rPr>
        <w:t>其中：年初财政拨款结转和结余0.00万元，本年财政拨款收入1,920.69万元。</w:t>
      </w:r>
      <w:r>
        <w:rPr>
          <w:rFonts w:ascii="仿宋_GB2312" w:hAnsi="仿宋_GB2312" w:eastAsia="仿宋_GB2312"/>
          <w:b/>
          <w:sz w:val="32"/>
        </w:rPr>
        <w:t>财政拨款支出总计1,920.69万元，</w:t>
      </w:r>
      <w:r>
        <w:rPr>
          <w:rFonts w:ascii="仿宋_GB2312" w:hAnsi="仿宋_GB2312" w:eastAsia="仿宋_GB2312"/>
          <w:b w:val="0"/>
          <w:sz w:val="32"/>
        </w:rPr>
        <w:t>其中：年末财政拨款结转和结余0.00万元，本年财政拨款支出1,920.69万元。</w:t>
      </w:r>
    </w:p>
    <w:p w14:paraId="60A34B6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增加66.35万元，增长3.58%，主要原因是：本年增加中小学幼儿园教师国家级培训项目，导致经费较上年增加。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年初预算数1,800.62万元，决算数1,920.69万元，预决算差异率6.67%，主要原因是：年中追加中小学幼儿园教师国家级培训项目、为民办实事项目资金，导致预决算存在差异。</w:t>
      </w:r>
    </w:p>
    <w:p w14:paraId="183F5939">
      <w:pPr>
        <w:spacing w:line="640" w:lineRule="exact"/>
        <w:ind w:firstLine="640"/>
        <w:jc w:val="both"/>
        <w:outlineLvl w:val="2"/>
      </w:pPr>
      <w:r>
        <w:rPr>
          <w:rFonts w:ascii="黑体" w:hAnsi="黑体" w:eastAsia="黑体"/>
          <w:sz w:val="32"/>
        </w:rPr>
        <w:t>五、一般公共预算财政拨款支出决算情况说明</w:t>
      </w:r>
    </w:p>
    <w:p w14:paraId="560DE31C">
      <w:pPr>
        <w:spacing w:line="640" w:lineRule="exact"/>
        <w:ind w:firstLine="640"/>
        <w:jc w:val="both"/>
        <w:outlineLvl w:val="3"/>
      </w:pPr>
      <w:r>
        <w:rPr>
          <w:rFonts w:ascii="楷体_GB2312" w:hAnsi="楷体_GB2312" w:eastAsia="楷体_GB2312"/>
          <w:b/>
          <w:sz w:val="32"/>
        </w:rPr>
        <w:t>（一）一般公共预算财政拨款支出决算总体情况</w:t>
      </w:r>
    </w:p>
    <w:p w14:paraId="56170C71">
      <w:pPr>
        <w:spacing w:line="580" w:lineRule="exact"/>
        <w:ind w:firstLine="640"/>
        <w:jc w:val="both"/>
      </w:pPr>
      <w:r>
        <w:rPr>
          <w:rFonts w:ascii="仿宋_GB2312" w:hAnsi="仿宋_GB2312" w:eastAsia="仿宋_GB2312"/>
          <w:b/>
          <w:sz w:val="32"/>
        </w:rPr>
        <w:t>2024年度一般公共预算财政拨款支出1,920.69万元，</w:t>
      </w:r>
      <w:r>
        <w:rPr>
          <w:rFonts w:ascii="仿宋_GB2312" w:hAnsi="仿宋_GB2312" w:eastAsia="仿宋_GB2312"/>
          <w:b w:val="0"/>
          <w:sz w:val="32"/>
        </w:rPr>
        <w:t>占本年支出合计的68.54%。</w:t>
      </w:r>
      <w:r>
        <w:rPr>
          <w:rFonts w:ascii="仿宋_GB2312" w:hAnsi="仿宋_GB2312" w:eastAsia="仿宋_GB2312"/>
          <w:b/>
          <w:sz w:val="32"/>
        </w:rPr>
        <w:t>与上年相比，</w:t>
      </w:r>
      <w:r>
        <w:rPr>
          <w:rFonts w:ascii="仿宋_GB2312" w:hAnsi="仿宋_GB2312" w:eastAsia="仿宋_GB2312"/>
          <w:b w:val="0"/>
          <w:sz w:val="32"/>
        </w:rPr>
        <w:t>增加66.35万元，增长3.58%，主要原因是：本年增加中小学幼儿园教师国家级培训项目，导致经费较上年增加。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年初预算数1,800.62万元，决算数1,920.69万元，预决算差异率6.67%，主要原因是：年中追加中小学幼儿园教师国家级培训项目、为民办实事项目资金、导致经费较上年增加。</w:t>
      </w:r>
    </w:p>
    <w:p w14:paraId="25510B97">
      <w:pPr>
        <w:spacing w:line="640" w:lineRule="exact"/>
        <w:ind w:firstLine="640"/>
        <w:jc w:val="both"/>
        <w:outlineLvl w:val="3"/>
      </w:pPr>
      <w:r>
        <w:rPr>
          <w:rFonts w:ascii="楷体_GB2312" w:hAnsi="楷体_GB2312" w:eastAsia="楷体_GB2312"/>
          <w:b/>
          <w:sz w:val="32"/>
        </w:rPr>
        <w:t>（二）一般公共预算财政拨款支出决算结构情况</w:t>
      </w:r>
    </w:p>
    <w:p w14:paraId="417EC8F1">
      <w:pPr>
        <w:spacing w:line="580" w:lineRule="exact"/>
        <w:ind w:firstLine="640"/>
        <w:jc w:val="both"/>
      </w:pPr>
      <w:r>
        <w:rPr>
          <w:rFonts w:ascii="仿宋_GB2312" w:hAnsi="仿宋_GB2312" w:eastAsia="仿宋_GB2312"/>
          <w:b w:val="0"/>
          <w:sz w:val="32"/>
        </w:rPr>
        <w:t>1.教育支出(类)1,894.69万元,占98.65%。</w:t>
      </w:r>
    </w:p>
    <w:p w14:paraId="7D2D9762">
      <w:pPr>
        <w:spacing w:line="580" w:lineRule="exact"/>
        <w:ind w:firstLine="640"/>
        <w:jc w:val="both"/>
      </w:pPr>
      <w:r>
        <w:rPr>
          <w:rFonts w:ascii="仿宋_GB2312" w:hAnsi="仿宋_GB2312" w:eastAsia="仿宋_GB2312"/>
          <w:b w:val="0"/>
          <w:sz w:val="32"/>
        </w:rPr>
        <w:t>2.其他支出(类)26.00万元,占1.35%。</w:t>
      </w:r>
    </w:p>
    <w:p w14:paraId="1A94B6F6">
      <w:pPr>
        <w:spacing w:line="640" w:lineRule="exact"/>
        <w:ind w:firstLine="640"/>
        <w:jc w:val="both"/>
        <w:outlineLvl w:val="3"/>
      </w:pPr>
      <w:r>
        <w:rPr>
          <w:rFonts w:ascii="楷体_GB2312" w:hAnsi="楷体_GB2312" w:eastAsia="楷体_GB2312"/>
          <w:b/>
          <w:sz w:val="32"/>
        </w:rPr>
        <w:t>（三）一般公共预算财政拨款支出决算具体情况</w:t>
      </w:r>
    </w:p>
    <w:p w14:paraId="0D073729">
      <w:pPr>
        <w:spacing w:line="580" w:lineRule="exact"/>
        <w:ind w:firstLine="640"/>
        <w:jc w:val="both"/>
      </w:pPr>
      <w:r>
        <w:rPr>
          <w:rFonts w:ascii="仿宋_GB2312" w:hAnsi="仿宋_GB2312" w:eastAsia="仿宋_GB2312"/>
          <w:b w:val="0"/>
          <w:sz w:val="32"/>
        </w:rPr>
        <w:t>1.教育支出(类)普通教育(款)其他普通教育支出(项):支出决算数为218.04万元，比上年决算增加218.04万元，增长100.00%,主要原因是：本年新增中小学幼儿园教师国家级培训项目，导致经费较上年增加。</w:t>
      </w:r>
    </w:p>
    <w:p w14:paraId="58D2B30C">
      <w:pPr>
        <w:spacing w:line="580" w:lineRule="exact"/>
        <w:ind w:firstLine="640"/>
        <w:jc w:val="both"/>
      </w:pPr>
      <w:r>
        <w:rPr>
          <w:rFonts w:ascii="仿宋_GB2312" w:hAnsi="仿宋_GB2312" w:eastAsia="仿宋_GB2312"/>
          <w:b w:val="0"/>
          <w:sz w:val="32"/>
        </w:rPr>
        <w:t>2.教育支出(类)进修及培训(款)教师进修(项):支出决算数为1,676.65万元，比上年决算减少133.43万元，下降7.37%,主要原因是：在职</w:t>
      </w:r>
      <w:r>
        <w:rPr>
          <w:rFonts w:ascii="仿宋_GB2312" w:hAnsi="仿宋_GB2312" w:eastAsia="仿宋_GB2312"/>
          <w:b w:val="0"/>
          <w:sz w:val="32"/>
          <w:highlight w:val="none"/>
        </w:rPr>
        <w:t>人员减少</w:t>
      </w:r>
      <w:r>
        <w:rPr>
          <w:rFonts w:hint="eastAsia" w:ascii="仿宋_GB2312" w:hAnsi="仿宋_GB2312" w:eastAsia="仿宋_GB2312"/>
          <w:b w:val="0"/>
          <w:sz w:val="32"/>
          <w:highlight w:val="none"/>
          <w:lang w:eastAsia="zh-CN"/>
        </w:rPr>
        <w:t>、</w:t>
      </w:r>
      <w:r>
        <w:rPr>
          <w:rFonts w:ascii="仿宋_GB2312" w:hAnsi="仿宋_GB2312" w:eastAsia="仿宋_GB2312"/>
          <w:b w:val="0"/>
          <w:sz w:val="32"/>
          <w:highlight w:val="none"/>
        </w:rPr>
        <w:t>相关人员经费减少、图书阅览室项目资金减少</w:t>
      </w:r>
      <w:r>
        <w:rPr>
          <w:rFonts w:hint="eastAsia" w:ascii="仿宋_GB2312" w:hAnsi="仿宋_GB2312" w:eastAsia="仿宋_GB2312"/>
          <w:b w:val="0"/>
          <w:sz w:val="32"/>
          <w:highlight w:val="none"/>
          <w:lang w:eastAsia="zh-CN"/>
        </w:rPr>
        <w:t>，</w:t>
      </w:r>
      <w:r>
        <w:rPr>
          <w:rFonts w:ascii="仿宋_GB2312" w:hAnsi="仿宋_GB2312" w:eastAsia="仿宋_GB2312"/>
          <w:b w:val="0"/>
          <w:sz w:val="32"/>
          <w:highlight w:val="none"/>
        </w:rPr>
        <w:t>导致经费较</w:t>
      </w:r>
      <w:r>
        <w:rPr>
          <w:rFonts w:ascii="仿宋_GB2312" w:hAnsi="仿宋_GB2312" w:eastAsia="仿宋_GB2312"/>
          <w:b w:val="0"/>
          <w:sz w:val="32"/>
        </w:rPr>
        <w:t>上年减少。</w:t>
      </w:r>
    </w:p>
    <w:p w14:paraId="05AB46A4">
      <w:pPr>
        <w:spacing w:line="580" w:lineRule="exact"/>
        <w:ind w:firstLine="640"/>
        <w:jc w:val="both"/>
      </w:pPr>
      <w:r>
        <w:rPr>
          <w:rFonts w:ascii="仿宋_GB2312" w:hAnsi="仿宋_GB2312" w:eastAsia="仿宋_GB2312"/>
          <w:b w:val="0"/>
          <w:sz w:val="32"/>
        </w:rPr>
        <w:t>3.其他支出(类)其他支出(款)其他支出(项):支出决算数为26.00万元，比上年决算减少18.26万元，下降41.26%,主要原因是：本年度减少单位乡村振兴农村项目经费，导致经费较上年减少。</w:t>
      </w:r>
    </w:p>
    <w:p w14:paraId="4758A8B8">
      <w:pPr>
        <w:spacing w:line="640" w:lineRule="exact"/>
        <w:ind w:firstLine="640"/>
        <w:jc w:val="both"/>
        <w:outlineLvl w:val="2"/>
      </w:pPr>
      <w:r>
        <w:rPr>
          <w:rFonts w:ascii="黑体" w:hAnsi="黑体" w:eastAsia="黑体"/>
          <w:sz w:val="32"/>
        </w:rPr>
        <w:t>六、一般公共预算财政拨款基本支出决算情况说明</w:t>
      </w:r>
    </w:p>
    <w:p w14:paraId="719B90AC">
      <w:pPr>
        <w:spacing w:line="580" w:lineRule="exact"/>
        <w:ind w:firstLine="640"/>
        <w:jc w:val="both"/>
      </w:pPr>
      <w:r>
        <w:rPr>
          <w:rFonts w:ascii="仿宋_GB2312" w:hAnsi="仿宋_GB2312" w:eastAsia="仿宋_GB2312"/>
          <w:b w:val="0"/>
          <w:sz w:val="32"/>
        </w:rPr>
        <w:t>2024年度一般公共预算财政拨款基本支出1,676.65万元，其中：</w:t>
      </w:r>
      <w:r>
        <w:rPr>
          <w:rFonts w:ascii="仿宋_GB2312" w:hAnsi="仿宋_GB2312" w:eastAsia="仿宋_GB2312"/>
          <w:b/>
          <w:sz w:val="32"/>
        </w:rPr>
        <w:t>人员经费1,676.65万元，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包括：基本工资、津贴补贴、绩效工资、机关事业单位基本养老保险缴费、职业年金缴费、职工基本医疗保险缴费、其他社会保障缴费、住房公积金、退休费、生活补助、奖励金。</w:t>
      </w:r>
    </w:p>
    <w:p w14:paraId="5F0B6E1E">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7CCA37EF">
      <w:pPr>
        <w:spacing w:line="640" w:lineRule="exact"/>
        <w:ind w:firstLine="640"/>
        <w:jc w:val="both"/>
        <w:outlineLvl w:val="2"/>
      </w:pPr>
      <w:r>
        <w:rPr>
          <w:rFonts w:ascii="黑体" w:hAnsi="黑体" w:eastAsia="黑体"/>
          <w:sz w:val="32"/>
        </w:rPr>
        <w:t>七、政府性基金预算财政拨款收入支出决算情况说明</w:t>
      </w:r>
    </w:p>
    <w:p w14:paraId="1307B18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D42A1E6">
      <w:pPr>
        <w:spacing w:line="640" w:lineRule="exact"/>
        <w:ind w:firstLine="640"/>
        <w:jc w:val="both"/>
        <w:outlineLvl w:val="2"/>
      </w:pPr>
      <w:r>
        <w:rPr>
          <w:rFonts w:ascii="黑体" w:hAnsi="黑体" w:eastAsia="黑体"/>
          <w:sz w:val="32"/>
        </w:rPr>
        <w:t>八、国有资本经营预算财政拨款收入支出决算情况说明</w:t>
      </w:r>
    </w:p>
    <w:p w14:paraId="1E935E3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DD45860">
      <w:pPr>
        <w:spacing w:line="640" w:lineRule="exact"/>
        <w:ind w:firstLine="640"/>
        <w:jc w:val="both"/>
        <w:outlineLvl w:val="2"/>
      </w:pPr>
      <w:r>
        <w:rPr>
          <w:rFonts w:ascii="黑体" w:hAnsi="黑体" w:eastAsia="黑体"/>
          <w:sz w:val="32"/>
        </w:rPr>
        <w:t>九、财政拨款“三公”经费支出决算情况说明</w:t>
      </w:r>
    </w:p>
    <w:p w14:paraId="72F0FE7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608F669">
      <w:pPr>
        <w:spacing w:line="580" w:lineRule="exact"/>
        <w:ind w:firstLine="640"/>
        <w:jc w:val="both"/>
      </w:pPr>
      <w:r>
        <w:rPr>
          <w:rFonts w:ascii="仿宋_GB2312" w:hAnsi="仿宋_GB2312" w:eastAsia="仿宋_GB2312"/>
          <w:b/>
          <w:sz w:val="32"/>
        </w:rPr>
        <w:t>具体情况如下：</w:t>
      </w:r>
    </w:p>
    <w:p w14:paraId="04FDAAB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3C5BD8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一般业务用车，车辆费用未使用财政拨款公务用车运行维护费支付，由教育收入经费保障。</w:t>
      </w:r>
    </w:p>
    <w:p w14:paraId="55DAA46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5424F4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57BF0AB">
      <w:pPr>
        <w:spacing w:line="640" w:lineRule="exact"/>
        <w:ind w:firstLine="640"/>
        <w:jc w:val="both"/>
        <w:outlineLvl w:val="2"/>
      </w:pPr>
      <w:r>
        <w:rPr>
          <w:rFonts w:ascii="黑体" w:hAnsi="黑体" w:eastAsia="黑体"/>
          <w:sz w:val="32"/>
        </w:rPr>
        <w:t>十、其他重要事项的情况说明</w:t>
      </w:r>
    </w:p>
    <w:p w14:paraId="2BE31AAB">
      <w:pPr>
        <w:spacing w:line="640" w:lineRule="exact"/>
        <w:ind w:firstLine="640"/>
        <w:jc w:val="both"/>
        <w:outlineLvl w:val="3"/>
      </w:pPr>
      <w:r>
        <w:rPr>
          <w:rFonts w:ascii="楷体_GB2312" w:hAnsi="楷体_GB2312" w:eastAsia="楷体_GB2312"/>
          <w:b/>
          <w:sz w:val="32"/>
        </w:rPr>
        <w:t>（一）机关运行经费及公用经费支出情况</w:t>
      </w:r>
    </w:p>
    <w:p w14:paraId="7D673FDE">
      <w:pPr>
        <w:spacing w:line="580" w:lineRule="exact"/>
        <w:ind w:firstLine="640"/>
        <w:jc w:val="both"/>
      </w:pPr>
      <w:r>
        <w:rPr>
          <w:rFonts w:ascii="仿宋_GB2312" w:hAnsi="仿宋_GB2312" w:eastAsia="仿宋_GB2312"/>
          <w:b w:val="0"/>
          <w:sz w:val="32"/>
        </w:rPr>
        <w:t>2024年度和田地区教育学院（事业单位）公用经费支出0.00万元，比上年减少6.25万元，下降100.00%，主要原因是：本年未安排办公费、电费、邮电费、出差费等支出，导致公用经费较上年减少。</w:t>
      </w:r>
    </w:p>
    <w:p w14:paraId="009C1050">
      <w:pPr>
        <w:spacing w:line="640" w:lineRule="exact"/>
        <w:ind w:firstLine="640"/>
        <w:jc w:val="both"/>
        <w:outlineLvl w:val="3"/>
      </w:pPr>
      <w:r>
        <w:rPr>
          <w:rFonts w:ascii="楷体_GB2312" w:hAnsi="楷体_GB2312" w:eastAsia="楷体_GB2312"/>
          <w:b/>
          <w:sz w:val="32"/>
        </w:rPr>
        <w:t>（二）政府采购情况</w:t>
      </w:r>
    </w:p>
    <w:p w14:paraId="680B0BE3">
      <w:pPr>
        <w:spacing w:line="580" w:lineRule="exact"/>
        <w:ind w:firstLine="640"/>
        <w:jc w:val="both"/>
      </w:pPr>
      <w:r>
        <w:rPr>
          <w:rFonts w:ascii="仿宋_GB2312" w:hAnsi="仿宋_GB2312" w:eastAsia="仿宋_GB2312"/>
          <w:b w:val="0"/>
          <w:sz w:val="32"/>
        </w:rPr>
        <w:t>2024年度政府采购支出总额48.90万元，其中：政府采购货物支出48.19万元、政府采购工程支出0.00万元、政府采购服务支出0.71万元。</w:t>
      </w:r>
    </w:p>
    <w:p w14:paraId="36991249">
      <w:pPr>
        <w:spacing w:line="580" w:lineRule="exact"/>
        <w:ind w:firstLine="640"/>
        <w:jc w:val="both"/>
      </w:pPr>
      <w:r>
        <w:rPr>
          <w:rFonts w:ascii="仿宋_GB2312" w:hAnsi="仿宋_GB2312" w:eastAsia="仿宋_GB2312"/>
          <w:b w:val="0"/>
          <w:sz w:val="32"/>
        </w:rPr>
        <w:t>授予中小企业合同金额48.55万元，占政府采购支出总额的99.28%，其中：授予小微企业合同金额48.55万元，占政府采购支出总额的99.28%。</w:t>
      </w:r>
    </w:p>
    <w:p w14:paraId="3A091690">
      <w:pPr>
        <w:spacing w:line="640" w:lineRule="exact"/>
        <w:ind w:firstLine="640"/>
        <w:jc w:val="both"/>
        <w:outlineLvl w:val="3"/>
      </w:pPr>
      <w:r>
        <w:rPr>
          <w:rFonts w:ascii="楷体_GB2312" w:hAnsi="楷体_GB2312" w:eastAsia="楷体_GB2312"/>
          <w:b/>
          <w:sz w:val="32"/>
        </w:rPr>
        <w:t>（三）国有资产占用情况说明</w:t>
      </w:r>
    </w:p>
    <w:p w14:paraId="42DD13CB">
      <w:pPr>
        <w:spacing w:line="580" w:lineRule="exact"/>
        <w:ind w:firstLine="640"/>
        <w:jc w:val="both"/>
      </w:pPr>
      <w:r>
        <w:rPr>
          <w:rFonts w:ascii="仿宋_GB2312" w:hAnsi="仿宋_GB2312" w:eastAsia="仿宋_GB2312"/>
          <w:b w:val="0"/>
          <w:sz w:val="32"/>
        </w:rPr>
        <w:t>截至2024年12月31日，房屋30,956.49平方米，价值9,871.94万元。车辆2辆，价值37.22万元，其中：副部（省）级及以上领导用车0辆、主要负责人用车0辆、机要通信用车0辆、应急保障用车0辆、执法执勤用车0辆、特种专业技术用车0辆、离退休干部服务用车0</w:t>
      </w:r>
      <w:r>
        <w:rPr>
          <w:rFonts w:ascii="仿宋_GB2312" w:hAnsi="仿宋_GB2312" w:eastAsia="仿宋_GB2312"/>
          <w:b w:val="0"/>
          <w:sz w:val="32"/>
          <w:highlight w:val="none"/>
        </w:rPr>
        <w:t>辆</w:t>
      </w:r>
      <w:r>
        <w:rPr>
          <w:rFonts w:hint="eastAsia" w:ascii="仿宋_GB2312" w:hAnsi="仿宋_GB2312" w:eastAsia="仿宋_GB2312"/>
          <w:b w:val="0"/>
          <w:sz w:val="32"/>
          <w:highlight w:val="none"/>
          <w:lang w:eastAsia="zh-CN"/>
        </w:rPr>
        <w:t>。</w:t>
      </w:r>
      <w:r>
        <w:rPr>
          <w:rFonts w:ascii="仿宋_GB2312" w:hAnsi="仿宋_GB2312" w:eastAsia="仿宋_GB2312"/>
          <w:b w:val="0"/>
          <w:sz w:val="32"/>
          <w:highlight w:val="none"/>
        </w:rPr>
        <w:t>其</w:t>
      </w:r>
      <w:r>
        <w:rPr>
          <w:rFonts w:ascii="仿宋_GB2312" w:hAnsi="仿宋_GB2312" w:eastAsia="仿宋_GB2312"/>
          <w:b w:val="0"/>
          <w:sz w:val="32"/>
        </w:rPr>
        <w:t>他用车2辆，其他用车主要是：一般业务用车。单价100万元（含）以上设备（不含车辆）3台（套）。</w:t>
      </w:r>
    </w:p>
    <w:p w14:paraId="1DA8E038">
      <w:pPr>
        <w:spacing w:line="640" w:lineRule="exact"/>
        <w:ind w:firstLine="640"/>
        <w:jc w:val="both"/>
        <w:outlineLvl w:val="2"/>
      </w:pPr>
      <w:r>
        <w:rPr>
          <w:rFonts w:ascii="黑体" w:hAnsi="黑体" w:eastAsia="黑体"/>
          <w:sz w:val="32"/>
        </w:rPr>
        <w:t>十一、预算绩效的情况说明</w:t>
      </w:r>
    </w:p>
    <w:p w14:paraId="49B8C6A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2,818.55万元，实际执行总额2,802.11万元；预算绩效评价项目5个，全年预算数434.30万元，全年执行数256.76万元。预算绩效管理取得的成效：一是不断完善各项预算管理制度，根据新形势和新要求，结合不断出台的各项制度，制定相应的预算管理制度。强化预算管理，事前必编预算，控制经费使用，使用必问绩效，将绩效管理贯穿于预算编制、执行及决算等环节；二是加强宣传，加强对各项制度的执行力度，杜绝有令不行、有禁不止的情况发生。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大绩效工作宣传力度，强化绩效理念。二是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254AD8A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2CA25A6">
        <w:tblPrEx>
          <w:tblCellMar>
            <w:top w:w="0" w:type="dxa"/>
            <w:left w:w="108" w:type="dxa"/>
            <w:bottom w:w="0" w:type="dxa"/>
            <w:right w:w="108" w:type="dxa"/>
          </w:tblCellMar>
        </w:tblPrEx>
        <w:tc>
          <w:tcPr>
            <w:tcW w:w="8847" w:type="dxa"/>
            <w:gridSpan w:val="9"/>
            <w:vAlign w:val="center"/>
          </w:tcPr>
          <w:p w14:paraId="5B65F3F8">
            <w:pPr>
              <w:jc w:val="center"/>
            </w:pPr>
            <w:r>
              <w:rPr>
                <w:rFonts w:ascii="宋体" w:hAnsi="宋体" w:eastAsia="宋体"/>
                <w:sz w:val="24"/>
              </w:rPr>
              <w:t>单位整体支出绩效自评表</w:t>
            </w:r>
          </w:p>
        </w:tc>
      </w:tr>
      <w:tr w14:paraId="50F9AEF0">
        <w:tblPrEx>
          <w:tblCellMar>
            <w:top w:w="0" w:type="dxa"/>
            <w:left w:w="108" w:type="dxa"/>
            <w:bottom w:w="0" w:type="dxa"/>
            <w:right w:w="108" w:type="dxa"/>
          </w:tblCellMar>
        </w:tblPrEx>
        <w:tc>
          <w:tcPr>
            <w:tcW w:w="8847" w:type="dxa"/>
            <w:gridSpan w:val="9"/>
            <w:vAlign w:val="center"/>
          </w:tcPr>
          <w:p w14:paraId="40B9D0D6">
            <w:pPr>
              <w:jc w:val="center"/>
            </w:pPr>
            <w:r>
              <w:rPr>
                <w:rFonts w:ascii="宋体" w:hAnsi="宋体" w:eastAsia="宋体"/>
                <w:sz w:val="24"/>
              </w:rPr>
              <w:t>（2024年度）</w:t>
            </w:r>
          </w:p>
        </w:tc>
      </w:tr>
      <w:tr w14:paraId="34AD57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EA4C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996E7F">
            <w:pPr>
              <w:jc w:val="center"/>
            </w:pPr>
            <w:r>
              <w:rPr>
                <w:rFonts w:ascii="宋体" w:hAnsi="宋体" w:eastAsia="宋体"/>
                <w:sz w:val="16"/>
              </w:rPr>
              <w:t>和田地区教育学院</w:t>
            </w:r>
          </w:p>
        </w:tc>
      </w:tr>
      <w:tr w14:paraId="3517482B">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E2439">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E2D0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AE44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5CF3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647F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4D7D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137F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AB7A0">
            <w:pPr>
              <w:jc w:val="center"/>
            </w:pPr>
            <w:r>
              <w:rPr>
                <w:rFonts w:ascii="宋体" w:hAnsi="宋体" w:eastAsia="宋体"/>
                <w:sz w:val="16"/>
              </w:rPr>
              <w:t>得分</w:t>
            </w:r>
          </w:p>
        </w:tc>
      </w:tr>
      <w:tr w14:paraId="45965C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CD8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28BE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E8652">
            <w:pPr>
              <w:jc w:val="center"/>
            </w:pPr>
            <w:r>
              <w:rPr>
                <w:rFonts w:ascii="宋体" w:hAnsi="宋体" w:eastAsia="宋体"/>
                <w:sz w:val="16"/>
              </w:rPr>
              <w:t>2,102.62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02A1D">
            <w:pPr>
              <w:jc w:val="center"/>
            </w:pPr>
            <w:r>
              <w:rPr>
                <w:rFonts w:ascii="宋体" w:hAnsi="宋体" w:eastAsia="宋体"/>
                <w:sz w:val="16"/>
              </w:rPr>
              <w:t>2,818.55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8B24A">
            <w:pPr>
              <w:jc w:val="center"/>
            </w:pPr>
            <w:r>
              <w:rPr>
                <w:rFonts w:ascii="宋体" w:hAnsi="宋体" w:eastAsia="宋体"/>
                <w:sz w:val="16"/>
              </w:rPr>
              <w:t>2,802.11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F74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E3069">
            <w:pPr>
              <w:jc w:val="center"/>
            </w:pPr>
            <w:r>
              <w:rPr>
                <w:rFonts w:ascii="宋体" w:hAnsi="宋体" w:eastAsia="宋体"/>
                <w:sz w:val="16"/>
              </w:rPr>
              <w:t>99.42%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54D96">
            <w:pPr>
              <w:jc w:val="center"/>
            </w:pPr>
            <w:r>
              <w:rPr>
                <w:rFonts w:ascii="宋体" w:hAnsi="宋体" w:eastAsia="宋体"/>
                <w:sz w:val="16"/>
              </w:rPr>
              <w:t>9.94</w:t>
            </w:r>
          </w:p>
        </w:tc>
      </w:tr>
      <w:tr w14:paraId="1DD40B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7630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3F73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BD645">
            <w:pPr>
              <w:jc w:val="center"/>
            </w:pPr>
            <w:r>
              <w:rPr>
                <w:rFonts w:ascii="宋体" w:hAnsi="宋体" w:eastAsia="宋体"/>
                <w:sz w:val="16"/>
              </w:rPr>
              <w:t>119.80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1D39C">
            <w:pPr>
              <w:jc w:val="center"/>
            </w:pPr>
            <w:r>
              <w:rPr>
                <w:rFonts w:ascii="宋体" w:hAnsi="宋体" w:eastAsia="宋体"/>
                <w:sz w:val="16"/>
              </w:rPr>
              <w:t>244.04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B2567">
            <w:pPr>
              <w:jc w:val="center"/>
            </w:pPr>
            <w:r>
              <w:rPr>
                <w:rFonts w:ascii="宋体" w:hAnsi="宋体" w:eastAsia="宋体"/>
                <w:sz w:val="16"/>
              </w:rPr>
              <w:t>244.04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559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24B8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1E990">
            <w:pPr>
              <w:jc w:val="center"/>
            </w:pPr>
            <w:r>
              <w:rPr>
                <w:rFonts w:ascii="宋体" w:hAnsi="宋体" w:eastAsia="宋体"/>
                <w:sz w:val="16"/>
              </w:rPr>
              <w:t>—</w:t>
            </w:r>
          </w:p>
        </w:tc>
      </w:tr>
      <w:tr w14:paraId="32B0F7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738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69EA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10404">
            <w:pPr>
              <w:jc w:val="center"/>
            </w:pPr>
            <w:r>
              <w:rPr>
                <w:rFonts w:ascii="宋体" w:hAnsi="宋体" w:eastAsia="宋体"/>
                <w:sz w:val="16"/>
              </w:rPr>
              <w:t>1,982.82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2B35A">
            <w:pPr>
              <w:jc w:val="center"/>
            </w:pPr>
            <w:r>
              <w:rPr>
                <w:rFonts w:ascii="宋体" w:hAnsi="宋体" w:eastAsia="宋体"/>
                <w:sz w:val="16"/>
              </w:rPr>
              <w:t>1,748.77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D31BC">
            <w:pPr>
              <w:jc w:val="center"/>
            </w:pPr>
            <w:r>
              <w:rPr>
                <w:rFonts w:ascii="宋体" w:hAnsi="宋体" w:eastAsia="宋体"/>
                <w:sz w:val="16"/>
              </w:rPr>
              <w:t>1,732.33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7FC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2D5F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10E03">
            <w:pPr>
              <w:jc w:val="center"/>
            </w:pPr>
            <w:r>
              <w:rPr>
                <w:rFonts w:ascii="宋体" w:hAnsi="宋体" w:eastAsia="宋体"/>
                <w:sz w:val="16"/>
              </w:rPr>
              <w:t>—</w:t>
            </w:r>
          </w:p>
        </w:tc>
      </w:tr>
      <w:tr w14:paraId="2337C0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5042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7868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74D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FF420">
            <w:pPr>
              <w:jc w:val="center"/>
            </w:pPr>
            <w:r>
              <w:rPr>
                <w:rFonts w:ascii="宋体" w:hAnsi="宋体" w:eastAsia="宋体"/>
                <w:sz w:val="16"/>
              </w:rPr>
              <w:t>825.74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025A5">
            <w:pPr>
              <w:jc w:val="center"/>
            </w:pPr>
            <w:r>
              <w:rPr>
                <w:rFonts w:ascii="宋体" w:hAnsi="宋体" w:eastAsia="宋体"/>
                <w:sz w:val="16"/>
              </w:rPr>
              <w:t>825.74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36F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FCBE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C724B">
            <w:pPr>
              <w:jc w:val="center"/>
            </w:pPr>
            <w:r>
              <w:rPr>
                <w:rFonts w:ascii="宋体" w:hAnsi="宋体" w:eastAsia="宋体"/>
                <w:sz w:val="16"/>
              </w:rPr>
              <w:t>—</w:t>
            </w:r>
          </w:p>
        </w:tc>
      </w:tr>
      <w:tr w14:paraId="5A2E81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9E0E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38997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1FF4DE">
            <w:pPr>
              <w:jc w:val="center"/>
            </w:pPr>
            <w:r>
              <w:rPr>
                <w:rFonts w:ascii="宋体" w:hAnsi="宋体" w:eastAsia="宋体"/>
                <w:sz w:val="16"/>
              </w:rPr>
              <w:t>实际完成目标</w:t>
            </w:r>
          </w:p>
        </w:tc>
      </w:tr>
      <w:tr w14:paraId="0DCB23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45526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14BEB0">
            <w:pPr>
              <w:numPr>
                <w:ilvl w:val="0"/>
                <w:numId w:val="0"/>
              </w:numPr>
              <w:ind w:firstLine="320" w:firstLineChars="200"/>
              <w:jc w:val="both"/>
              <w:rPr>
                <w:rFonts w:hint="eastAsia" w:ascii="宋体" w:hAnsi="宋体" w:eastAsia="宋体"/>
                <w:sz w:val="16"/>
                <w:lang w:eastAsia="zh-CN"/>
              </w:rPr>
            </w:pPr>
            <w:r>
              <w:rPr>
                <w:rFonts w:hint="eastAsia" w:ascii="宋体" w:hAnsi="宋体"/>
                <w:sz w:val="16"/>
                <w:lang w:val="en-US" w:eastAsia="zh-CN"/>
              </w:rPr>
              <w:t>1.</w:t>
            </w:r>
            <w:r>
              <w:rPr>
                <w:rFonts w:ascii="宋体" w:hAnsi="宋体" w:eastAsia="宋体"/>
                <w:sz w:val="16"/>
              </w:rPr>
              <w:t>人员类目标：人员类预算金额1680.82万元，主要用来保障教职工的基本工资、津贴补贴、奖金、绩效工资、机关事业单位基本养老保险、城镇职工基本医疗保险缴费、住房公积金、离退休费、生活补助等支出</w:t>
            </w:r>
            <w:r>
              <w:rPr>
                <w:rFonts w:hint="eastAsia" w:ascii="宋体" w:hAnsi="宋体"/>
                <w:sz w:val="16"/>
                <w:lang w:eastAsia="zh-CN"/>
              </w:rPr>
              <w:t>。</w:t>
            </w:r>
          </w:p>
          <w:p w14:paraId="32600281">
            <w:pPr>
              <w:numPr>
                <w:ilvl w:val="0"/>
                <w:numId w:val="0"/>
              </w:numPr>
              <w:ind w:firstLine="320" w:firstLineChars="200"/>
              <w:jc w:val="both"/>
              <w:rPr>
                <w:rFonts w:hint="eastAsia" w:ascii="宋体" w:hAnsi="宋体" w:eastAsia="宋体"/>
                <w:sz w:val="16"/>
                <w:lang w:eastAsia="zh-CN"/>
              </w:rPr>
            </w:pPr>
            <w:r>
              <w:rPr>
                <w:rFonts w:ascii="宋体" w:hAnsi="宋体" w:eastAsia="宋体"/>
                <w:sz w:val="16"/>
              </w:rPr>
              <w:t>2.公用类目标：公用类预算</w:t>
            </w:r>
            <w:r>
              <w:rPr>
                <w:rFonts w:hint="eastAsia" w:ascii="宋体" w:hAnsi="宋体"/>
                <w:sz w:val="16"/>
                <w:lang w:eastAsia="zh-CN"/>
              </w:rPr>
              <w:t>资金</w:t>
            </w:r>
            <w:r>
              <w:rPr>
                <w:rFonts w:ascii="宋体" w:hAnsi="宋体" w:eastAsia="宋体"/>
                <w:sz w:val="16"/>
              </w:rPr>
              <w:t>99万元，主要用于基本公用支出、交通费、办公用房取暖费、工会福利费等</w:t>
            </w:r>
            <w:r>
              <w:rPr>
                <w:rFonts w:hint="eastAsia" w:ascii="宋体" w:hAnsi="宋体"/>
                <w:sz w:val="16"/>
                <w:lang w:eastAsia="zh-CN"/>
              </w:rPr>
              <w:t>。</w:t>
            </w:r>
          </w:p>
          <w:p w14:paraId="521DCA82">
            <w:pPr>
              <w:numPr>
                <w:ilvl w:val="0"/>
                <w:numId w:val="0"/>
              </w:numPr>
              <w:ind w:firstLine="320" w:firstLineChars="200"/>
              <w:jc w:val="both"/>
            </w:pPr>
            <w:r>
              <w:rPr>
                <w:rFonts w:ascii="宋体" w:hAnsi="宋体" w:eastAsia="宋体"/>
                <w:sz w:val="16"/>
              </w:rPr>
              <w:t>3.保障年初预算项目达到203万元。改善学校的基本办学条件，基本满足教学和工作需要，为强化教师教学能力形成引领示范效应，不断提升教师</w:t>
            </w:r>
            <w:r>
              <w:rPr>
                <w:rFonts w:hint="eastAsia" w:ascii="宋体" w:hAnsi="宋体"/>
                <w:sz w:val="16"/>
                <w:lang w:eastAsia="zh-CN"/>
              </w:rPr>
              <w:t>教学</w:t>
            </w:r>
            <w:r>
              <w:rPr>
                <w:rFonts w:ascii="宋体" w:hAnsi="宋体" w:eastAsia="宋体"/>
                <w:sz w:val="16"/>
              </w:rPr>
              <w:t>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DB3810">
            <w:pPr>
              <w:ind w:firstLine="320" w:firstLineChars="200"/>
              <w:jc w:val="both"/>
            </w:pPr>
            <w:r>
              <w:rPr>
                <w:rFonts w:hint="eastAsia" w:ascii="宋体" w:hAnsi="宋体"/>
                <w:sz w:val="16"/>
                <w:lang w:eastAsia="zh-CN"/>
              </w:rPr>
              <w:t>截至2024</w:t>
            </w:r>
            <w:r>
              <w:rPr>
                <w:rFonts w:ascii="宋体" w:hAnsi="宋体" w:eastAsia="宋体"/>
                <w:sz w:val="16"/>
              </w:rPr>
              <w:t>年12月31日，本单位实际完成保障教职工的基本工资、津贴补贴、奖金、绩效工资、机关事业单位基本养老保险、城镇职工基本医疗保险缴费、住房公积金、离退休费、生活补助等支出；实际形成支出2802.11万元，通过完成以上工作，实现了为强化教师教学能力形成引领示范效应，不断提升教师</w:t>
            </w:r>
            <w:r>
              <w:rPr>
                <w:rFonts w:hint="eastAsia" w:ascii="宋体" w:hAnsi="宋体"/>
                <w:sz w:val="16"/>
                <w:lang w:eastAsia="zh-CN"/>
              </w:rPr>
              <w:t>教学</w:t>
            </w:r>
            <w:r>
              <w:rPr>
                <w:rFonts w:ascii="宋体" w:hAnsi="宋体" w:eastAsia="宋体"/>
                <w:sz w:val="16"/>
              </w:rPr>
              <w:t>水平的效益。</w:t>
            </w:r>
          </w:p>
        </w:tc>
      </w:tr>
      <w:tr w14:paraId="0B5674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870E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0ACE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FA14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817A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2782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A0EA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361B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415A1">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A465E">
            <w:pPr>
              <w:jc w:val="center"/>
            </w:pPr>
            <w:r>
              <w:rPr>
                <w:rFonts w:ascii="宋体" w:hAnsi="宋体" w:eastAsia="宋体"/>
                <w:sz w:val="16"/>
              </w:rPr>
              <w:t>得分</w:t>
            </w:r>
          </w:p>
        </w:tc>
      </w:tr>
      <w:tr w14:paraId="6450FE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1CC60">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F974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BE351">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05A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DA0BB">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7D89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DD9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EBFE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9189D">
            <w:pPr>
              <w:jc w:val="center"/>
            </w:pPr>
            <w:r>
              <w:rPr>
                <w:rFonts w:ascii="宋体" w:hAnsi="宋体" w:eastAsia="宋体"/>
                <w:sz w:val="16"/>
              </w:rPr>
              <w:t>15</w:t>
            </w:r>
          </w:p>
        </w:tc>
      </w:tr>
      <w:tr w14:paraId="6E777E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D2CCB">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4388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288A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23B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A30A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5799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03A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5795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B6634">
            <w:pPr>
              <w:jc w:val="center"/>
            </w:pPr>
            <w:r>
              <w:rPr>
                <w:rFonts w:ascii="宋体" w:hAnsi="宋体" w:eastAsia="宋体"/>
                <w:sz w:val="16"/>
              </w:rPr>
              <w:t>15</w:t>
            </w:r>
          </w:p>
        </w:tc>
      </w:tr>
      <w:tr w14:paraId="755550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D640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6824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562CF">
            <w:pPr>
              <w:jc w:val="center"/>
            </w:pPr>
            <w:r>
              <w:rPr>
                <w:rFonts w:ascii="宋体" w:hAnsi="宋体" w:eastAsia="宋体"/>
                <w:sz w:val="16"/>
              </w:rPr>
              <w:t>校园防控安全完好率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7F33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C6E4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3346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E740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3089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33CD7">
            <w:pPr>
              <w:jc w:val="center"/>
            </w:pPr>
            <w:r>
              <w:rPr>
                <w:rFonts w:ascii="宋体" w:hAnsi="宋体" w:eastAsia="宋体"/>
                <w:sz w:val="16"/>
              </w:rPr>
              <w:t>15</w:t>
            </w:r>
          </w:p>
        </w:tc>
      </w:tr>
      <w:tr w14:paraId="12E283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1E98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D63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9B077">
            <w:pPr>
              <w:jc w:val="center"/>
            </w:pPr>
            <w:r>
              <w:rPr>
                <w:rFonts w:ascii="宋体" w:hAnsi="宋体" w:eastAsia="宋体"/>
                <w:sz w:val="16"/>
              </w:rPr>
              <w:t>2024年普通话培训人数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EC6D4">
            <w:pPr>
              <w:jc w:val="center"/>
            </w:pPr>
            <w:r>
              <w:rPr>
                <w:rFonts w:ascii="宋体" w:hAnsi="宋体" w:eastAsia="宋体"/>
                <w:sz w:val="16"/>
              </w:rPr>
              <w:t>=1000人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9A3E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37D7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5459D">
            <w:pPr>
              <w:jc w:val="center"/>
            </w:pPr>
            <w:r>
              <w:rPr>
                <w:rFonts w:ascii="宋体" w:hAnsi="宋体" w:eastAsia="宋体"/>
                <w:sz w:val="16"/>
              </w:rPr>
              <w:t>1000人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98F6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8AF3B">
            <w:pPr>
              <w:jc w:val="center"/>
            </w:pPr>
            <w:r>
              <w:rPr>
                <w:rFonts w:ascii="宋体" w:hAnsi="宋体" w:eastAsia="宋体"/>
                <w:sz w:val="16"/>
              </w:rPr>
              <w:t>15</w:t>
            </w:r>
          </w:p>
        </w:tc>
      </w:tr>
      <w:tr w14:paraId="70447B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0B27E">
            <w:pPr>
              <w:jc w:val="center"/>
            </w:pPr>
            <w:r>
              <w:rPr>
                <w:rFonts w:ascii="宋体" w:hAnsi="宋体" w:eastAsia="宋体"/>
                <w:sz w:val="16"/>
              </w:rPr>
              <w:t>社会效益</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0A29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CEA02">
            <w:pPr>
              <w:jc w:val="center"/>
            </w:pPr>
            <w:r>
              <w:rPr>
                <w:rFonts w:ascii="宋体" w:hAnsi="宋体" w:eastAsia="宋体"/>
                <w:sz w:val="16"/>
              </w:rPr>
              <w:t>2024年学生学业成绩平均提升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72A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D71D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9D00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776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552E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BFB4E">
            <w:pPr>
              <w:jc w:val="center"/>
            </w:pPr>
            <w:r>
              <w:rPr>
                <w:rFonts w:ascii="宋体" w:hAnsi="宋体" w:eastAsia="宋体"/>
                <w:sz w:val="16"/>
              </w:rPr>
              <w:t>15</w:t>
            </w:r>
          </w:p>
        </w:tc>
      </w:tr>
      <w:tr w14:paraId="12FB04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5E4E6">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31DC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93723">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54A2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A265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A97D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E5A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86C0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4C39A">
            <w:pPr>
              <w:jc w:val="center"/>
            </w:pPr>
            <w:r>
              <w:rPr>
                <w:rFonts w:ascii="宋体" w:hAnsi="宋体" w:eastAsia="宋体"/>
                <w:sz w:val="16"/>
              </w:rPr>
              <w:t>15</w:t>
            </w:r>
          </w:p>
        </w:tc>
      </w:tr>
    </w:tbl>
    <w:p w14:paraId="45DC177B">
      <w:r>
        <w:br w:type="page"/>
      </w:r>
    </w:p>
    <w:p w14:paraId="5A73D154">
      <w:bookmarkStart w:id="0" w:name="_GoBack"/>
      <w:bookmarkEnd w:id="0"/>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74D8BAC">
        <w:tblPrEx>
          <w:tblCellMar>
            <w:top w:w="0" w:type="dxa"/>
            <w:left w:w="108" w:type="dxa"/>
            <w:bottom w:w="0" w:type="dxa"/>
            <w:right w:w="108" w:type="dxa"/>
          </w:tblCellMar>
        </w:tblPrEx>
        <w:tc>
          <w:tcPr>
            <w:tcW w:w="8847" w:type="dxa"/>
            <w:gridSpan w:val="9"/>
            <w:vAlign w:val="center"/>
          </w:tcPr>
          <w:p w14:paraId="0EE2492F">
            <w:pPr>
              <w:jc w:val="center"/>
            </w:pPr>
            <w:r>
              <w:rPr>
                <w:rFonts w:ascii="宋体" w:hAnsi="宋体" w:eastAsia="宋体"/>
                <w:sz w:val="24"/>
              </w:rPr>
              <w:t>项目支出绩效自评表</w:t>
            </w:r>
          </w:p>
        </w:tc>
      </w:tr>
      <w:tr w14:paraId="4D15F145">
        <w:tblPrEx>
          <w:tblCellMar>
            <w:top w:w="0" w:type="dxa"/>
            <w:left w:w="108" w:type="dxa"/>
            <w:bottom w:w="0" w:type="dxa"/>
            <w:right w:w="108" w:type="dxa"/>
          </w:tblCellMar>
        </w:tblPrEx>
        <w:tc>
          <w:tcPr>
            <w:tcW w:w="8847" w:type="dxa"/>
            <w:gridSpan w:val="9"/>
            <w:vAlign w:val="center"/>
          </w:tcPr>
          <w:p w14:paraId="5F56C722">
            <w:pPr>
              <w:jc w:val="center"/>
            </w:pPr>
            <w:r>
              <w:rPr>
                <w:rFonts w:ascii="宋体" w:hAnsi="宋体" w:eastAsia="宋体"/>
                <w:sz w:val="24"/>
              </w:rPr>
              <w:t>(2024年度)</w:t>
            </w:r>
          </w:p>
        </w:tc>
      </w:tr>
      <w:tr w14:paraId="4EEA0E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C9C8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8BB848">
            <w:pPr>
              <w:jc w:val="center"/>
            </w:pPr>
            <w:r>
              <w:rPr>
                <w:rFonts w:ascii="宋体" w:hAnsi="宋体" w:eastAsia="宋体"/>
                <w:sz w:val="16"/>
              </w:rPr>
              <w:t>2024年为民办实事工作经费项目</w:t>
            </w:r>
          </w:p>
        </w:tc>
      </w:tr>
      <w:tr w14:paraId="485213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077C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9B4F5A">
            <w:pPr>
              <w:jc w:val="center"/>
            </w:pPr>
            <w:r>
              <w:rPr>
                <w:rFonts w:ascii="宋体" w:hAnsi="宋体" w:eastAsia="宋体"/>
                <w:sz w:val="16"/>
              </w:rPr>
              <w:t>和田地区教育学院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24C5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395754">
            <w:pPr>
              <w:jc w:val="center"/>
            </w:pPr>
            <w:r>
              <w:rPr>
                <w:rFonts w:ascii="宋体" w:hAnsi="宋体" w:eastAsia="宋体"/>
                <w:sz w:val="16"/>
              </w:rPr>
              <w:t>和田地区教育学院</w:t>
            </w:r>
          </w:p>
        </w:tc>
      </w:tr>
      <w:tr w14:paraId="6C1463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409F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B111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9D60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D45C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0827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EE4E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0E63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45DFB">
            <w:pPr>
              <w:jc w:val="center"/>
            </w:pPr>
            <w:r>
              <w:rPr>
                <w:rFonts w:ascii="宋体" w:hAnsi="宋体" w:eastAsia="宋体"/>
                <w:sz w:val="16"/>
              </w:rPr>
              <w:t>得分</w:t>
            </w:r>
          </w:p>
        </w:tc>
      </w:tr>
      <w:tr w14:paraId="0D5855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DD43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E132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3426E">
            <w:pPr>
              <w:jc w:val="center"/>
            </w:pPr>
            <w:r>
              <w:rPr>
                <w:rFonts w:ascii="宋体" w:hAnsi="宋体" w:eastAsia="宋体"/>
                <w:sz w:val="16"/>
              </w:rPr>
              <w:t>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B34DF">
            <w:pPr>
              <w:jc w:val="center"/>
            </w:pPr>
            <w:r>
              <w:rPr>
                <w:rFonts w:ascii="宋体" w:hAnsi="宋体" w:eastAsia="宋体"/>
                <w:sz w:val="16"/>
              </w:rPr>
              <w:t>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46232">
            <w:pPr>
              <w:jc w:val="center"/>
            </w:pPr>
            <w:r>
              <w:rPr>
                <w:rFonts w:ascii="宋体" w:hAnsi="宋体" w:eastAsia="宋体"/>
                <w:sz w:val="16"/>
              </w:rPr>
              <w:t>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602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4848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9B1CE">
            <w:pPr>
              <w:jc w:val="center"/>
            </w:pPr>
            <w:r>
              <w:rPr>
                <w:rFonts w:ascii="宋体" w:hAnsi="宋体" w:eastAsia="宋体"/>
                <w:sz w:val="16"/>
              </w:rPr>
              <w:t>10.00分</w:t>
            </w:r>
          </w:p>
        </w:tc>
      </w:tr>
      <w:tr w14:paraId="3F3924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53A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5126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870A6">
            <w:pPr>
              <w:jc w:val="center"/>
            </w:pPr>
            <w:r>
              <w:rPr>
                <w:rFonts w:ascii="宋体" w:hAnsi="宋体" w:eastAsia="宋体"/>
                <w:sz w:val="16"/>
              </w:rPr>
              <w:t>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6C375">
            <w:pPr>
              <w:jc w:val="center"/>
            </w:pPr>
            <w:r>
              <w:rPr>
                <w:rFonts w:ascii="宋体" w:hAnsi="宋体" w:eastAsia="宋体"/>
                <w:sz w:val="16"/>
              </w:rPr>
              <w:t>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AA0EA">
            <w:pPr>
              <w:jc w:val="center"/>
            </w:pPr>
            <w:r>
              <w:rPr>
                <w:rFonts w:ascii="宋体" w:hAnsi="宋体" w:eastAsia="宋体"/>
                <w:sz w:val="16"/>
              </w:rPr>
              <w:t>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22C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0DE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7C897">
            <w:pPr>
              <w:jc w:val="center"/>
            </w:pPr>
            <w:r>
              <w:rPr>
                <w:rFonts w:ascii="宋体" w:hAnsi="宋体" w:eastAsia="宋体"/>
                <w:sz w:val="16"/>
              </w:rPr>
              <w:t>—</w:t>
            </w:r>
          </w:p>
        </w:tc>
      </w:tr>
      <w:tr w14:paraId="3038FD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1618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B43F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F24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5D3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A51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61D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C53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BBDDA">
            <w:pPr>
              <w:jc w:val="center"/>
            </w:pPr>
            <w:r>
              <w:rPr>
                <w:rFonts w:ascii="宋体" w:hAnsi="宋体" w:eastAsia="宋体"/>
                <w:sz w:val="16"/>
              </w:rPr>
              <w:t>—</w:t>
            </w:r>
          </w:p>
        </w:tc>
      </w:tr>
      <w:tr w14:paraId="134E2B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CCC3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972A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2B8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A42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20A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AEF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00D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131D0">
            <w:pPr>
              <w:jc w:val="center"/>
            </w:pPr>
            <w:r>
              <w:rPr>
                <w:rFonts w:ascii="宋体" w:hAnsi="宋体" w:eastAsia="宋体"/>
                <w:sz w:val="16"/>
              </w:rPr>
              <w:t>—</w:t>
            </w:r>
          </w:p>
        </w:tc>
      </w:tr>
      <w:tr w14:paraId="3B4FDC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9A17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9A159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07744F">
            <w:pPr>
              <w:jc w:val="center"/>
            </w:pPr>
            <w:r>
              <w:rPr>
                <w:rFonts w:ascii="宋体" w:hAnsi="宋体" w:eastAsia="宋体"/>
                <w:sz w:val="16"/>
              </w:rPr>
              <w:t>实际完成情况</w:t>
            </w:r>
          </w:p>
        </w:tc>
      </w:tr>
      <w:tr w14:paraId="7B1237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8277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4E7EFD">
            <w:pPr>
              <w:ind w:firstLine="320" w:firstLineChars="200"/>
              <w:jc w:val="both"/>
            </w:pPr>
            <w:r>
              <w:rPr>
                <w:rFonts w:ascii="宋体" w:hAnsi="宋体" w:eastAsia="宋体"/>
                <w:sz w:val="16"/>
              </w:rPr>
              <w:t>本项目主要实施内容为：为民办实事工作队3个，为民办实事工作队派出17人，项目总投资为26万元，项目计划于2024年12月完成。通过本项目的实施，有效解决当地群众的生活困难情况，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F5696C">
            <w:pPr>
              <w:ind w:firstLine="320" w:firstLineChars="200"/>
              <w:jc w:val="both"/>
            </w:pPr>
            <w:r>
              <w:rPr>
                <w:rFonts w:hint="eastAsia" w:ascii="宋体" w:hAnsi="宋体"/>
                <w:sz w:val="16"/>
                <w:lang w:eastAsia="zh-CN"/>
              </w:rPr>
              <w:t>截至</w:t>
            </w:r>
            <w:r>
              <w:rPr>
                <w:rFonts w:ascii="宋体" w:hAnsi="宋体" w:eastAsia="宋体"/>
                <w:sz w:val="16"/>
              </w:rPr>
              <w:t>2024年12月31日，本项目实际形成支出26万元，已完成为民办实事工作队3个，为民办实事工作队派出17人的任务，达到了有效解决当地群众的生活困难情况的效益，受益群众满意度达到100%。</w:t>
            </w:r>
          </w:p>
        </w:tc>
      </w:tr>
      <w:tr w14:paraId="656BBC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204DD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1035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6A93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CDFE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5935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421F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249A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1C33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A0AD7">
            <w:pPr>
              <w:jc w:val="center"/>
            </w:pPr>
            <w:r>
              <w:rPr>
                <w:rFonts w:ascii="宋体" w:hAnsi="宋体" w:eastAsia="宋体"/>
                <w:sz w:val="16"/>
              </w:rPr>
              <w:t>偏差原因分析及改进措施</w:t>
            </w:r>
          </w:p>
        </w:tc>
      </w:tr>
      <w:tr w14:paraId="54E11D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CB82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188A0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91F7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663CA">
            <w:pPr>
              <w:jc w:val="center"/>
            </w:pPr>
            <w:r>
              <w:rPr>
                <w:rFonts w:ascii="宋体" w:hAnsi="宋体" w:eastAsia="宋体"/>
                <w:sz w:val="16"/>
              </w:rPr>
              <w:t>为民办实事工作队个数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3A231">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8C2CC">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FC5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7E8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34CED">
            <w:pPr>
              <w:jc w:val="center"/>
            </w:pPr>
          </w:p>
        </w:tc>
      </w:tr>
      <w:tr w14:paraId="18EE16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314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237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B531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4C890">
            <w:pPr>
              <w:jc w:val="center"/>
            </w:pPr>
            <w:r>
              <w:rPr>
                <w:rFonts w:ascii="宋体" w:hAnsi="宋体" w:eastAsia="宋体"/>
                <w:sz w:val="16"/>
              </w:rPr>
              <w:t>为民办实事工作队派出人数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B8FA8">
            <w:pPr>
              <w:jc w:val="center"/>
            </w:pPr>
            <w:r>
              <w:rPr>
                <w:rFonts w:ascii="宋体" w:hAnsi="宋体" w:eastAsia="宋体"/>
                <w:sz w:val="16"/>
              </w:rPr>
              <w:t>≥17人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350A1">
            <w:pPr>
              <w:jc w:val="center"/>
            </w:pPr>
            <w:r>
              <w:rPr>
                <w:rFonts w:ascii="宋体" w:hAnsi="宋体" w:eastAsia="宋体"/>
                <w:sz w:val="16"/>
              </w:rPr>
              <w:t>=17人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A40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111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3D68F">
            <w:pPr>
              <w:jc w:val="center"/>
            </w:pPr>
          </w:p>
        </w:tc>
      </w:tr>
      <w:tr w14:paraId="5E5E18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ADA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A85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9C40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C66F5">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047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3F1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D70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C43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92D4D">
            <w:pPr>
              <w:jc w:val="center"/>
            </w:pPr>
          </w:p>
        </w:tc>
      </w:tr>
      <w:tr w14:paraId="6A9AD7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EBD9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B70E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CBB0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72C5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2ED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8F3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9213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8589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52A82">
            <w:pPr>
              <w:jc w:val="center"/>
            </w:pPr>
          </w:p>
        </w:tc>
      </w:tr>
      <w:tr w14:paraId="3E4786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57C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0D9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5A66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34D9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3C6F8">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01FA6">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36F9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7D21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B97E3">
            <w:pPr>
              <w:jc w:val="center"/>
            </w:pPr>
          </w:p>
        </w:tc>
      </w:tr>
      <w:tr w14:paraId="4E1858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68DA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DC19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D7B8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FF331">
            <w:pPr>
              <w:jc w:val="center"/>
            </w:pPr>
            <w:r>
              <w:rPr>
                <w:rFonts w:ascii="宋体" w:hAnsi="宋体" w:eastAsia="宋体"/>
                <w:sz w:val="16"/>
              </w:rPr>
              <w:t>巴什格加村工作经费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B97BC">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3392B">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82BD2">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6A06A">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46E65">
            <w:pPr>
              <w:jc w:val="center"/>
            </w:pPr>
          </w:p>
        </w:tc>
      </w:tr>
      <w:tr w14:paraId="410A52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1E6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0CD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3E8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91B1A">
            <w:pPr>
              <w:jc w:val="center"/>
            </w:pPr>
            <w:r>
              <w:rPr>
                <w:rFonts w:ascii="宋体" w:hAnsi="宋体" w:eastAsia="宋体"/>
                <w:sz w:val="16"/>
              </w:rPr>
              <w:t>库库买提村、吉米亚村工作经费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F1703">
            <w:pPr>
              <w:jc w:val="center"/>
            </w:pPr>
            <w:r>
              <w:rPr>
                <w:rFonts w:ascii="宋体" w:hAnsi="宋体" w:eastAsia="宋体"/>
                <w:sz w:val="16"/>
              </w:rPr>
              <w:t>≤14万元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D4A86">
            <w:pPr>
              <w:jc w:val="center"/>
            </w:pPr>
            <w:r>
              <w:rPr>
                <w:rFonts w:ascii="宋体" w:hAnsi="宋体" w:eastAsia="宋体"/>
                <w:sz w:val="16"/>
              </w:rPr>
              <w:t>=14万元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114B9">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D34B9">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1CC0A">
            <w:pPr>
              <w:jc w:val="center"/>
            </w:pPr>
          </w:p>
        </w:tc>
      </w:tr>
      <w:tr w14:paraId="5757FC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AC52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1C11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8D81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ECB8C">
            <w:pPr>
              <w:jc w:val="center"/>
            </w:pPr>
            <w:r>
              <w:rPr>
                <w:rFonts w:ascii="宋体" w:hAnsi="宋体" w:eastAsia="宋体"/>
                <w:sz w:val="16"/>
              </w:rPr>
              <w:t>解决当地群众的生活困难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DB0DE">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041B7">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D350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8F68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90311">
            <w:pPr>
              <w:jc w:val="center"/>
            </w:pPr>
          </w:p>
        </w:tc>
      </w:tr>
      <w:tr w14:paraId="441B84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E6B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440A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5DA6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F85D3">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7790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83B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F52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7D2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BEBEC">
            <w:pPr>
              <w:jc w:val="center"/>
            </w:pPr>
          </w:p>
        </w:tc>
      </w:tr>
      <w:tr w14:paraId="327B75F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DEB6C">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8E8F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0C301">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CAC5C3">
            <w:pPr>
              <w:jc w:val="center"/>
            </w:pPr>
            <w:r>
              <w:rPr>
                <w:rFonts w:ascii="宋体" w:hAnsi="宋体" w:eastAsia="宋体"/>
                <w:sz w:val="16"/>
              </w:rPr>
              <w:t>100分</w:t>
            </w:r>
          </w:p>
        </w:tc>
      </w:tr>
    </w:tbl>
    <w:p w14:paraId="5B0D872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18E9554">
        <w:tblPrEx>
          <w:tblCellMar>
            <w:top w:w="0" w:type="dxa"/>
            <w:left w:w="108" w:type="dxa"/>
            <w:bottom w:w="0" w:type="dxa"/>
            <w:right w:w="108" w:type="dxa"/>
          </w:tblCellMar>
        </w:tblPrEx>
        <w:tc>
          <w:tcPr>
            <w:tcW w:w="8847" w:type="dxa"/>
            <w:gridSpan w:val="9"/>
            <w:vAlign w:val="center"/>
          </w:tcPr>
          <w:p w14:paraId="0B51EAB7">
            <w:pPr>
              <w:jc w:val="center"/>
            </w:pPr>
            <w:r>
              <w:rPr>
                <w:rFonts w:ascii="宋体" w:hAnsi="宋体" w:eastAsia="宋体"/>
                <w:sz w:val="24"/>
              </w:rPr>
              <w:t>项目支出绩效自评表</w:t>
            </w:r>
          </w:p>
        </w:tc>
      </w:tr>
      <w:tr w14:paraId="13EE7436">
        <w:tblPrEx>
          <w:tblCellMar>
            <w:top w:w="0" w:type="dxa"/>
            <w:left w:w="108" w:type="dxa"/>
            <w:bottom w:w="0" w:type="dxa"/>
            <w:right w:w="108" w:type="dxa"/>
          </w:tblCellMar>
        </w:tblPrEx>
        <w:tc>
          <w:tcPr>
            <w:tcW w:w="8847" w:type="dxa"/>
            <w:gridSpan w:val="9"/>
            <w:vAlign w:val="center"/>
          </w:tcPr>
          <w:p w14:paraId="2A74A6D3">
            <w:pPr>
              <w:jc w:val="center"/>
            </w:pPr>
            <w:r>
              <w:rPr>
                <w:rFonts w:ascii="宋体" w:hAnsi="宋体" w:eastAsia="宋体"/>
                <w:sz w:val="24"/>
              </w:rPr>
              <w:t>(2024年度)</w:t>
            </w:r>
          </w:p>
        </w:tc>
      </w:tr>
      <w:tr w14:paraId="44B396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4EC9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89310C">
            <w:pPr>
              <w:jc w:val="center"/>
            </w:pPr>
            <w:r>
              <w:rPr>
                <w:rFonts w:ascii="宋体" w:hAnsi="宋体" w:eastAsia="宋体"/>
                <w:sz w:val="16"/>
              </w:rPr>
              <w:t>“为民办实事”后盾单位帮扶资金项目</w:t>
            </w:r>
          </w:p>
        </w:tc>
      </w:tr>
      <w:tr w14:paraId="755459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96F1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D7CEF7">
            <w:pPr>
              <w:jc w:val="center"/>
            </w:pPr>
            <w:r>
              <w:rPr>
                <w:rFonts w:ascii="宋体" w:hAnsi="宋体" w:eastAsia="宋体"/>
                <w:sz w:val="16"/>
              </w:rPr>
              <w:t>和田地区教育学院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BAB9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4033FE">
            <w:pPr>
              <w:jc w:val="center"/>
            </w:pPr>
            <w:r>
              <w:rPr>
                <w:rFonts w:ascii="宋体" w:hAnsi="宋体" w:eastAsia="宋体"/>
                <w:sz w:val="16"/>
              </w:rPr>
              <w:t>和田地区教育学院</w:t>
            </w:r>
          </w:p>
        </w:tc>
      </w:tr>
      <w:tr w14:paraId="1132EC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69B7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EAE4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4037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7A57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790D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1925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9CBA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0DFA0">
            <w:pPr>
              <w:jc w:val="center"/>
            </w:pPr>
            <w:r>
              <w:rPr>
                <w:rFonts w:ascii="宋体" w:hAnsi="宋体" w:eastAsia="宋体"/>
                <w:sz w:val="16"/>
              </w:rPr>
              <w:t>得分</w:t>
            </w:r>
          </w:p>
        </w:tc>
      </w:tr>
      <w:tr w14:paraId="2EE4EC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128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45FE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949A9">
            <w:pPr>
              <w:jc w:val="center"/>
            </w:pPr>
            <w:r>
              <w:rPr>
                <w:rFonts w:ascii="宋体" w:hAnsi="宋体" w:eastAsia="宋体"/>
                <w:sz w:val="16"/>
              </w:rPr>
              <w:t>19.69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EA0C3">
            <w:pPr>
              <w:jc w:val="center"/>
            </w:pPr>
            <w:r>
              <w:rPr>
                <w:rFonts w:ascii="宋体" w:hAnsi="宋体" w:eastAsia="宋体"/>
                <w:sz w:val="16"/>
              </w:rPr>
              <w:t>19.69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EF07F">
            <w:pPr>
              <w:jc w:val="center"/>
            </w:pPr>
            <w:r>
              <w:rPr>
                <w:rFonts w:ascii="宋体" w:hAnsi="宋体" w:eastAsia="宋体"/>
                <w:sz w:val="16"/>
              </w:rPr>
              <w:t>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554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41600">
            <w:pPr>
              <w:jc w:val="center"/>
            </w:pPr>
            <w:r>
              <w:rPr>
                <w:rFonts w:ascii="宋体" w:hAnsi="宋体" w:eastAsia="宋体"/>
                <w:sz w:val="16"/>
              </w:rPr>
              <w:t xml:space="preserve">43.37%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2981C">
            <w:pPr>
              <w:jc w:val="center"/>
            </w:pPr>
            <w:r>
              <w:rPr>
                <w:rFonts w:ascii="宋体" w:hAnsi="宋体" w:eastAsia="宋体"/>
                <w:sz w:val="16"/>
              </w:rPr>
              <w:t>0.00分</w:t>
            </w:r>
          </w:p>
        </w:tc>
      </w:tr>
      <w:tr w14:paraId="5A88CB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EE54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5575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239F2">
            <w:pPr>
              <w:jc w:val="center"/>
            </w:pPr>
            <w:r>
              <w:rPr>
                <w:rFonts w:ascii="宋体" w:hAnsi="宋体" w:eastAsia="宋体"/>
                <w:sz w:val="16"/>
              </w:rPr>
              <w:t>19.69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33B47">
            <w:pPr>
              <w:jc w:val="center"/>
            </w:pPr>
            <w:r>
              <w:rPr>
                <w:rFonts w:ascii="宋体" w:hAnsi="宋体" w:eastAsia="宋体"/>
                <w:sz w:val="16"/>
              </w:rPr>
              <w:t>19.69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3D1FE">
            <w:pPr>
              <w:jc w:val="center"/>
            </w:pPr>
            <w:r>
              <w:rPr>
                <w:rFonts w:ascii="宋体" w:hAnsi="宋体" w:eastAsia="宋体"/>
                <w:sz w:val="16"/>
              </w:rPr>
              <w:t>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1EF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48B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7816A">
            <w:pPr>
              <w:jc w:val="center"/>
            </w:pPr>
            <w:r>
              <w:rPr>
                <w:rFonts w:ascii="宋体" w:hAnsi="宋体" w:eastAsia="宋体"/>
                <w:sz w:val="16"/>
              </w:rPr>
              <w:t>—</w:t>
            </w:r>
          </w:p>
        </w:tc>
      </w:tr>
      <w:tr w14:paraId="04A53C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2462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1F52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DF9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951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7BD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C6B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ED7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C7B84">
            <w:pPr>
              <w:jc w:val="center"/>
            </w:pPr>
            <w:r>
              <w:rPr>
                <w:rFonts w:ascii="宋体" w:hAnsi="宋体" w:eastAsia="宋体"/>
                <w:sz w:val="16"/>
              </w:rPr>
              <w:t>—</w:t>
            </w:r>
          </w:p>
        </w:tc>
      </w:tr>
      <w:tr w14:paraId="09573B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9C6F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4E12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84C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208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E9F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5D0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20F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293C3">
            <w:pPr>
              <w:jc w:val="center"/>
            </w:pPr>
            <w:r>
              <w:rPr>
                <w:rFonts w:ascii="宋体" w:hAnsi="宋体" w:eastAsia="宋体"/>
                <w:sz w:val="16"/>
              </w:rPr>
              <w:t>—</w:t>
            </w:r>
          </w:p>
        </w:tc>
      </w:tr>
      <w:tr w14:paraId="29431A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181D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26719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3B9CE4">
            <w:pPr>
              <w:jc w:val="center"/>
            </w:pPr>
            <w:r>
              <w:rPr>
                <w:rFonts w:ascii="宋体" w:hAnsi="宋体" w:eastAsia="宋体"/>
                <w:sz w:val="16"/>
              </w:rPr>
              <w:t>实际完成情况</w:t>
            </w:r>
          </w:p>
        </w:tc>
      </w:tr>
      <w:tr w14:paraId="18A5E7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7B9C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1A5D04">
            <w:pPr>
              <w:numPr>
                <w:ilvl w:val="0"/>
                <w:numId w:val="0"/>
              </w:numPr>
              <w:ind w:firstLine="320" w:firstLineChars="200"/>
              <w:jc w:val="both"/>
            </w:pPr>
            <w:r>
              <w:rPr>
                <w:rFonts w:ascii="宋体" w:hAnsi="宋体" w:eastAsia="宋体"/>
                <w:sz w:val="16"/>
              </w:rPr>
              <w:t xml:space="preserve">用于洛浦县恰尔巴格乡巴什格加村、库库买提村、吉米亚村等3个驻村工作队17名驻村工作队员，访贫问苦、为民办实事、村级组织工作经费支出。 </w:t>
            </w:r>
            <w:r>
              <w:rPr>
                <w:rFonts w:hint="eastAsia" w:ascii="宋体" w:hAnsi="宋体"/>
                <w:sz w:val="16"/>
                <w:lang w:val="en-US" w:eastAsia="zh-CN"/>
              </w:rPr>
              <w:t xml:space="preserve">     </w:t>
            </w:r>
            <w:r>
              <w:rPr>
                <w:rFonts w:ascii="宋体" w:hAnsi="宋体" w:eastAsia="宋体"/>
                <w:sz w:val="16"/>
              </w:rPr>
              <w:t>为民办实事活动按期完成率不低于100%，</w:t>
            </w:r>
            <w:r>
              <w:rPr>
                <w:rFonts w:hint="eastAsia" w:ascii="宋体" w:hAnsi="宋体"/>
                <w:sz w:val="16"/>
                <w:lang w:eastAsia="zh-CN"/>
              </w:rPr>
              <w:t>为民办实事</w:t>
            </w:r>
            <w:r>
              <w:rPr>
                <w:rFonts w:ascii="宋体" w:hAnsi="宋体" w:eastAsia="宋体"/>
                <w:sz w:val="16"/>
              </w:rPr>
              <w:t>工作经费支出及时率不低于100%，巴什格加村经费支出8万元，库库买提村经费支出5.845万元，吉米亚村经费支出5.845万元</w:t>
            </w:r>
            <w:r>
              <w:rPr>
                <w:rFonts w:hint="eastAsia" w:ascii="宋体" w:hAnsi="宋体"/>
                <w:sz w:val="16"/>
                <w:lang w:eastAsia="zh-CN"/>
              </w:rPr>
              <w:t>。</w:t>
            </w:r>
            <w:r>
              <w:rPr>
                <w:rFonts w:ascii="宋体" w:hAnsi="宋体" w:eastAsia="宋体"/>
                <w:sz w:val="16"/>
              </w:rPr>
              <w:t>通过本项目的实施，有效解决当地群众的生活困难</w:t>
            </w:r>
            <w:r>
              <w:rPr>
                <w:rFonts w:hint="eastAsia" w:ascii="宋体" w:hAnsi="宋体"/>
                <w:sz w:val="16"/>
                <w:lang w:eastAsia="zh-CN"/>
              </w:rPr>
              <w:t>，</w:t>
            </w:r>
            <w:r>
              <w:rPr>
                <w:rFonts w:ascii="宋体" w:hAnsi="宋体" w:eastAsia="宋体"/>
                <w:sz w:val="16"/>
              </w:rPr>
              <w:t>保障</w:t>
            </w:r>
            <w:r>
              <w:rPr>
                <w:rFonts w:hint="eastAsia" w:ascii="宋体" w:hAnsi="宋体"/>
                <w:sz w:val="16"/>
                <w:lang w:eastAsia="zh-CN"/>
              </w:rPr>
              <w:t>为民办实事</w:t>
            </w:r>
            <w:r>
              <w:rPr>
                <w:rFonts w:ascii="宋体" w:hAnsi="宋体" w:eastAsia="宋体"/>
                <w:sz w:val="16"/>
              </w:rPr>
              <w:t>工作队正常开展工作，待项目实施完成，争取使受益人群满意度不低于95%。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2D6A36">
            <w:pPr>
              <w:ind w:firstLine="320" w:firstLineChars="200"/>
              <w:jc w:val="both"/>
            </w:pPr>
            <w:r>
              <w:rPr>
                <w:rFonts w:hint="eastAsia" w:ascii="宋体" w:hAnsi="宋体"/>
                <w:sz w:val="16"/>
                <w:lang w:eastAsia="zh-CN"/>
              </w:rPr>
              <w:t>截至</w:t>
            </w:r>
            <w:r>
              <w:rPr>
                <w:rFonts w:ascii="宋体" w:hAnsi="宋体" w:eastAsia="宋体"/>
                <w:sz w:val="16"/>
              </w:rPr>
              <w:t>2024年12月31日，本项目实际形成支出8.54万元，已完成保障洛浦县恰尔巴格乡巴什格加村、库库买提村、吉米亚村等3个驻村工作队17名驻村工作队员的任务,通过本项目的实施，达到了解决当地群众的生活困难的效益，受益群众满意度达到100%。</w:t>
            </w:r>
          </w:p>
        </w:tc>
      </w:tr>
      <w:tr w14:paraId="332E48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9E96B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02C3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4B03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B703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AFED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0FCD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D2AE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606A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53ED7">
            <w:pPr>
              <w:jc w:val="center"/>
            </w:pPr>
            <w:r>
              <w:rPr>
                <w:rFonts w:ascii="宋体" w:hAnsi="宋体" w:eastAsia="宋体"/>
                <w:sz w:val="16"/>
              </w:rPr>
              <w:t>偏差原因分析及改进措施</w:t>
            </w:r>
          </w:p>
        </w:tc>
      </w:tr>
      <w:tr w14:paraId="54CBDE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79CD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EA12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845C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DD44B">
            <w:pPr>
              <w:jc w:val="center"/>
            </w:pPr>
            <w:r>
              <w:rPr>
                <w:rFonts w:ascii="宋体" w:hAnsi="宋体" w:eastAsia="宋体"/>
                <w:sz w:val="16"/>
              </w:rPr>
              <w:t>为民办实事工作队人数（人）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5639A">
            <w:pPr>
              <w:jc w:val="center"/>
            </w:pPr>
            <w:r>
              <w:rPr>
                <w:rFonts w:ascii="宋体" w:hAnsi="宋体" w:eastAsia="宋体"/>
                <w:sz w:val="16"/>
              </w:rPr>
              <w:t>≥17人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D7659">
            <w:pPr>
              <w:jc w:val="center"/>
            </w:pPr>
            <w:r>
              <w:rPr>
                <w:rFonts w:ascii="宋体" w:hAnsi="宋体" w:eastAsia="宋体"/>
                <w:sz w:val="16"/>
              </w:rPr>
              <w:t>=17人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4ED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F70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26FAC">
            <w:pPr>
              <w:jc w:val="center"/>
            </w:pPr>
          </w:p>
        </w:tc>
      </w:tr>
      <w:tr w14:paraId="47F29F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711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8041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986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83B1A">
            <w:pPr>
              <w:jc w:val="center"/>
            </w:pPr>
            <w:r>
              <w:rPr>
                <w:rFonts w:ascii="宋体" w:hAnsi="宋体" w:eastAsia="宋体"/>
                <w:sz w:val="16"/>
              </w:rPr>
              <w:t>为民办实事工作队（个）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FD12F">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1F4A4">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37B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C8C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C26F1">
            <w:pPr>
              <w:jc w:val="center"/>
            </w:pPr>
          </w:p>
        </w:tc>
      </w:tr>
      <w:tr w14:paraId="5DADDA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5A4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6E5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7957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8C04C">
            <w:pPr>
              <w:jc w:val="center"/>
            </w:pPr>
            <w:r>
              <w:rPr>
                <w:rFonts w:ascii="宋体" w:hAnsi="宋体" w:eastAsia="宋体"/>
                <w:sz w:val="16"/>
              </w:rPr>
              <w:t>为民办实事活动按期完成率（%）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485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E7A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C04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9C4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C4962">
            <w:pPr>
              <w:jc w:val="center"/>
            </w:pPr>
          </w:p>
        </w:tc>
      </w:tr>
      <w:tr w14:paraId="14E64B5D">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2C7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510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B07E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3FC8B">
            <w:pPr>
              <w:jc w:val="center"/>
            </w:pPr>
            <w:r>
              <w:rPr>
                <w:rFonts w:ascii="宋体" w:hAnsi="宋体" w:eastAsia="宋体"/>
                <w:sz w:val="16"/>
              </w:rPr>
              <w:t>为民办实事工作经费支出及时率（%）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8FE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C04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D3F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48B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3E052">
            <w:pPr>
              <w:jc w:val="center"/>
            </w:pPr>
          </w:p>
        </w:tc>
      </w:tr>
      <w:tr w14:paraId="5B9A49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9B7C9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B1E8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C665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AE785">
            <w:pPr>
              <w:jc w:val="center"/>
            </w:pPr>
            <w:r>
              <w:rPr>
                <w:rFonts w:ascii="宋体" w:hAnsi="宋体" w:eastAsia="宋体"/>
                <w:sz w:val="16"/>
              </w:rPr>
              <w:t>恰尔巴格镇巴什格加村经费支出（万元）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D2218">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909A3">
            <w:pPr>
              <w:jc w:val="center"/>
            </w:pPr>
            <w:r>
              <w:rPr>
                <w:rFonts w:ascii="宋体" w:hAnsi="宋体" w:eastAsia="宋体"/>
                <w:sz w:val="16"/>
              </w:rPr>
              <w:t>=1.98万元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CF63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944F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42BCB">
            <w:pPr>
              <w:jc w:val="center"/>
            </w:pPr>
            <w:r>
              <w:rPr>
                <w:rFonts w:ascii="宋体" w:hAnsi="宋体" w:eastAsia="宋体"/>
                <w:sz w:val="16"/>
              </w:rPr>
              <w:t>偏差原因：单位账户冻结无法形成支出；改进措施正在解决账户问题，待恢复后及时形成支出。</w:t>
            </w:r>
          </w:p>
        </w:tc>
      </w:tr>
      <w:tr w14:paraId="785B25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C9B9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96C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C78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5F063">
            <w:pPr>
              <w:jc w:val="center"/>
            </w:pPr>
            <w:r>
              <w:rPr>
                <w:rFonts w:ascii="宋体" w:hAnsi="宋体" w:eastAsia="宋体"/>
                <w:sz w:val="16"/>
              </w:rPr>
              <w:t>恰尔巴格镇吉米亚村经费支出（万元）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56539">
            <w:pPr>
              <w:jc w:val="center"/>
            </w:pPr>
            <w:r>
              <w:rPr>
                <w:rFonts w:ascii="宋体" w:hAnsi="宋体" w:eastAsia="宋体"/>
                <w:sz w:val="16"/>
              </w:rPr>
              <w:t>≤5.84万元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8F55C">
            <w:pPr>
              <w:jc w:val="center"/>
            </w:pPr>
            <w:r>
              <w:rPr>
                <w:rFonts w:ascii="宋体" w:hAnsi="宋体" w:eastAsia="宋体"/>
                <w:sz w:val="16"/>
              </w:rPr>
              <w:t>=3.14万元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4BF9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70EF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88734">
            <w:pPr>
              <w:jc w:val="center"/>
            </w:pPr>
            <w:r>
              <w:rPr>
                <w:rFonts w:ascii="宋体" w:hAnsi="宋体" w:eastAsia="宋体"/>
                <w:sz w:val="16"/>
              </w:rPr>
              <w:t>偏差原因：单位账户冻结无法形成支出；改进措施正在解决账户问题，待恢复后及时形成支出。</w:t>
            </w:r>
          </w:p>
        </w:tc>
      </w:tr>
      <w:tr w14:paraId="56198D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562D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0E8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3EE4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891AA">
            <w:pPr>
              <w:jc w:val="center"/>
            </w:pPr>
            <w:r>
              <w:rPr>
                <w:rFonts w:ascii="宋体" w:hAnsi="宋体" w:eastAsia="宋体"/>
                <w:sz w:val="16"/>
              </w:rPr>
              <w:t>恰尔巴格镇库库买提村经费支出（万元）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994CD">
            <w:pPr>
              <w:jc w:val="center"/>
            </w:pPr>
            <w:r>
              <w:rPr>
                <w:rFonts w:ascii="宋体" w:hAnsi="宋体" w:eastAsia="宋体"/>
                <w:sz w:val="16"/>
              </w:rPr>
              <w:t>≤5.85万元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04ED7">
            <w:pPr>
              <w:jc w:val="center"/>
            </w:pPr>
            <w:r>
              <w:rPr>
                <w:rFonts w:ascii="宋体" w:hAnsi="宋体" w:eastAsia="宋体"/>
                <w:sz w:val="16"/>
              </w:rPr>
              <w:t>=3.42万元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5724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DCE0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E684A">
            <w:pPr>
              <w:jc w:val="center"/>
            </w:pPr>
            <w:r>
              <w:rPr>
                <w:rFonts w:ascii="宋体" w:hAnsi="宋体" w:eastAsia="宋体"/>
                <w:sz w:val="16"/>
              </w:rPr>
              <w:t>偏差原因：单位账户冻结无法形成支出；改进措施正在解决账户问题，待恢复后及时形成支出。</w:t>
            </w:r>
          </w:p>
        </w:tc>
      </w:tr>
      <w:tr w14:paraId="60C683E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AACF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B6B2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5ABD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1C001">
            <w:pPr>
              <w:jc w:val="center"/>
            </w:pPr>
            <w:r>
              <w:rPr>
                <w:rFonts w:ascii="宋体" w:hAnsi="宋体" w:eastAsia="宋体"/>
                <w:sz w:val="16"/>
              </w:rPr>
              <w:t>解决当地群众的生活困难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30671">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BA2E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EFC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3F88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A9E53">
            <w:pPr>
              <w:jc w:val="center"/>
            </w:pPr>
            <w:r>
              <w:rPr>
                <w:rFonts w:ascii="宋体" w:hAnsi="宋体" w:eastAsia="宋体"/>
                <w:sz w:val="16"/>
              </w:rPr>
              <w:t>偏差原因：为此还利息资金不够；改进措施：提高绩效目标编制能力。</w:t>
            </w:r>
          </w:p>
        </w:tc>
      </w:tr>
      <w:tr w14:paraId="14005B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16D8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77AC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577C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2E516">
            <w:pPr>
              <w:jc w:val="center"/>
            </w:pPr>
            <w:r>
              <w:rPr>
                <w:rFonts w:ascii="宋体" w:hAnsi="宋体" w:eastAsia="宋体"/>
                <w:sz w:val="16"/>
              </w:rPr>
              <w:t>受益群众满意率（%）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851F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CCE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395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CB1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92BF9">
            <w:pPr>
              <w:jc w:val="center"/>
            </w:pPr>
          </w:p>
        </w:tc>
      </w:tr>
      <w:tr w14:paraId="742A1A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5904D">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CFAA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1EA0E">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89A390">
            <w:pPr>
              <w:jc w:val="center"/>
            </w:pPr>
            <w:r>
              <w:rPr>
                <w:rFonts w:ascii="宋体" w:hAnsi="宋体" w:eastAsia="宋体"/>
                <w:sz w:val="16"/>
              </w:rPr>
              <w:t>70分</w:t>
            </w:r>
          </w:p>
        </w:tc>
      </w:tr>
    </w:tbl>
    <w:p w14:paraId="2CF6A98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23E0C65">
        <w:tblPrEx>
          <w:tblCellMar>
            <w:top w:w="0" w:type="dxa"/>
            <w:left w:w="108" w:type="dxa"/>
            <w:bottom w:w="0" w:type="dxa"/>
            <w:right w:w="108" w:type="dxa"/>
          </w:tblCellMar>
        </w:tblPrEx>
        <w:tc>
          <w:tcPr>
            <w:tcW w:w="8847" w:type="dxa"/>
            <w:gridSpan w:val="9"/>
            <w:vAlign w:val="center"/>
          </w:tcPr>
          <w:p w14:paraId="019F2762">
            <w:pPr>
              <w:jc w:val="center"/>
            </w:pPr>
            <w:r>
              <w:rPr>
                <w:rFonts w:ascii="宋体" w:hAnsi="宋体" w:eastAsia="宋体"/>
                <w:sz w:val="24"/>
              </w:rPr>
              <w:t>项目支出绩效自评表</w:t>
            </w:r>
          </w:p>
        </w:tc>
      </w:tr>
      <w:tr w14:paraId="4A709280">
        <w:tblPrEx>
          <w:tblCellMar>
            <w:top w:w="0" w:type="dxa"/>
            <w:left w:w="108" w:type="dxa"/>
            <w:bottom w:w="0" w:type="dxa"/>
            <w:right w:w="108" w:type="dxa"/>
          </w:tblCellMar>
        </w:tblPrEx>
        <w:tc>
          <w:tcPr>
            <w:tcW w:w="8847" w:type="dxa"/>
            <w:gridSpan w:val="9"/>
            <w:vAlign w:val="center"/>
          </w:tcPr>
          <w:p w14:paraId="657A5913">
            <w:pPr>
              <w:jc w:val="center"/>
            </w:pPr>
            <w:r>
              <w:rPr>
                <w:rFonts w:ascii="宋体" w:hAnsi="宋体" w:eastAsia="宋体"/>
                <w:sz w:val="24"/>
              </w:rPr>
              <w:t>(2024年度)</w:t>
            </w:r>
          </w:p>
        </w:tc>
      </w:tr>
      <w:tr w14:paraId="49EBBF7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95A3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8341E42">
            <w:pPr>
              <w:jc w:val="center"/>
            </w:pPr>
            <w:r>
              <w:rPr>
                <w:rFonts w:ascii="宋体" w:hAnsi="宋体" w:eastAsia="宋体"/>
                <w:sz w:val="16"/>
              </w:rPr>
              <w:t>图书阅览室项目资金</w:t>
            </w:r>
          </w:p>
        </w:tc>
      </w:tr>
      <w:tr w14:paraId="315155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A905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D12112">
            <w:pPr>
              <w:jc w:val="center"/>
            </w:pPr>
            <w:r>
              <w:rPr>
                <w:rFonts w:ascii="宋体" w:hAnsi="宋体" w:eastAsia="宋体"/>
                <w:sz w:val="16"/>
              </w:rPr>
              <w:t>和田地区教育学院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9C69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DCC239">
            <w:pPr>
              <w:jc w:val="center"/>
            </w:pPr>
            <w:r>
              <w:rPr>
                <w:rFonts w:ascii="宋体" w:hAnsi="宋体" w:eastAsia="宋体"/>
                <w:sz w:val="16"/>
              </w:rPr>
              <w:t>和田地区教育学院</w:t>
            </w:r>
          </w:p>
        </w:tc>
      </w:tr>
      <w:tr w14:paraId="0A5BC5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0D79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9BC3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48BE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A899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F68F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D4FA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F7AF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3F537">
            <w:pPr>
              <w:jc w:val="center"/>
            </w:pPr>
            <w:r>
              <w:rPr>
                <w:rFonts w:ascii="宋体" w:hAnsi="宋体" w:eastAsia="宋体"/>
                <w:sz w:val="16"/>
              </w:rPr>
              <w:t>得分</w:t>
            </w:r>
          </w:p>
        </w:tc>
      </w:tr>
      <w:tr w14:paraId="497397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319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0A2C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60E9F">
            <w:pPr>
              <w:jc w:val="center"/>
            </w:pPr>
            <w:r>
              <w:rPr>
                <w:rFonts w:ascii="宋体" w:hAnsi="宋体" w:eastAsia="宋体"/>
                <w:sz w:val="16"/>
              </w:rPr>
              <w:t>170.20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DB630">
            <w:pPr>
              <w:jc w:val="center"/>
            </w:pPr>
            <w:r>
              <w:rPr>
                <w:rFonts w:ascii="宋体" w:hAnsi="宋体" w:eastAsia="宋体"/>
                <w:sz w:val="16"/>
              </w:rPr>
              <w:t>170.20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BC39D">
            <w:pPr>
              <w:jc w:val="center"/>
            </w:pPr>
            <w:r>
              <w:rPr>
                <w:rFonts w:ascii="宋体" w:hAnsi="宋体" w:eastAsia="宋体"/>
                <w:sz w:val="16"/>
              </w:rPr>
              <w:t>3.81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42C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005D4">
            <w:pPr>
              <w:jc w:val="center"/>
            </w:pPr>
            <w:r>
              <w:rPr>
                <w:rFonts w:ascii="宋体" w:hAnsi="宋体" w:eastAsia="宋体"/>
                <w:sz w:val="16"/>
              </w:rPr>
              <w:t xml:space="preserve">2.24%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D3393">
            <w:pPr>
              <w:jc w:val="center"/>
            </w:pPr>
            <w:r>
              <w:rPr>
                <w:rFonts w:ascii="宋体" w:hAnsi="宋体" w:eastAsia="宋体"/>
                <w:sz w:val="16"/>
              </w:rPr>
              <w:t>0.00分</w:t>
            </w:r>
          </w:p>
        </w:tc>
      </w:tr>
      <w:tr w14:paraId="339FF9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7D89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39BD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397B2">
            <w:pPr>
              <w:jc w:val="center"/>
            </w:pPr>
            <w:r>
              <w:rPr>
                <w:rFonts w:ascii="宋体" w:hAnsi="宋体" w:eastAsia="宋体"/>
                <w:sz w:val="16"/>
              </w:rPr>
              <w:t>170.20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6FB61">
            <w:pPr>
              <w:jc w:val="center"/>
            </w:pPr>
            <w:r>
              <w:rPr>
                <w:rFonts w:ascii="宋体" w:hAnsi="宋体" w:eastAsia="宋体"/>
                <w:sz w:val="16"/>
              </w:rPr>
              <w:t>170.20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93C39">
            <w:pPr>
              <w:jc w:val="center"/>
            </w:pPr>
            <w:r>
              <w:rPr>
                <w:rFonts w:ascii="宋体" w:hAnsi="宋体" w:eastAsia="宋体"/>
                <w:sz w:val="16"/>
              </w:rPr>
              <w:t>3.81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46B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6DD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7B803">
            <w:pPr>
              <w:jc w:val="center"/>
            </w:pPr>
            <w:r>
              <w:rPr>
                <w:rFonts w:ascii="宋体" w:hAnsi="宋体" w:eastAsia="宋体"/>
                <w:sz w:val="16"/>
              </w:rPr>
              <w:t>—</w:t>
            </w:r>
          </w:p>
        </w:tc>
      </w:tr>
      <w:tr w14:paraId="3A5993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882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F8CC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408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A71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1F2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3AB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869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42A5D">
            <w:pPr>
              <w:jc w:val="center"/>
            </w:pPr>
            <w:r>
              <w:rPr>
                <w:rFonts w:ascii="宋体" w:hAnsi="宋体" w:eastAsia="宋体"/>
                <w:sz w:val="16"/>
              </w:rPr>
              <w:t>—</w:t>
            </w:r>
          </w:p>
        </w:tc>
      </w:tr>
      <w:tr w14:paraId="1A81B2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5F5D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10A2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A64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6A5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8A1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384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C4E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FB378">
            <w:pPr>
              <w:jc w:val="center"/>
            </w:pPr>
            <w:r>
              <w:rPr>
                <w:rFonts w:ascii="宋体" w:hAnsi="宋体" w:eastAsia="宋体"/>
                <w:sz w:val="16"/>
              </w:rPr>
              <w:t>—</w:t>
            </w:r>
          </w:p>
        </w:tc>
      </w:tr>
      <w:tr w14:paraId="2C7E72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6448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41C04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F4EE84">
            <w:pPr>
              <w:jc w:val="center"/>
            </w:pPr>
            <w:r>
              <w:rPr>
                <w:rFonts w:ascii="宋体" w:hAnsi="宋体" w:eastAsia="宋体"/>
                <w:sz w:val="16"/>
              </w:rPr>
              <w:t>实际完成情况</w:t>
            </w:r>
          </w:p>
        </w:tc>
      </w:tr>
      <w:tr w14:paraId="788D60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DE416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036F8D">
            <w:pPr>
              <w:ind w:firstLine="320" w:firstLineChars="200"/>
              <w:jc w:val="both"/>
            </w:pPr>
            <w:r>
              <w:rPr>
                <w:rFonts w:ascii="宋体" w:hAnsi="宋体" w:eastAsia="宋体"/>
                <w:sz w:val="16"/>
              </w:rPr>
              <w:t>图书阅览室地面1650平方米，实训室8间，图书阅览室验收合格率达到95%，项目完成时限2024年12月31日，项目缺口资金170.20万元，通过本项目的实施，</w:t>
            </w:r>
            <w:r>
              <w:rPr>
                <w:rFonts w:hint="eastAsia" w:ascii="宋体" w:hAnsi="宋体"/>
                <w:sz w:val="16"/>
                <w:lang w:val="en-US" w:eastAsia="zh-CN"/>
              </w:rPr>
              <w:t>有效推动</w:t>
            </w:r>
            <w:r>
              <w:rPr>
                <w:rFonts w:ascii="宋体" w:hAnsi="宋体" w:eastAsia="宋体"/>
                <w:sz w:val="16"/>
              </w:rPr>
              <w:t>学生综合素质健康发展作用、提高学生文化素养。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D67CF3">
            <w:pPr>
              <w:ind w:firstLine="320" w:firstLineChars="200"/>
              <w:jc w:val="both"/>
            </w:pPr>
            <w:r>
              <w:rPr>
                <w:rFonts w:hint="eastAsia" w:ascii="宋体" w:hAnsi="宋体"/>
                <w:sz w:val="16"/>
                <w:lang w:eastAsia="zh-CN"/>
              </w:rPr>
              <w:t>截至2024</w:t>
            </w:r>
            <w:r>
              <w:rPr>
                <w:rFonts w:ascii="宋体" w:hAnsi="宋体" w:eastAsia="宋体"/>
                <w:sz w:val="16"/>
              </w:rPr>
              <w:t>年12月31日，本项目实际支出3.81万元，执行2.24%，本项目已完成图书阅览室地面1650平方米，实训室8间等任务，初步达到了</w:t>
            </w:r>
            <w:r>
              <w:rPr>
                <w:rFonts w:hint="eastAsia" w:ascii="宋体" w:hAnsi="宋体"/>
                <w:sz w:val="16"/>
                <w:lang w:val="en-US" w:eastAsia="zh-CN"/>
              </w:rPr>
              <w:t>有效推动</w:t>
            </w:r>
            <w:r>
              <w:rPr>
                <w:rFonts w:ascii="宋体" w:hAnsi="宋体" w:eastAsia="宋体"/>
                <w:sz w:val="16"/>
              </w:rPr>
              <w:t>学生综合素质健康发展作用、提高学生文化素养等，受益教职工、学生满意率达到100%。</w:t>
            </w:r>
          </w:p>
        </w:tc>
      </w:tr>
      <w:tr w14:paraId="1D339D1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F3372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7EB8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9167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63DB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1135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DFD3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DEE9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94B6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37E55">
            <w:pPr>
              <w:jc w:val="center"/>
            </w:pPr>
            <w:r>
              <w:rPr>
                <w:rFonts w:ascii="宋体" w:hAnsi="宋体" w:eastAsia="宋体"/>
                <w:sz w:val="16"/>
              </w:rPr>
              <w:t>偏差原因分析及改进措施</w:t>
            </w:r>
          </w:p>
        </w:tc>
      </w:tr>
      <w:tr w14:paraId="6D8A46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7DD4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925F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B1BC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12611">
            <w:pPr>
              <w:jc w:val="center"/>
            </w:pPr>
            <w:r>
              <w:rPr>
                <w:rFonts w:ascii="宋体" w:hAnsi="宋体" w:eastAsia="宋体"/>
                <w:sz w:val="16"/>
              </w:rPr>
              <w:t>图书阅览室地面（平方米）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81A9D">
            <w:pPr>
              <w:jc w:val="center"/>
            </w:pPr>
            <w:r>
              <w:rPr>
                <w:rFonts w:ascii="宋体" w:hAnsi="宋体" w:eastAsia="宋体"/>
                <w:sz w:val="16"/>
              </w:rPr>
              <w:t>≥1650平方米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0FA31">
            <w:pPr>
              <w:jc w:val="center"/>
            </w:pPr>
            <w:r>
              <w:rPr>
                <w:rFonts w:ascii="宋体" w:hAnsi="宋体" w:eastAsia="宋体"/>
                <w:sz w:val="16"/>
              </w:rPr>
              <w:t>=1650平方米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FC8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FCE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DAC83">
            <w:pPr>
              <w:jc w:val="center"/>
            </w:pPr>
          </w:p>
        </w:tc>
      </w:tr>
      <w:tr w14:paraId="406B6E8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268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73F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7378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2EF80">
            <w:pPr>
              <w:jc w:val="center"/>
            </w:pPr>
            <w:r>
              <w:rPr>
                <w:rFonts w:ascii="宋体" w:hAnsi="宋体" w:eastAsia="宋体"/>
                <w:sz w:val="16"/>
              </w:rPr>
              <w:t>实训室数（间）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18CE6">
            <w:pPr>
              <w:jc w:val="center"/>
            </w:pPr>
            <w:r>
              <w:rPr>
                <w:rFonts w:ascii="宋体" w:hAnsi="宋体" w:eastAsia="宋体"/>
                <w:sz w:val="16"/>
              </w:rPr>
              <w:t>=8间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CD0D5">
            <w:pPr>
              <w:jc w:val="center"/>
            </w:pPr>
            <w:r>
              <w:rPr>
                <w:rFonts w:ascii="宋体" w:hAnsi="宋体" w:eastAsia="宋体"/>
                <w:sz w:val="16"/>
              </w:rPr>
              <w:t>=8间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2B6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4AA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92E7A">
            <w:pPr>
              <w:jc w:val="center"/>
            </w:pPr>
          </w:p>
        </w:tc>
      </w:tr>
      <w:tr w14:paraId="15952F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1379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806A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512E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85697">
            <w:pPr>
              <w:jc w:val="center"/>
            </w:pPr>
            <w:r>
              <w:rPr>
                <w:rFonts w:ascii="宋体" w:hAnsi="宋体" w:eastAsia="宋体"/>
                <w:sz w:val="16"/>
              </w:rPr>
              <w:t>图书阅览室验收合格率（%）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8D0F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68D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757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674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F910C">
            <w:pPr>
              <w:jc w:val="center"/>
            </w:pPr>
          </w:p>
        </w:tc>
      </w:tr>
      <w:tr w14:paraId="4E8E0B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A876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144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ACC1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F663F">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103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6D7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885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0C2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5F6AA">
            <w:pPr>
              <w:jc w:val="center"/>
            </w:pPr>
          </w:p>
        </w:tc>
      </w:tr>
      <w:tr w14:paraId="67E150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37E2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EE37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FCDE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78A53">
            <w:pPr>
              <w:jc w:val="center"/>
            </w:pPr>
            <w:r>
              <w:rPr>
                <w:rFonts w:ascii="宋体" w:hAnsi="宋体" w:eastAsia="宋体"/>
                <w:sz w:val="16"/>
              </w:rPr>
              <w:t>项目缺口资金（万元）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B2C22">
            <w:pPr>
              <w:jc w:val="center"/>
            </w:pPr>
            <w:r>
              <w:rPr>
                <w:rFonts w:ascii="宋体" w:hAnsi="宋体" w:eastAsia="宋体"/>
                <w:sz w:val="16"/>
              </w:rPr>
              <w:t>≤170.20万元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7B190">
            <w:pPr>
              <w:jc w:val="center"/>
            </w:pPr>
            <w:r>
              <w:rPr>
                <w:rFonts w:ascii="宋体" w:hAnsi="宋体" w:eastAsia="宋体"/>
                <w:sz w:val="16"/>
              </w:rPr>
              <w:t>=3.81万元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53F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8760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8F499">
            <w:pPr>
              <w:jc w:val="center"/>
            </w:pPr>
            <w:r>
              <w:rPr>
                <w:rFonts w:ascii="宋体" w:hAnsi="宋体" w:eastAsia="宋体"/>
                <w:sz w:val="16"/>
              </w:rPr>
              <w:t>偏差原因：单位账户冻结无法形成支出；改进措施正在解决账户问题，待恢复后及时形成支出。</w:t>
            </w:r>
          </w:p>
        </w:tc>
      </w:tr>
      <w:tr w14:paraId="4BC067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A6A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AA79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34F2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24B1C">
            <w:pPr>
              <w:jc w:val="center"/>
            </w:pPr>
            <w:r>
              <w:rPr>
                <w:rFonts w:ascii="宋体" w:hAnsi="宋体" w:eastAsia="宋体"/>
                <w:sz w:val="16"/>
              </w:rPr>
              <w:t>学生综合素质健康发展推动作用、提高学生文化素养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24ABE">
            <w:pPr>
              <w:jc w:val="center"/>
            </w:pPr>
            <w:r>
              <w:rPr>
                <w:rFonts w:ascii="宋体" w:hAnsi="宋体" w:eastAsia="宋体"/>
                <w:sz w:val="16"/>
              </w:rPr>
              <w:t>有效推动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01191">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9D0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009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327FB">
            <w:pPr>
              <w:jc w:val="center"/>
            </w:pPr>
          </w:p>
        </w:tc>
      </w:tr>
      <w:tr w14:paraId="0F153D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59E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5177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9BE4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27E96">
            <w:pPr>
              <w:jc w:val="center"/>
            </w:pPr>
            <w:r>
              <w:rPr>
                <w:rFonts w:ascii="宋体" w:hAnsi="宋体" w:eastAsia="宋体"/>
                <w:sz w:val="16"/>
              </w:rPr>
              <w:t>受益教职工、学生满意率（%）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820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D9D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B11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191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926EC">
            <w:pPr>
              <w:jc w:val="center"/>
            </w:pPr>
          </w:p>
        </w:tc>
      </w:tr>
      <w:tr w14:paraId="44489D5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B2EC5">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52F6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D5C1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336F32">
            <w:pPr>
              <w:jc w:val="center"/>
            </w:pPr>
            <w:r>
              <w:rPr>
                <w:rFonts w:ascii="宋体" w:hAnsi="宋体" w:eastAsia="宋体"/>
                <w:sz w:val="16"/>
              </w:rPr>
              <w:t>70分</w:t>
            </w:r>
          </w:p>
        </w:tc>
      </w:tr>
    </w:tbl>
    <w:p w14:paraId="3A9AA12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0E2AD55">
        <w:tblPrEx>
          <w:tblCellMar>
            <w:top w:w="0" w:type="dxa"/>
            <w:left w:w="108" w:type="dxa"/>
            <w:bottom w:w="0" w:type="dxa"/>
            <w:right w:w="108" w:type="dxa"/>
          </w:tblCellMar>
        </w:tblPrEx>
        <w:tc>
          <w:tcPr>
            <w:tcW w:w="8847" w:type="dxa"/>
            <w:gridSpan w:val="9"/>
            <w:vAlign w:val="center"/>
          </w:tcPr>
          <w:p w14:paraId="6F318F83">
            <w:pPr>
              <w:jc w:val="center"/>
            </w:pPr>
            <w:r>
              <w:rPr>
                <w:rFonts w:ascii="宋体" w:hAnsi="宋体" w:eastAsia="宋体"/>
                <w:sz w:val="24"/>
              </w:rPr>
              <w:t>项目支出绩效自评表</w:t>
            </w:r>
          </w:p>
        </w:tc>
      </w:tr>
      <w:tr w14:paraId="29E09198">
        <w:tblPrEx>
          <w:tblCellMar>
            <w:top w:w="0" w:type="dxa"/>
            <w:left w:w="108" w:type="dxa"/>
            <w:bottom w:w="0" w:type="dxa"/>
            <w:right w:w="108" w:type="dxa"/>
          </w:tblCellMar>
        </w:tblPrEx>
        <w:tc>
          <w:tcPr>
            <w:tcW w:w="8847" w:type="dxa"/>
            <w:gridSpan w:val="9"/>
            <w:vAlign w:val="center"/>
          </w:tcPr>
          <w:p w14:paraId="6929FE32">
            <w:pPr>
              <w:jc w:val="center"/>
            </w:pPr>
            <w:r>
              <w:rPr>
                <w:rFonts w:ascii="宋体" w:hAnsi="宋体" w:eastAsia="宋体"/>
                <w:sz w:val="24"/>
              </w:rPr>
              <w:t>(2024年度)</w:t>
            </w:r>
          </w:p>
        </w:tc>
      </w:tr>
      <w:tr w14:paraId="7E6903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953B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82A36C">
            <w:pPr>
              <w:jc w:val="center"/>
            </w:pPr>
            <w:r>
              <w:rPr>
                <w:rFonts w:ascii="宋体" w:hAnsi="宋体" w:eastAsia="宋体"/>
                <w:sz w:val="16"/>
              </w:rPr>
              <w:t>退多缴工资项目</w:t>
            </w:r>
          </w:p>
        </w:tc>
      </w:tr>
      <w:tr w14:paraId="157E0A94">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8FD3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8DBB64">
            <w:pPr>
              <w:jc w:val="center"/>
            </w:pPr>
            <w:r>
              <w:rPr>
                <w:rFonts w:ascii="宋体" w:hAnsi="宋体" w:eastAsia="宋体"/>
                <w:sz w:val="16"/>
              </w:rPr>
              <w:t>和田地区教育学院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5F13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4533AE">
            <w:pPr>
              <w:jc w:val="center"/>
            </w:pPr>
            <w:r>
              <w:rPr>
                <w:rFonts w:ascii="宋体" w:hAnsi="宋体" w:eastAsia="宋体"/>
                <w:sz w:val="16"/>
              </w:rPr>
              <w:t>和田地区教育学院</w:t>
            </w:r>
          </w:p>
        </w:tc>
      </w:tr>
      <w:tr w14:paraId="7A5AA0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317D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BA09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2A95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3DEE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4FE4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3BC8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DF2D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9426C">
            <w:pPr>
              <w:jc w:val="center"/>
            </w:pPr>
            <w:r>
              <w:rPr>
                <w:rFonts w:ascii="宋体" w:hAnsi="宋体" w:eastAsia="宋体"/>
                <w:sz w:val="16"/>
              </w:rPr>
              <w:t>得分</w:t>
            </w:r>
          </w:p>
        </w:tc>
      </w:tr>
      <w:tr w14:paraId="07F9FA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846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0719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14744">
            <w:pPr>
              <w:jc w:val="center"/>
            </w:pPr>
            <w:r>
              <w:rPr>
                <w:rFonts w:ascii="宋体" w:hAnsi="宋体" w:eastAsia="宋体"/>
                <w:sz w:val="16"/>
              </w:rPr>
              <w:t>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AC44C">
            <w:pPr>
              <w:jc w:val="center"/>
            </w:pPr>
            <w:r>
              <w:rPr>
                <w:rFonts w:ascii="宋体" w:hAnsi="宋体" w:eastAsia="宋体"/>
                <w:sz w:val="16"/>
              </w:rPr>
              <w:t>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82EA0">
            <w:pPr>
              <w:jc w:val="center"/>
            </w:pPr>
            <w:r>
              <w:rPr>
                <w:rFonts w:ascii="宋体" w:hAnsi="宋体" w:eastAsia="宋体"/>
                <w:sz w:val="16"/>
              </w:rPr>
              <w:t>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1C5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9BF1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A06E5">
            <w:pPr>
              <w:jc w:val="center"/>
            </w:pPr>
            <w:r>
              <w:rPr>
                <w:rFonts w:ascii="宋体" w:hAnsi="宋体" w:eastAsia="宋体"/>
                <w:sz w:val="16"/>
              </w:rPr>
              <w:t>10.00分</w:t>
            </w:r>
          </w:p>
        </w:tc>
      </w:tr>
      <w:tr w14:paraId="08863E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8EA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7FDE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8A65C">
            <w:pPr>
              <w:jc w:val="center"/>
            </w:pPr>
            <w:r>
              <w:rPr>
                <w:rFonts w:ascii="宋体" w:hAnsi="宋体" w:eastAsia="宋体"/>
                <w:sz w:val="16"/>
              </w:rPr>
              <w:t>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E6BBA">
            <w:pPr>
              <w:jc w:val="center"/>
            </w:pPr>
            <w:r>
              <w:rPr>
                <w:rFonts w:ascii="宋体" w:hAnsi="宋体" w:eastAsia="宋体"/>
                <w:sz w:val="16"/>
              </w:rPr>
              <w:t>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63032">
            <w:pPr>
              <w:jc w:val="center"/>
            </w:pPr>
            <w:r>
              <w:rPr>
                <w:rFonts w:ascii="宋体" w:hAnsi="宋体" w:eastAsia="宋体"/>
                <w:sz w:val="16"/>
              </w:rPr>
              <w:t>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A48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238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A362F">
            <w:pPr>
              <w:jc w:val="center"/>
            </w:pPr>
            <w:r>
              <w:rPr>
                <w:rFonts w:ascii="宋体" w:hAnsi="宋体" w:eastAsia="宋体"/>
                <w:sz w:val="16"/>
              </w:rPr>
              <w:t>—</w:t>
            </w:r>
          </w:p>
        </w:tc>
      </w:tr>
      <w:tr w14:paraId="61607E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9561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90C9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284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B5D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923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FFC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FDF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AB7E4">
            <w:pPr>
              <w:jc w:val="center"/>
            </w:pPr>
            <w:r>
              <w:rPr>
                <w:rFonts w:ascii="宋体" w:hAnsi="宋体" w:eastAsia="宋体"/>
                <w:sz w:val="16"/>
              </w:rPr>
              <w:t>—</w:t>
            </w:r>
          </w:p>
        </w:tc>
      </w:tr>
      <w:tr w14:paraId="5125E5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9F1D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8683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63F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B99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608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DA9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E09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71273">
            <w:pPr>
              <w:jc w:val="center"/>
            </w:pPr>
            <w:r>
              <w:rPr>
                <w:rFonts w:ascii="宋体" w:hAnsi="宋体" w:eastAsia="宋体"/>
                <w:sz w:val="16"/>
              </w:rPr>
              <w:t>—</w:t>
            </w:r>
          </w:p>
        </w:tc>
      </w:tr>
      <w:tr w14:paraId="22F846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5A50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E16DE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458E22">
            <w:pPr>
              <w:jc w:val="center"/>
            </w:pPr>
            <w:r>
              <w:rPr>
                <w:rFonts w:ascii="宋体" w:hAnsi="宋体" w:eastAsia="宋体"/>
                <w:sz w:val="16"/>
              </w:rPr>
              <w:t>实际完成情况</w:t>
            </w:r>
          </w:p>
        </w:tc>
      </w:tr>
      <w:tr w14:paraId="0C2A2B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45BF6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DA3803">
            <w:pPr>
              <w:ind w:firstLine="320" w:firstLineChars="200"/>
              <w:jc w:val="both"/>
            </w:pPr>
            <w:r>
              <w:rPr>
                <w:rFonts w:ascii="宋体" w:hAnsi="宋体" w:eastAsia="宋体"/>
                <w:sz w:val="16"/>
              </w:rPr>
              <w:t>本项目实施主要内容为：1.退还1人多缴工资，资金使用合规率100%</w:t>
            </w:r>
            <w:r>
              <w:rPr>
                <w:rFonts w:hint="eastAsia" w:ascii="宋体" w:hAnsi="宋体"/>
                <w:sz w:val="16"/>
                <w:lang w:eastAsia="zh-CN"/>
              </w:rPr>
              <w:t>。</w:t>
            </w:r>
            <w:r>
              <w:rPr>
                <w:rFonts w:ascii="宋体" w:hAnsi="宋体" w:eastAsia="宋体"/>
                <w:sz w:val="16"/>
              </w:rPr>
              <w:t>2.资金及时率达到100%，项目完成时间2024年7月底前</w:t>
            </w:r>
            <w:r>
              <w:rPr>
                <w:rFonts w:hint="eastAsia" w:ascii="宋体" w:hAnsi="宋体"/>
                <w:sz w:val="16"/>
                <w:lang w:eastAsia="zh-CN"/>
              </w:rPr>
              <w:t>。</w:t>
            </w:r>
            <w:r>
              <w:rPr>
                <w:rFonts w:ascii="宋体" w:hAnsi="宋体" w:eastAsia="宋体"/>
                <w:sz w:val="16"/>
              </w:rPr>
              <w:t>3.完成退还多缴工资0.37万元，有助于减少干部的经济压力，受益满意度不低于95%。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FB9D63">
            <w:pPr>
              <w:ind w:firstLine="320" w:firstLineChars="200"/>
              <w:jc w:val="both"/>
            </w:pPr>
            <w:r>
              <w:rPr>
                <w:rFonts w:hint="eastAsia" w:ascii="宋体" w:hAnsi="宋体"/>
                <w:sz w:val="16"/>
                <w:lang w:eastAsia="zh-CN"/>
              </w:rPr>
              <w:t>截至</w:t>
            </w:r>
            <w:r>
              <w:rPr>
                <w:rFonts w:ascii="宋体" w:hAnsi="宋体" w:eastAsia="宋体"/>
                <w:sz w:val="16"/>
              </w:rPr>
              <w:t>2024年12月31日，本项目实际形成支出0.37万元，已完成退还1人多缴工资的任务，达到了减少干部的经济压力的效益，受益人员满意度达到了100%。</w:t>
            </w:r>
          </w:p>
        </w:tc>
      </w:tr>
      <w:tr w14:paraId="3CF5F1E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CBACC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71A8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A4B8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D797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2965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519B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6390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2A66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A01E1">
            <w:pPr>
              <w:jc w:val="center"/>
            </w:pPr>
            <w:r>
              <w:rPr>
                <w:rFonts w:ascii="宋体" w:hAnsi="宋体" w:eastAsia="宋体"/>
                <w:sz w:val="16"/>
              </w:rPr>
              <w:t>偏差原因分析及改进措施</w:t>
            </w:r>
          </w:p>
        </w:tc>
      </w:tr>
      <w:tr w14:paraId="263286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F2E1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CC7F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1C09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97047">
            <w:pPr>
              <w:jc w:val="center"/>
            </w:pPr>
            <w:r>
              <w:rPr>
                <w:rFonts w:ascii="宋体" w:hAnsi="宋体" w:eastAsia="宋体"/>
                <w:sz w:val="16"/>
              </w:rPr>
              <w:t>返还多缴人员人数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93598">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7395E">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052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43A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1602F">
            <w:pPr>
              <w:jc w:val="center"/>
            </w:pPr>
          </w:p>
        </w:tc>
      </w:tr>
      <w:tr w14:paraId="4B1862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A59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7ED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8F2C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95FD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CAA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D73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B5D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81C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98B94">
            <w:pPr>
              <w:jc w:val="center"/>
            </w:pPr>
          </w:p>
        </w:tc>
      </w:tr>
      <w:tr w14:paraId="1B70F5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249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A8043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3AD0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396F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D8C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F95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974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A25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AF79B">
            <w:pPr>
              <w:jc w:val="center"/>
            </w:pPr>
          </w:p>
        </w:tc>
      </w:tr>
      <w:tr w14:paraId="2BCF42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C5EB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443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770C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DD91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153E6">
            <w:pPr>
              <w:jc w:val="center"/>
            </w:pPr>
            <w:r>
              <w:rPr>
                <w:rFonts w:ascii="宋体" w:hAnsi="宋体" w:eastAsia="宋体"/>
                <w:sz w:val="16"/>
              </w:rPr>
              <w:t>2024年7月底前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3CB86">
            <w:pPr>
              <w:jc w:val="center"/>
            </w:pPr>
            <w:r>
              <w:rPr>
                <w:rFonts w:ascii="宋体" w:hAnsi="宋体" w:eastAsia="宋体"/>
                <w:sz w:val="16"/>
              </w:rPr>
              <w:t>2024年7月31日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C27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B4C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DABED">
            <w:pPr>
              <w:jc w:val="center"/>
            </w:pPr>
          </w:p>
        </w:tc>
      </w:tr>
      <w:tr w14:paraId="6D347D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CEE5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C193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C4CD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6B611">
            <w:pPr>
              <w:jc w:val="center"/>
            </w:pPr>
            <w:r>
              <w:rPr>
                <w:rFonts w:ascii="宋体" w:hAnsi="宋体" w:eastAsia="宋体"/>
                <w:sz w:val="16"/>
              </w:rPr>
              <w:t>返还多缴费用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3AB0E">
            <w:pPr>
              <w:jc w:val="center"/>
            </w:pPr>
            <w:r>
              <w:rPr>
                <w:rFonts w:ascii="宋体" w:hAnsi="宋体" w:eastAsia="宋体"/>
                <w:sz w:val="16"/>
              </w:rPr>
              <w:t>≤0.37万元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F3880">
            <w:pPr>
              <w:jc w:val="center"/>
            </w:pPr>
            <w:r>
              <w:rPr>
                <w:rFonts w:ascii="宋体" w:hAnsi="宋体" w:eastAsia="宋体"/>
                <w:sz w:val="16"/>
              </w:rPr>
              <w:t>=0.37万元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CCD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55C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24E83">
            <w:pPr>
              <w:jc w:val="center"/>
            </w:pPr>
          </w:p>
        </w:tc>
      </w:tr>
      <w:tr w14:paraId="31542F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9A0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A7C5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E485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5B4C1">
            <w:pPr>
              <w:jc w:val="center"/>
            </w:pPr>
            <w:r>
              <w:rPr>
                <w:rFonts w:ascii="宋体" w:hAnsi="宋体" w:eastAsia="宋体"/>
                <w:sz w:val="16"/>
              </w:rPr>
              <w:t>有助于减少干部的经济压力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E0E6E">
            <w:pPr>
              <w:jc w:val="center"/>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DCC47">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2485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286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60328">
            <w:pPr>
              <w:jc w:val="center"/>
            </w:pPr>
          </w:p>
        </w:tc>
      </w:tr>
      <w:tr w14:paraId="3FF39F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C89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09AC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7E80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17913">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87A4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BD7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A23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2B3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C9CD2">
            <w:pPr>
              <w:jc w:val="center"/>
            </w:pPr>
          </w:p>
        </w:tc>
      </w:tr>
      <w:tr w14:paraId="431FCD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54BC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67EB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B0CD2">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7B1B77">
            <w:pPr>
              <w:jc w:val="center"/>
            </w:pPr>
            <w:r>
              <w:rPr>
                <w:rFonts w:ascii="宋体" w:hAnsi="宋体" w:eastAsia="宋体"/>
                <w:sz w:val="16"/>
              </w:rPr>
              <w:t>100分</w:t>
            </w:r>
          </w:p>
        </w:tc>
      </w:tr>
    </w:tbl>
    <w:p w14:paraId="79C296D7">
      <w:r>
        <w:br w:type="page"/>
      </w:r>
    </w:p>
    <w:p w14:paraId="1FFD4040">
      <w:pPr>
        <w:spacing w:line="640" w:lineRule="exact"/>
        <w:ind w:firstLine="640"/>
        <w:jc w:val="both"/>
        <w:outlineLvl w:val="2"/>
      </w:pPr>
      <w:r>
        <w:rPr>
          <w:rFonts w:ascii="黑体" w:hAnsi="黑体" w:eastAsia="黑体"/>
          <w:sz w:val="32"/>
        </w:rPr>
        <w:t>十二、其他需说明的事项</w:t>
      </w:r>
    </w:p>
    <w:p w14:paraId="5442BA3D">
      <w:pPr>
        <w:spacing w:line="580" w:lineRule="exact"/>
        <w:ind w:firstLine="640"/>
        <w:jc w:val="both"/>
      </w:pPr>
      <w:r>
        <w:rPr>
          <w:rFonts w:ascii="仿宋_GB2312" w:hAnsi="仿宋_GB2312" w:eastAsia="仿宋_GB2312"/>
          <w:b w:val="0"/>
          <w:sz w:val="32"/>
        </w:rPr>
        <w:t>本单位无其他需说明的事项。</w:t>
      </w:r>
    </w:p>
    <w:p w14:paraId="4D7CC3DC">
      <w:r>
        <w:br w:type="page"/>
      </w:r>
    </w:p>
    <w:p w14:paraId="050BA1C4">
      <w:pPr>
        <w:spacing w:line="240" w:lineRule="auto"/>
        <w:jc w:val="center"/>
        <w:outlineLvl w:val="1"/>
      </w:pPr>
      <w:r>
        <w:rPr>
          <w:rFonts w:ascii="黑体" w:hAnsi="黑体" w:eastAsia="黑体"/>
          <w:sz w:val="32"/>
        </w:rPr>
        <w:t>第三部分 专业名词解释</w:t>
      </w:r>
    </w:p>
    <w:p w14:paraId="4947215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AB2CE4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458843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3BBCE8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397081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812D34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8E21D3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982486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31E78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DB0985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6CD7E9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09937B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2F7E1D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D1919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45CA356">
      <w:r>
        <w:br w:type="page"/>
      </w:r>
    </w:p>
    <w:p w14:paraId="47E48DA8">
      <w:pPr>
        <w:spacing w:line="240" w:lineRule="auto"/>
        <w:jc w:val="center"/>
        <w:outlineLvl w:val="1"/>
      </w:pPr>
      <w:r>
        <w:rPr>
          <w:rFonts w:ascii="黑体" w:hAnsi="黑体" w:eastAsia="黑体"/>
          <w:sz w:val="32"/>
        </w:rPr>
        <w:t>第四部分 部门决算报表（见附表）</w:t>
      </w:r>
    </w:p>
    <w:p w14:paraId="720994A2">
      <w:pPr>
        <w:spacing w:line="240" w:lineRule="auto"/>
        <w:ind w:firstLine="640"/>
        <w:jc w:val="both"/>
      </w:pPr>
      <w:r>
        <w:rPr>
          <w:rFonts w:ascii="仿宋_GB2312" w:hAnsi="仿宋_GB2312" w:eastAsia="仿宋_GB2312"/>
          <w:b w:val="0"/>
          <w:sz w:val="32"/>
        </w:rPr>
        <w:t>一、《收入支出决算总表》</w:t>
      </w:r>
    </w:p>
    <w:p w14:paraId="245188F4">
      <w:pPr>
        <w:spacing w:line="240" w:lineRule="auto"/>
        <w:ind w:firstLine="640"/>
        <w:jc w:val="both"/>
      </w:pPr>
      <w:r>
        <w:rPr>
          <w:rFonts w:ascii="仿宋_GB2312" w:hAnsi="仿宋_GB2312" w:eastAsia="仿宋_GB2312"/>
          <w:b w:val="0"/>
          <w:sz w:val="32"/>
        </w:rPr>
        <w:t>二、《收入决算表》</w:t>
      </w:r>
    </w:p>
    <w:p w14:paraId="0ED9E7D0">
      <w:pPr>
        <w:spacing w:line="240" w:lineRule="auto"/>
        <w:ind w:firstLine="640"/>
        <w:jc w:val="both"/>
      </w:pPr>
      <w:r>
        <w:rPr>
          <w:rFonts w:ascii="仿宋_GB2312" w:hAnsi="仿宋_GB2312" w:eastAsia="仿宋_GB2312"/>
          <w:b w:val="0"/>
          <w:sz w:val="32"/>
        </w:rPr>
        <w:t>三、《支出决算表》</w:t>
      </w:r>
    </w:p>
    <w:p w14:paraId="0E14D3A8">
      <w:pPr>
        <w:spacing w:line="240" w:lineRule="auto"/>
        <w:ind w:firstLine="640"/>
        <w:jc w:val="both"/>
      </w:pPr>
      <w:r>
        <w:rPr>
          <w:rFonts w:ascii="仿宋_GB2312" w:hAnsi="仿宋_GB2312" w:eastAsia="仿宋_GB2312"/>
          <w:b w:val="0"/>
          <w:sz w:val="32"/>
        </w:rPr>
        <w:t>四、《财政拨款收入支出决算总表》</w:t>
      </w:r>
    </w:p>
    <w:p w14:paraId="0C51BE37">
      <w:pPr>
        <w:spacing w:line="240" w:lineRule="auto"/>
        <w:ind w:firstLine="640"/>
        <w:jc w:val="both"/>
      </w:pPr>
      <w:r>
        <w:rPr>
          <w:rFonts w:ascii="仿宋_GB2312" w:hAnsi="仿宋_GB2312" w:eastAsia="仿宋_GB2312"/>
          <w:b w:val="0"/>
          <w:sz w:val="32"/>
        </w:rPr>
        <w:t>五、《一般公共预算财政拨款支出决算表》</w:t>
      </w:r>
    </w:p>
    <w:p w14:paraId="3B2BB41E">
      <w:pPr>
        <w:spacing w:line="240" w:lineRule="auto"/>
        <w:ind w:firstLine="640"/>
        <w:jc w:val="both"/>
      </w:pPr>
      <w:r>
        <w:rPr>
          <w:rFonts w:ascii="仿宋_GB2312" w:hAnsi="仿宋_GB2312" w:eastAsia="仿宋_GB2312"/>
          <w:b w:val="0"/>
          <w:sz w:val="32"/>
        </w:rPr>
        <w:t>六、《一般公共预算财政拨款基本支出决算表》</w:t>
      </w:r>
    </w:p>
    <w:p w14:paraId="631FDDFA">
      <w:pPr>
        <w:spacing w:line="240" w:lineRule="auto"/>
        <w:ind w:firstLine="640"/>
        <w:jc w:val="both"/>
      </w:pPr>
      <w:r>
        <w:rPr>
          <w:rFonts w:ascii="仿宋_GB2312" w:hAnsi="仿宋_GB2312" w:eastAsia="仿宋_GB2312"/>
          <w:b w:val="0"/>
          <w:sz w:val="32"/>
        </w:rPr>
        <w:t>七、《政府性基金预算财政拨款收入支出决算表》</w:t>
      </w:r>
    </w:p>
    <w:p w14:paraId="36F77836">
      <w:pPr>
        <w:spacing w:line="240" w:lineRule="auto"/>
        <w:ind w:firstLine="640"/>
        <w:jc w:val="both"/>
      </w:pPr>
      <w:r>
        <w:rPr>
          <w:rFonts w:ascii="仿宋_GB2312" w:hAnsi="仿宋_GB2312" w:eastAsia="仿宋_GB2312"/>
          <w:b w:val="0"/>
          <w:sz w:val="32"/>
        </w:rPr>
        <w:t>八、《国有资本经营预算财政拨款收入支出决算表》</w:t>
      </w:r>
    </w:p>
    <w:p w14:paraId="675771D7">
      <w:pPr>
        <w:spacing w:line="240" w:lineRule="auto"/>
        <w:ind w:firstLine="640"/>
        <w:jc w:val="both"/>
      </w:pPr>
      <w:r>
        <w:rPr>
          <w:rFonts w:ascii="仿宋_GB2312" w:hAnsi="仿宋_GB2312" w:eastAsia="仿宋_GB2312"/>
          <w:b w:val="0"/>
          <w:sz w:val="32"/>
        </w:rPr>
        <w:t>九、《财政拨款“三公”经费支出决算表》</w:t>
      </w:r>
    </w:p>
    <w:p w14:paraId="0C1C30CF">
      <w:pPr>
        <w:spacing w:line="240" w:lineRule="auto"/>
        <w:ind w:firstLine="640"/>
        <w:jc w:val="both"/>
      </w:pPr>
    </w:p>
    <w:p w14:paraId="493FEED9">
      <w:pPr>
        <w:spacing w:line="240" w:lineRule="auto"/>
        <w:ind w:firstLine="640"/>
        <w:jc w:val="both"/>
      </w:pPr>
    </w:p>
    <w:p w14:paraId="58A3202D">
      <w:pPr>
        <w:spacing w:line="240" w:lineRule="auto"/>
        <w:ind w:firstLine="640"/>
        <w:jc w:val="both"/>
      </w:pPr>
    </w:p>
    <w:p w14:paraId="51F49B01">
      <w:pPr>
        <w:spacing w:line="240" w:lineRule="auto"/>
        <w:ind w:firstLine="640"/>
        <w:jc w:val="both"/>
      </w:pPr>
    </w:p>
    <w:p w14:paraId="11B5336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2959CA"/>
    <w:rsid w:val="09A729D8"/>
    <w:rsid w:val="0A3C58E8"/>
    <w:rsid w:val="0A7B4867"/>
    <w:rsid w:val="0B8C3ECC"/>
    <w:rsid w:val="0C3613A3"/>
    <w:rsid w:val="0C7227A7"/>
    <w:rsid w:val="0DB059E8"/>
    <w:rsid w:val="0DCA6EF7"/>
    <w:rsid w:val="0E4B1576"/>
    <w:rsid w:val="0EA04331"/>
    <w:rsid w:val="0F9811B3"/>
    <w:rsid w:val="11B036FF"/>
    <w:rsid w:val="11E15093"/>
    <w:rsid w:val="120E0809"/>
    <w:rsid w:val="17764568"/>
    <w:rsid w:val="19071D6C"/>
    <w:rsid w:val="19B5554D"/>
    <w:rsid w:val="1B893038"/>
    <w:rsid w:val="1B8F2D19"/>
    <w:rsid w:val="1BD21315"/>
    <w:rsid w:val="1C317E4F"/>
    <w:rsid w:val="1C472464"/>
    <w:rsid w:val="1DAF458D"/>
    <w:rsid w:val="1E086ACE"/>
    <w:rsid w:val="1E335C96"/>
    <w:rsid w:val="1E4B5CA5"/>
    <w:rsid w:val="1EAA4A5F"/>
    <w:rsid w:val="1F587A0B"/>
    <w:rsid w:val="1F7532BF"/>
    <w:rsid w:val="2064678E"/>
    <w:rsid w:val="20BC0B75"/>
    <w:rsid w:val="20DD6197"/>
    <w:rsid w:val="21F317F2"/>
    <w:rsid w:val="2241392C"/>
    <w:rsid w:val="23BC04D2"/>
    <w:rsid w:val="24424F5C"/>
    <w:rsid w:val="25275618"/>
    <w:rsid w:val="27CE017C"/>
    <w:rsid w:val="27CF2642"/>
    <w:rsid w:val="282459E2"/>
    <w:rsid w:val="29116777"/>
    <w:rsid w:val="2A053397"/>
    <w:rsid w:val="2A444FB1"/>
    <w:rsid w:val="2A6064E2"/>
    <w:rsid w:val="2A727AC6"/>
    <w:rsid w:val="2C1965E9"/>
    <w:rsid w:val="2D1136DF"/>
    <w:rsid w:val="2DAE0E44"/>
    <w:rsid w:val="2FD27414"/>
    <w:rsid w:val="313F1D52"/>
    <w:rsid w:val="318029AB"/>
    <w:rsid w:val="31C63837"/>
    <w:rsid w:val="326F0A17"/>
    <w:rsid w:val="3277581B"/>
    <w:rsid w:val="36A059EE"/>
    <w:rsid w:val="38006E2C"/>
    <w:rsid w:val="3914510A"/>
    <w:rsid w:val="39FF1CFC"/>
    <w:rsid w:val="3B1220C9"/>
    <w:rsid w:val="3B9C3029"/>
    <w:rsid w:val="3D5275AC"/>
    <w:rsid w:val="3EA7725F"/>
    <w:rsid w:val="3EC014A1"/>
    <w:rsid w:val="40834692"/>
    <w:rsid w:val="423A32B2"/>
    <w:rsid w:val="423C0CB4"/>
    <w:rsid w:val="426C35AD"/>
    <w:rsid w:val="427B5743"/>
    <w:rsid w:val="42E64542"/>
    <w:rsid w:val="464B7E04"/>
    <w:rsid w:val="464F7E64"/>
    <w:rsid w:val="46901EEE"/>
    <w:rsid w:val="469C74D2"/>
    <w:rsid w:val="47445515"/>
    <w:rsid w:val="47845604"/>
    <w:rsid w:val="4B4C0111"/>
    <w:rsid w:val="4BB23021"/>
    <w:rsid w:val="4E8B1908"/>
    <w:rsid w:val="4F3F074E"/>
    <w:rsid w:val="50DB5F45"/>
    <w:rsid w:val="52F92565"/>
    <w:rsid w:val="543D17CB"/>
    <w:rsid w:val="55DA564E"/>
    <w:rsid w:val="56E07045"/>
    <w:rsid w:val="583059FA"/>
    <w:rsid w:val="587E6212"/>
    <w:rsid w:val="5AFC6609"/>
    <w:rsid w:val="5C163E5D"/>
    <w:rsid w:val="5CF015FB"/>
    <w:rsid w:val="5FA17648"/>
    <w:rsid w:val="5FD320BD"/>
    <w:rsid w:val="60DE4D57"/>
    <w:rsid w:val="613227E3"/>
    <w:rsid w:val="613409CB"/>
    <w:rsid w:val="6178660C"/>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0F2A70"/>
    <w:rsid w:val="71473612"/>
    <w:rsid w:val="718F7F65"/>
    <w:rsid w:val="73423603"/>
    <w:rsid w:val="737A5923"/>
    <w:rsid w:val="73DE4104"/>
    <w:rsid w:val="73FB6630"/>
    <w:rsid w:val="74CE04EC"/>
    <w:rsid w:val="74E76DCD"/>
    <w:rsid w:val="76660D7C"/>
    <w:rsid w:val="77ED6F44"/>
    <w:rsid w:val="795A0A34"/>
    <w:rsid w:val="7A0D3BC7"/>
    <w:rsid w:val="7A3A3CDB"/>
    <w:rsid w:val="7C784716"/>
    <w:rsid w:val="7FDD45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5305</Words>
  <Characters>6279</Characters>
  <Lines>0</Lines>
  <Paragraphs>0</Paragraphs>
  <TotalTime>4</TotalTime>
  <ScaleCrop>false</ScaleCrop>
  <LinksUpToDate>false</LinksUpToDate>
  <CharactersWithSpaces>6297</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2025-10-24T12:55:34Z</cp:lastPrinted>
  <dcterms:modified xsi:type="dcterms:W3CDTF">2025-10-24T12:56:06Z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eyJoZGlkIjoiYWJmNTAxYTA0NTllZTU0OWY5NWY0MWNlMzBjNGU2OTYiLCJ1c2VySWQiOiIxNzAyNzM4NTM4In0=</vt:lpwstr>
  </property>
</Properties>
</file>