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和田地区教学研究室2024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7788DCAA">
      <w:r>
        <w:br w:type="page"/>
      </w:r>
    </w:p>
    <w:p w14:paraId="7AB3F291">
      <w:pPr>
        <w:spacing w:line="640" w:lineRule="exact"/>
        <w:jc w:val="center"/>
        <w:outlineLvl w:val="1"/>
      </w:pPr>
      <w:r>
        <w:rPr>
          <w:rFonts w:ascii="黑体" w:hAnsi="黑体" w:eastAsia="黑体"/>
          <w:sz w:val="32"/>
        </w:rPr>
        <w:t>第一部分 单位概况</w:t>
      </w:r>
    </w:p>
    <w:p w14:paraId="37076728">
      <w:pPr>
        <w:spacing w:line="640" w:lineRule="exact"/>
        <w:ind w:firstLine="640"/>
        <w:jc w:val="both"/>
        <w:outlineLvl w:val="2"/>
      </w:pPr>
      <w:r>
        <w:rPr>
          <w:rFonts w:ascii="黑体" w:hAnsi="黑体" w:eastAsia="黑体"/>
          <w:sz w:val="32"/>
        </w:rPr>
        <w:t>一、主要职能</w:t>
      </w:r>
    </w:p>
    <w:p w14:paraId="720CDF1C">
      <w:pPr>
        <w:spacing w:line="580" w:lineRule="exact"/>
        <w:ind w:firstLine="640"/>
        <w:jc w:val="both"/>
      </w:pPr>
      <w:r>
        <w:rPr>
          <w:rFonts w:ascii="仿宋_GB2312" w:hAnsi="仿宋_GB2312" w:eastAsia="仿宋_GB2312"/>
          <w:sz w:val="32"/>
        </w:rPr>
        <w:t>负责课程实施及其培训与引领、教学研究与研讨；教改实验与推广；师资培训的规划与实施；基础教育质量评估分析；组织各类教研活动；实施校本研修；组织全地区中小学校学期末终结性评价的命题、制卷和质量分析；配合国家、自治区组织开展各类学科竞赛；组织课堂教学竞赛优化课堂教学；实施《名师</w:t>
      </w:r>
      <w:r>
        <w:rPr>
          <w:rFonts w:hint="eastAsia" w:ascii="仿宋_GB2312" w:hAnsi="仿宋_GB2312" w:eastAsia="仿宋_GB2312"/>
          <w:sz w:val="32"/>
          <w:lang w:eastAsia="zh-CN"/>
        </w:rPr>
        <w:t>》《</w:t>
      </w:r>
      <w:r>
        <w:rPr>
          <w:rFonts w:ascii="仿宋_GB2312" w:hAnsi="仿宋_GB2312" w:eastAsia="仿宋_GB2312"/>
          <w:sz w:val="32"/>
        </w:rPr>
        <w:t>名校》工程；研究基础教育现状、提出对策、为教育决策提供依据。</w:t>
      </w:r>
    </w:p>
    <w:p w14:paraId="3ACAFCE4">
      <w:pPr>
        <w:spacing w:line="640" w:lineRule="exact"/>
        <w:ind w:firstLine="640"/>
        <w:jc w:val="both"/>
        <w:outlineLvl w:val="2"/>
      </w:pPr>
      <w:r>
        <w:rPr>
          <w:rFonts w:ascii="黑体" w:hAnsi="黑体" w:eastAsia="黑体"/>
          <w:sz w:val="32"/>
        </w:rPr>
        <w:t>二、机构设置及人员情况</w:t>
      </w:r>
    </w:p>
    <w:p w14:paraId="7EF51EE5">
      <w:pPr>
        <w:spacing w:line="580" w:lineRule="exact"/>
        <w:ind w:firstLine="640"/>
        <w:jc w:val="both"/>
      </w:pPr>
      <w:r>
        <w:rPr>
          <w:rFonts w:ascii="仿宋_GB2312" w:hAnsi="仿宋_GB2312" w:eastAsia="仿宋_GB2312"/>
          <w:sz w:val="32"/>
        </w:rPr>
        <w:t>和田地区教学研究室2024年度，实有人数26人，其中：在职人员19人，减少2人；离休人员0人，增加0人；退休人员7人,增加0人。</w:t>
      </w:r>
    </w:p>
    <w:p w14:paraId="551A7203">
      <w:pPr>
        <w:spacing w:line="580" w:lineRule="exact"/>
        <w:ind w:firstLine="640"/>
        <w:jc w:val="both"/>
      </w:pPr>
      <w:r>
        <w:rPr>
          <w:rFonts w:ascii="仿宋_GB2312" w:hAnsi="仿宋_GB2312" w:eastAsia="仿宋_GB2312"/>
          <w:sz w:val="32"/>
        </w:rPr>
        <w:t>和田地区教学研究室无下属预算单位，下设1个科室，分别是：教学研究室。</w:t>
      </w:r>
    </w:p>
    <w:p w14:paraId="3E85968D">
      <w:r>
        <w:br w:type="page"/>
      </w:r>
    </w:p>
    <w:p w14:paraId="5FD0D7F8">
      <w:pPr>
        <w:spacing w:line="240" w:lineRule="auto"/>
        <w:jc w:val="center"/>
        <w:outlineLvl w:val="1"/>
      </w:pPr>
      <w:r>
        <w:rPr>
          <w:rFonts w:ascii="黑体" w:hAnsi="黑体" w:eastAsia="黑体"/>
          <w:sz w:val="32"/>
        </w:rPr>
        <w:t>第二部分 部门决算情况说明</w:t>
      </w:r>
    </w:p>
    <w:p w14:paraId="3F10EB3F">
      <w:pPr>
        <w:spacing w:line="640" w:lineRule="exact"/>
        <w:ind w:firstLine="640"/>
        <w:jc w:val="both"/>
        <w:outlineLvl w:val="2"/>
      </w:pPr>
      <w:r>
        <w:rPr>
          <w:rFonts w:ascii="黑体" w:hAnsi="黑体" w:eastAsia="黑体"/>
          <w:sz w:val="32"/>
        </w:rPr>
        <w:t>一、收入支出决算总体情况说明</w:t>
      </w:r>
    </w:p>
    <w:p w14:paraId="38531659">
      <w:pPr>
        <w:spacing w:line="580" w:lineRule="exact"/>
        <w:ind w:firstLine="640"/>
        <w:jc w:val="both"/>
      </w:pPr>
      <w:r>
        <w:rPr>
          <w:rFonts w:ascii="仿宋_GB2312" w:hAnsi="仿宋_GB2312" w:eastAsia="仿宋_GB2312"/>
          <w:b/>
          <w:sz w:val="32"/>
        </w:rPr>
        <w:t>2024年度收入总计555.28万元，</w:t>
      </w:r>
      <w:r>
        <w:rPr>
          <w:rFonts w:ascii="仿宋_GB2312" w:hAnsi="仿宋_GB2312" w:eastAsia="仿宋_GB2312"/>
          <w:b w:val="0"/>
          <w:sz w:val="32"/>
        </w:rPr>
        <w:t>其中：本年收入合计548.14万元，使用非财政拨款结余（含专用结余）0.00万元，年初结转和结余7.14万元。</w:t>
      </w:r>
    </w:p>
    <w:p w14:paraId="4D63FDD4">
      <w:pPr>
        <w:spacing w:line="580" w:lineRule="exact"/>
        <w:ind w:firstLine="640"/>
        <w:jc w:val="both"/>
      </w:pPr>
      <w:r>
        <w:rPr>
          <w:rFonts w:ascii="仿宋_GB2312" w:hAnsi="仿宋_GB2312" w:eastAsia="仿宋_GB2312"/>
          <w:b/>
          <w:sz w:val="32"/>
        </w:rPr>
        <w:t>2024年度支出总计555.28万元，</w:t>
      </w:r>
      <w:r>
        <w:rPr>
          <w:rFonts w:ascii="仿宋_GB2312" w:hAnsi="仿宋_GB2312" w:eastAsia="仿宋_GB2312"/>
          <w:b w:val="0"/>
          <w:sz w:val="32"/>
        </w:rPr>
        <w:t>其中：本年支出合计548.17万元，结余分配0.00万元，年末结转和结余7.11万元。</w:t>
      </w:r>
    </w:p>
    <w:p w14:paraId="451A0ACC">
      <w:pPr>
        <w:spacing w:line="580" w:lineRule="exact"/>
        <w:ind w:firstLine="640"/>
        <w:jc w:val="both"/>
      </w:pPr>
      <w:r>
        <w:rPr>
          <w:rFonts w:ascii="仿宋_GB2312" w:hAnsi="仿宋_GB2312" w:eastAsia="仿宋_GB2312"/>
          <w:b w:val="0"/>
          <w:sz w:val="32"/>
        </w:rPr>
        <w:t>收入支出总体与上年相比，减少40.17万元，下降6.75%，主要原因是：本年在职人员减少，相关人员经费减少；减少援疆干部津贴项目，导致经费较上年减少。</w:t>
      </w:r>
    </w:p>
    <w:p w14:paraId="7AD57CC3">
      <w:pPr>
        <w:spacing w:line="640" w:lineRule="exact"/>
        <w:ind w:firstLine="640"/>
        <w:jc w:val="both"/>
        <w:outlineLvl w:val="2"/>
      </w:pPr>
      <w:r>
        <w:rPr>
          <w:rFonts w:ascii="黑体" w:hAnsi="黑体" w:eastAsia="黑体"/>
          <w:sz w:val="32"/>
        </w:rPr>
        <w:t>二、收入决算情况说明</w:t>
      </w:r>
    </w:p>
    <w:p w14:paraId="13110A01">
      <w:pPr>
        <w:spacing w:line="580" w:lineRule="exact"/>
        <w:ind w:firstLine="640"/>
        <w:jc w:val="both"/>
      </w:pPr>
      <w:r>
        <w:rPr>
          <w:rFonts w:ascii="仿宋_GB2312" w:hAnsi="仿宋_GB2312" w:eastAsia="仿宋_GB2312"/>
          <w:b/>
          <w:sz w:val="32"/>
        </w:rPr>
        <w:t>本年收入548.14万元，</w:t>
      </w:r>
      <w:r>
        <w:rPr>
          <w:rFonts w:ascii="仿宋_GB2312" w:hAnsi="仿宋_GB2312" w:eastAsia="仿宋_GB2312"/>
          <w:b w:val="0"/>
          <w:sz w:val="32"/>
        </w:rPr>
        <w:t>其中：财政拨款收入548.10万元，占99.99%；上级补助收入0.00万元，占0.00%；事业收入0.00万元，占0.00%；经营收入0.00万元，占0.00%；附属单位上缴收入0.00万元，占0.00%；其他收入0.04万元，占0.007%。</w:t>
      </w:r>
    </w:p>
    <w:p w14:paraId="5EF07D83">
      <w:pPr>
        <w:spacing w:line="640" w:lineRule="exact"/>
        <w:ind w:firstLine="640"/>
        <w:jc w:val="both"/>
        <w:outlineLvl w:val="2"/>
      </w:pPr>
      <w:r>
        <w:rPr>
          <w:rFonts w:ascii="黑体" w:hAnsi="黑体" w:eastAsia="黑体"/>
          <w:sz w:val="32"/>
        </w:rPr>
        <w:t>三、支出决算情况说明</w:t>
      </w:r>
    </w:p>
    <w:p w14:paraId="476F2C4B">
      <w:pPr>
        <w:spacing w:line="580" w:lineRule="exact"/>
        <w:ind w:firstLine="640"/>
        <w:jc w:val="both"/>
      </w:pPr>
      <w:r>
        <w:rPr>
          <w:rFonts w:ascii="仿宋_GB2312" w:hAnsi="仿宋_GB2312" w:eastAsia="仿宋_GB2312"/>
          <w:b/>
          <w:sz w:val="32"/>
        </w:rPr>
        <w:t>本年支出548.17万元，</w:t>
      </w:r>
      <w:r>
        <w:rPr>
          <w:rFonts w:ascii="仿宋_GB2312" w:hAnsi="仿宋_GB2312" w:eastAsia="仿宋_GB2312"/>
          <w:b w:val="0"/>
          <w:sz w:val="32"/>
        </w:rPr>
        <w:t>其中：基本支出530.12万元，占96.71%；项目支出18.05万元，占3.29%；上缴上级支出0.00万元，占0.00%；经营支出0.00万元，占0.00%；对附属单位补助支出0.00万元，占0.00%。</w:t>
      </w:r>
    </w:p>
    <w:p w14:paraId="2472A51E">
      <w:pPr>
        <w:spacing w:line="640" w:lineRule="exact"/>
        <w:ind w:firstLine="640"/>
        <w:jc w:val="both"/>
        <w:outlineLvl w:val="2"/>
      </w:pPr>
      <w:r>
        <w:rPr>
          <w:rFonts w:ascii="黑体" w:hAnsi="黑体" w:eastAsia="黑体"/>
          <w:sz w:val="32"/>
        </w:rPr>
        <w:t>四、财政拨款收入支出决算总体情况说明</w:t>
      </w:r>
    </w:p>
    <w:p w14:paraId="651A2EF6">
      <w:pPr>
        <w:spacing w:line="580" w:lineRule="exact"/>
        <w:ind w:firstLine="640"/>
        <w:jc w:val="both"/>
      </w:pPr>
      <w:r>
        <w:rPr>
          <w:rFonts w:ascii="仿宋_GB2312" w:hAnsi="仿宋_GB2312" w:eastAsia="仿宋_GB2312"/>
          <w:b/>
          <w:sz w:val="32"/>
        </w:rPr>
        <w:t>2024年度财政拨款收入总计548.10万元，</w:t>
      </w:r>
      <w:r>
        <w:rPr>
          <w:rFonts w:ascii="仿宋_GB2312" w:hAnsi="仿宋_GB2312" w:eastAsia="仿宋_GB2312"/>
          <w:b w:val="0"/>
          <w:sz w:val="32"/>
        </w:rPr>
        <w:t>其中：年初财政拨款结转和结余0.00万元，本年财政拨款收入548.10万元。</w:t>
      </w:r>
      <w:r>
        <w:rPr>
          <w:rFonts w:ascii="仿宋_GB2312" w:hAnsi="仿宋_GB2312" w:eastAsia="仿宋_GB2312"/>
          <w:b/>
          <w:sz w:val="32"/>
        </w:rPr>
        <w:t>财政拨款支出总计548.10万元，</w:t>
      </w:r>
      <w:r>
        <w:rPr>
          <w:rFonts w:ascii="仿宋_GB2312" w:hAnsi="仿宋_GB2312" w:eastAsia="仿宋_GB2312"/>
          <w:b w:val="0"/>
          <w:sz w:val="32"/>
        </w:rPr>
        <w:t>其中：年末财政拨款结转和结余0.00万元，本年财政拨款支出548.10万元。</w:t>
      </w:r>
    </w:p>
    <w:p w14:paraId="0F895E7C">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减少37.16万元，下降6.35%，主要原因是：本年在职人员减少，相关人员经费减少；教研专项经费减少，导致经费较上年减少。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年初预算数574.96万元，决算数548.10万元，预决算差异率-4.67%，主要原因是：本年在职人员减少，年中调减人员经费，导致预决算存在差异。</w:t>
      </w:r>
    </w:p>
    <w:p w14:paraId="2252A2EF">
      <w:pPr>
        <w:spacing w:line="640" w:lineRule="exact"/>
        <w:ind w:firstLine="640"/>
        <w:jc w:val="both"/>
        <w:outlineLvl w:val="2"/>
      </w:pPr>
      <w:r>
        <w:rPr>
          <w:rFonts w:ascii="黑体" w:hAnsi="黑体" w:eastAsia="黑体"/>
          <w:sz w:val="32"/>
        </w:rPr>
        <w:t>五、一般公共预算财政拨款支出决算情况说明</w:t>
      </w:r>
    </w:p>
    <w:p w14:paraId="04A670B8">
      <w:pPr>
        <w:spacing w:line="640" w:lineRule="exact"/>
        <w:ind w:firstLine="640"/>
        <w:jc w:val="both"/>
        <w:outlineLvl w:val="3"/>
      </w:pPr>
      <w:r>
        <w:rPr>
          <w:rFonts w:ascii="楷体_GB2312" w:hAnsi="楷体_GB2312" w:eastAsia="楷体_GB2312"/>
          <w:b/>
          <w:sz w:val="32"/>
        </w:rPr>
        <w:t>（一）一般公共预算财政拨款支出决算总体情况</w:t>
      </w:r>
    </w:p>
    <w:p w14:paraId="4FD0ACC3">
      <w:pPr>
        <w:spacing w:line="580" w:lineRule="exact"/>
        <w:ind w:firstLine="640"/>
        <w:jc w:val="both"/>
      </w:pPr>
      <w:r>
        <w:rPr>
          <w:rFonts w:ascii="仿宋_GB2312" w:hAnsi="仿宋_GB2312" w:eastAsia="仿宋_GB2312"/>
          <w:b/>
          <w:sz w:val="32"/>
        </w:rPr>
        <w:t>2024年度一般公共预算财政拨款支出548.10万元，</w:t>
      </w:r>
      <w:r>
        <w:rPr>
          <w:rFonts w:ascii="仿宋_GB2312" w:hAnsi="仿宋_GB2312" w:eastAsia="仿宋_GB2312"/>
          <w:b w:val="0"/>
          <w:sz w:val="32"/>
        </w:rPr>
        <w:t>占本年支出合计的99.99%。</w:t>
      </w:r>
      <w:r>
        <w:rPr>
          <w:rFonts w:ascii="仿宋_GB2312" w:hAnsi="仿宋_GB2312" w:eastAsia="仿宋_GB2312"/>
          <w:b/>
          <w:sz w:val="32"/>
        </w:rPr>
        <w:t>与上年相比，</w:t>
      </w:r>
      <w:r>
        <w:rPr>
          <w:rFonts w:ascii="仿宋_GB2312" w:hAnsi="仿宋_GB2312" w:eastAsia="仿宋_GB2312"/>
          <w:b w:val="0"/>
          <w:sz w:val="32"/>
        </w:rPr>
        <w:t>减少36.83万元，下降6.30%，主要原因是：本年在职人员减少，相关人员经费减少；教研专项经费减少，导致经费较上年减少。</w:t>
      </w:r>
      <w:r>
        <w:rPr>
          <w:rFonts w:ascii="仿宋_GB2312" w:hAnsi="仿宋_GB2312" w:eastAsia="仿宋_GB2312"/>
          <w:b/>
          <w:sz w:val="32"/>
        </w:rPr>
        <w:t>与年初预算相比,</w:t>
      </w:r>
      <w:r>
        <w:rPr>
          <w:rFonts w:ascii="仿宋_GB2312" w:hAnsi="仿宋_GB2312" w:eastAsia="仿宋_GB2312"/>
          <w:b w:val="0"/>
          <w:sz w:val="32"/>
        </w:rPr>
        <w:t>年初预算数574.96万元，决算数548.10万元，预决算差异率-4.67%，主要原因是：本年在职人员减少，年中调减人员经费，导致预决算存在差异。</w:t>
      </w:r>
    </w:p>
    <w:p w14:paraId="3C07E652">
      <w:pPr>
        <w:spacing w:line="640" w:lineRule="exact"/>
        <w:ind w:firstLine="640"/>
        <w:jc w:val="both"/>
        <w:outlineLvl w:val="3"/>
      </w:pPr>
      <w:r>
        <w:rPr>
          <w:rFonts w:ascii="楷体_GB2312" w:hAnsi="楷体_GB2312" w:eastAsia="楷体_GB2312"/>
          <w:b/>
          <w:sz w:val="32"/>
        </w:rPr>
        <w:t>（二）一般公共预算财政拨款支出决算结构情况</w:t>
      </w:r>
    </w:p>
    <w:p w14:paraId="42D08FBA">
      <w:pPr>
        <w:spacing w:line="580" w:lineRule="exact"/>
        <w:ind w:firstLine="640"/>
        <w:jc w:val="both"/>
      </w:pPr>
      <w:r>
        <w:rPr>
          <w:rFonts w:ascii="仿宋_GB2312" w:hAnsi="仿宋_GB2312" w:eastAsia="仿宋_GB2312"/>
          <w:b w:val="0"/>
          <w:sz w:val="32"/>
        </w:rPr>
        <w:t>1.教育支出(类)537.24万元,占98.02%。</w:t>
      </w:r>
    </w:p>
    <w:p w14:paraId="67C8FDE0">
      <w:pPr>
        <w:spacing w:line="580" w:lineRule="exact"/>
        <w:ind w:firstLine="640"/>
        <w:jc w:val="both"/>
      </w:pPr>
      <w:r>
        <w:rPr>
          <w:rFonts w:ascii="仿宋_GB2312" w:hAnsi="仿宋_GB2312" w:eastAsia="仿宋_GB2312"/>
          <w:b w:val="0"/>
          <w:sz w:val="32"/>
        </w:rPr>
        <w:t>2.社会保障和就业支出(类)6.86万元,占1.25%。</w:t>
      </w:r>
    </w:p>
    <w:p w14:paraId="54A569C8">
      <w:pPr>
        <w:spacing w:line="580" w:lineRule="exact"/>
        <w:ind w:firstLine="640"/>
        <w:jc w:val="both"/>
      </w:pPr>
      <w:r>
        <w:rPr>
          <w:rFonts w:ascii="仿宋_GB2312" w:hAnsi="仿宋_GB2312" w:eastAsia="仿宋_GB2312"/>
          <w:b w:val="0"/>
          <w:sz w:val="32"/>
        </w:rPr>
        <w:t>3.其他支出(类)4.00万元,占0.73%。</w:t>
      </w:r>
    </w:p>
    <w:p w14:paraId="3AA3A472">
      <w:pPr>
        <w:spacing w:line="640" w:lineRule="exact"/>
        <w:ind w:firstLine="640"/>
        <w:jc w:val="both"/>
        <w:outlineLvl w:val="3"/>
      </w:pPr>
      <w:r>
        <w:rPr>
          <w:rFonts w:ascii="楷体_GB2312" w:hAnsi="楷体_GB2312" w:eastAsia="楷体_GB2312"/>
          <w:b/>
          <w:sz w:val="32"/>
        </w:rPr>
        <w:t>（三）一般公共预算财政拨款支出决算具体情况</w:t>
      </w:r>
    </w:p>
    <w:p w14:paraId="2758117B">
      <w:pPr>
        <w:spacing w:line="580" w:lineRule="exact"/>
        <w:ind w:firstLine="640"/>
        <w:jc w:val="both"/>
      </w:pPr>
      <w:r>
        <w:rPr>
          <w:rFonts w:ascii="仿宋_GB2312" w:hAnsi="仿宋_GB2312" w:eastAsia="仿宋_GB2312"/>
          <w:b w:val="0"/>
          <w:sz w:val="32"/>
        </w:rPr>
        <w:t>1.一般公共服务支出(类)组织事务(款)其他组织事务支出(项):支出决算数为0.00万元，比上年决算减少2.88万元，下降100.00%,主要原因是：本年科目调整，援疆干部生活补助资金由其他组织事务支出科目调整至其他支出科目支出，导致经费较上年减少。</w:t>
      </w:r>
    </w:p>
    <w:p w14:paraId="1683EF2D">
      <w:pPr>
        <w:spacing w:line="580" w:lineRule="exact"/>
        <w:ind w:firstLine="640"/>
        <w:jc w:val="both"/>
      </w:pPr>
      <w:r>
        <w:rPr>
          <w:rFonts w:ascii="仿宋_GB2312" w:hAnsi="仿宋_GB2312" w:eastAsia="仿宋_GB2312"/>
          <w:b w:val="0"/>
          <w:sz w:val="32"/>
        </w:rPr>
        <w:t>2.教育支出(类)教育管理事务(款)行政运行(项):支出决算数为523.19万元，比上年决算减少38.86万元，下降6.91%,主要原因是：本年度在职人员减少，相关人员经费减少。</w:t>
      </w:r>
    </w:p>
    <w:p w14:paraId="67656510">
      <w:pPr>
        <w:spacing w:line="580" w:lineRule="exact"/>
        <w:ind w:firstLine="640"/>
        <w:jc w:val="both"/>
      </w:pPr>
      <w:r>
        <w:rPr>
          <w:rFonts w:ascii="仿宋_GB2312" w:hAnsi="仿宋_GB2312" w:eastAsia="仿宋_GB2312"/>
          <w:b w:val="0"/>
          <w:sz w:val="32"/>
        </w:rPr>
        <w:t>3.教育支出(类)教育管理事务(款)其他教育管理事务支出(项):支出决算数为14.05万元，比上年决算减少5.95万元，下降29.75%,主要原因是：本年教研经费项目资金比上年减少，导致经费减少。</w:t>
      </w:r>
    </w:p>
    <w:p w14:paraId="1FB373F3">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6.86万元，比上年决算增加6.86万元，增长100.00%,主要原因是：本年补缴往年退休人员职业年金，导致经费增加。</w:t>
      </w:r>
    </w:p>
    <w:p w14:paraId="3541A9B9">
      <w:pPr>
        <w:spacing w:line="580" w:lineRule="exact"/>
        <w:ind w:firstLine="640"/>
        <w:jc w:val="both"/>
      </w:pPr>
      <w:r>
        <w:rPr>
          <w:rFonts w:ascii="仿宋_GB2312" w:hAnsi="仿宋_GB2312" w:eastAsia="仿宋_GB2312"/>
          <w:b w:val="0"/>
          <w:sz w:val="32"/>
        </w:rPr>
        <w:t>5.其他支出(类)其他支出(款)其他支出(项):支出决算数为4.00万元，比上年决算增加4.00万元，增长100.00%,主要原因是：本年科目调整，援疆干部生活补助资金由其他组织事务支出科目调整至其他支出科目支出，导致经费较上年增加。</w:t>
      </w:r>
    </w:p>
    <w:p w14:paraId="7D57D7E5">
      <w:pPr>
        <w:spacing w:line="640" w:lineRule="exact"/>
        <w:ind w:firstLine="640"/>
        <w:jc w:val="both"/>
        <w:outlineLvl w:val="2"/>
      </w:pPr>
      <w:r>
        <w:rPr>
          <w:rFonts w:ascii="黑体" w:hAnsi="黑体" w:eastAsia="黑体"/>
          <w:sz w:val="32"/>
        </w:rPr>
        <w:t>六、一般公共预算财政拨款基本支出决算情况说明</w:t>
      </w:r>
    </w:p>
    <w:p w14:paraId="00EC0513">
      <w:pPr>
        <w:spacing w:line="580" w:lineRule="exact"/>
        <w:ind w:firstLine="640"/>
        <w:jc w:val="both"/>
      </w:pPr>
      <w:r>
        <w:rPr>
          <w:rFonts w:ascii="仿宋_GB2312" w:hAnsi="仿宋_GB2312" w:eastAsia="仿宋_GB2312"/>
          <w:b w:val="0"/>
          <w:sz w:val="32"/>
        </w:rPr>
        <w:t>2024年度一般公共预算财政拨款基本支出530.05万元，其中：</w:t>
      </w:r>
      <w:r>
        <w:rPr>
          <w:rFonts w:ascii="仿宋_GB2312" w:hAnsi="仿宋_GB2312" w:eastAsia="仿宋_GB2312"/>
          <w:b/>
          <w:sz w:val="32"/>
        </w:rPr>
        <w:t>人员经费504.67万元，</w:t>
      </w:r>
      <w:r>
        <w:rPr>
          <w:rFonts w:ascii="仿宋_GB2312" w:hAnsi="仿宋_GB2312" w:eastAsia="仿宋_GB2312"/>
          <w:b w:val="0"/>
          <w:sz w:val="32"/>
        </w:rPr>
        <w:t>包括：基本工资、津贴补贴、绩效工资、机关事业单位基本养老保险缴费、职业年金缴费、职工基本医疗保险缴费、其他社会保障缴费、住房公积金、退休费、生活补助、奖励金。</w:t>
      </w:r>
    </w:p>
    <w:p w14:paraId="3D34F468">
      <w:pPr>
        <w:spacing w:line="580" w:lineRule="exact"/>
        <w:ind w:firstLine="640"/>
        <w:jc w:val="both"/>
      </w:pPr>
      <w:r>
        <w:rPr>
          <w:rFonts w:ascii="仿宋_GB2312" w:hAnsi="仿宋_GB2312" w:eastAsia="仿宋_GB2312"/>
          <w:b/>
          <w:sz w:val="32"/>
        </w:rPr>
        <w:t>公用经费25.38万元，</w:t>
      </w:r>
      <w:r>
        <w:rPr>
          <w:rFonts w:ascii="仿宋_GB2312" w:hAnsi="仿宋_GB2312" w:eastAsia="仿宋_GB2312"/>
          <w:b w:val="0"/>
          <w:sz w:val="32"/>
        </w:rPr>
        <w:t>包括：办公费、水费、电费、差旅费、工会经费、福利费、公务用车运行维护费。</w:t>
      </w:r>
    </w:p>
    <w:p w14:paraId="77DCE7E9">
      <w:pPr>
        <w:spacing w:line="640" w:lineRule="exact"/>
        <w:ind w:firstLine="640"/>
        <w:jc w:val="both"/>
        <w:outlineLvl w:val="2"/>
      </w:pPr>
      <w:r>
        <w:rPr>
          <w:rFonts w:ascii="黑体" w:hAnsi="黑体" w:eastAsia="黑体"/>
          <w:sz w:val="32"/>
        </w:rPr>
        <w:t>七、政府性基金预算财政拨款收入支出决算情况说明</w:t>
      </w:r>
    </w:p>
    <w:p w14:paraId="38359A58">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14:paraId="029157B7">
      <w:pPr>
        <w:spacing w:line="640" w:lineRule="exact"/>
        <w:ind w:firstLine="640"/>
        <w:jc w:val="both"/>
        <w:outlineLvl w:val="2"/>
      </w:pPr>
      <w:r>
        <w:rPr>
          <w:rFonts w:ascii="黑体" w:hAnsi="黑体" w:eastAsia="黑体"/>
          <w:sz w:val="32"/>
        </w:rPr>
        <w:t>八、国有资本经营预算财政拨款收入支出决算情况说明</w:t>
      </w:r>
    </w:p>
    <w:p w14:paraId="5DFC2296">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14:paraId="3439D0AF">
      <w:pPr>
        <w:spacing w:line="640" w:lineRule="exact"/>
        <w:ind w:firstLine="640"/>
        <w:jc w:val="both"/>
        <w:outlineLvl w:val="2"/>
      </w:pPr>
      <w:r>
        <w:rPr>
          <w:rFonts w:ascii="黑体" w:hAnsi="黑体" w:eastAsia="黑体"/>
          <w:sz w:val="32"/>
        </w:rPr>
        <w:t>九、财政拨款“三公”经费支出决算情况说明</w:t>
      </w:r>
    </w:p>
    <w:p w14:paraId="1345E947">
      <w:pPr>
        <w:spacing w:line="580" w:lineRule="exact"/>
        <w:ind w:firstLine="640"/>
        <w:jc w:val="both"/>
      </w:pPr>
      <w:r>
        <w:rPr>
          <w:rFonts w:ascii="仿宋_GB2312" w:hAnsi="仿宋_GB2312" w:eastAsia="仿宋_GB2312"/>
          <w:b/>
          <w:sz w:val="32"/>
        </w:rPr>
        <w:t>2024年度财政拨款“三公”经费支出3.00万元，</w:t>
      </w:r>
      <w:r>
        <w:rPr>
          <w:rFonts w:ascii="仿宋_GB2312" w:hAnsi="仿宋_GB2312" w:eastAsia="仿宋_GB2312"/>
          <w:b w:val="0"/>
          <w:sz w:val="32"/>
        </w:rPr>
        <w:t>比上年增加0.00万元，增长0.00%，主要原因是：本单位“三公”经费与上年一致无变化。其中：因公出国（境）费支出0.00万元，占0.00%，比上年增加0.00万元，增长0.00%，主要原因是：2023年与2024年均未安排因公出国（境）费支出。公务用车购置及运行维护费支出3.00万元，占100.00%，比上年增加0.00万元，增长0.00%，主要原因是：本单位公务用车运行维护费与上年一致无变化。公务接待费支出0.00万元，占0.00%，比上年增加0.00万元，增长0.00%，主要原因是：2023年与2024年均未安排公务接待费支出。</w:t>
      </w:r>
    </w:p>
    <w:p w14:paraId="706F3DC9">
      <w:pPr>
        <w:spacing w:line="580" w:lineRule="exact"/>
        <w:ind w:firstLine="640"/>
        <w:jc w:val="both"/>
      </w:pPr>
      <w:r>
        <w:rPr>
          <w:rFonts w:ascii="仿宋_GB2312" w:hAnsi="仿宋_GB2312" w:eastAsia="仿宋_GB2312"/>
          <w:b/>
          <w:sz w:val="32"/>
        </w:rPr>
        <w:t>具体情况如下：</w:t>
      </w:r>
    </w:p>
    <w:p w14:paraId="00B8FDDA">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14:paraId="36C73A87">
      <w:pPr>
        <w:spacing w:line="580" w:lineRule="exact"/>
        <w:ind w:firstLine="640"/>
        <w:jc w:val="both"/>
      </w:pPr>
      <w:r>
        <w:rPr>
          <w:rFonts w:ascii="仿宋_GB2312" w:hAnsi="仿宋_GB2312" w:eastAsia="仿宋_GB2312"/>
          <w:b w:val="0"/>
          <w:sz w:val="32"/>
        </w:rPr>
        <w:t>公务用车购置及运行维护费3.00万元，其中：公务用车购置费0.00万元，公务用车运行维护费3.00万元。公务用车运行维护费开支内容包括车辆加油费、维修费、保险费。公务用车购置数0辆，公务用车保有量1辆。国有资产占用情况中固定资产车辆1辆，与公务用车保有量差异原因是：本单位固定资产车辆与公务用车保有量一致无差异。</w:t>
      </w:r>
    </w:p>
    <w:p w14:paraId="6FBCB7E9">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14:paraId="58673CB0">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3.00万元，决算数3.00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维护费全年预算数3.00万元，决算数3.00万元，预决算差异率0.00%，主要原因是：严格按照预算执行，预决算无差异。公务接待费全年预算数0.00万元，决算数0.00万元，预决算差异率0.00%，主要原因是：本单位无公务接待费。</w:t>
      </w:r>
    </w:p>
    <w:p w14:paraId="2E488671">
      <w:pPr>
        <w:spacing w:line="640" w:lineRule="exact"/>
        <w:ind w:firstLine="640"/>
        <w:jc w:val="both"/>
        <w:outlineLvl w:val="2"/>
      </w:pPr>
      <w:r>
        <w:rPr>
          <w:rFonts w:ascii="黑体" w:hAnsi="黑体" w:eastAsia="黑体"/>
          <w:sz w:val="32"/>
        </w:rPr>
        <w:t>十、其他重要事项的情况说明</w:t>
      </w:r>
    </w:p>
    <w:p w14:paraId="137FE865">
      <w:pPr>
        <w:spacing w:line="640" w:lineRule="exact"/>
        <w:ind w:firstLine="640"/>
        <w:jc w:val="both"/>
        <w:outlineLvl w:val="3"/>
      </w:pPr>
      <w:r>
        <w:rPr>
          <w:rFonts w:ascii="楷体_GB2312" w:hAnsi="楷体_GB2312" w:eastAsia="楷体_GB2312"/>
          <w:b/>
          <w:sz w:val="32"/>
        </w:rPr>
        <w:t>（一）机关运行经费及公用经费支出情况</w:t>
      </w:r>
    </w:p>
    <w:p w14:paraId="4F39DD50">
      <w:pPr>
        <w:spacing w:line="580" w:lineRule="exact"/>
        <w:ind w:firstLine="640"/>
        <w:jc w:val="both"/>
      </w:pPr>
      <w:r>
        <w:rPr>
          <w:rFonts w:ascii="仿宋_GB2312" w:hAnsi="仿宋_GB2312" w:eastAsia="仿宋_GB2312"/>
          <w:b w:val="0"/>
          <w:sz w:val="32"/>
        </w:rPr>
        <w:t>2024年度和田地区教学研究室（事业单位）公用经费支出25.38万元，比上年减少0.03万元，下降0.12%，主要原因是：严格控制公用经费，合理节约办公用品，减少不必要开支。</w:t>
      </w:r>
    </w:p>
    <w:p w14:paraId="7D27BA53">
      <w:pPr>
        <w:spacing w:line="640" w:lineRule="exact"/>
        <w:ind w:firstLine="640"/>
        <w:jc w:val="both"/>
        <w:outlineLvl w:val="3"/>
      </w:pPr>
      <w:r>
        <w:rPr>
          <w:rFonts w:ascii="楷体_GB2312" w:hAnsi="楷体_GB2312" w:eastAsia="楷体_GB2312"/>
          <w:b/>
          <w:sz w:val="32"/>
        </w:rPr>
        <w:t>（二）政府采购情况</w:t>
      </w:r>
    </w:p>
    <w:p w14:paraId="77F7B345">
      <w:pPr>
        <w:spacing w:line="580" w:lineRule="exact"/>
        <w:ind w:firstLine="640"/>
        <w:jc w:val="both"/>
      </w:pPr>
      <w:r>
        <w:rPr>
          <w:rFonts w:ascii="仿宋_GB2312" w:hAnsi="仿宋_GB2312" w:eastAsia="仿宋_GB2312"/>
          <w:b w:val="0"/>
          <w:sz w:val="32"/>
        </w:rPr>
        <w:t>2024年度政府采购支出总额0.10万元，其中：政府采购货物支出0.10万元、政府采购工程支出0.00万元、政府采购服务支出0.00万元。</w:t>
      </w:r>
    </w:p>
    <w:p w14:paraId="1FC558E4">
      <w:pPr>
        <w:spacing w:line="580" w:lineRule="exact"/>
        <w:ind w:firstLine="640"/>
        <w:jc w:val="both"/>
      </w:pPr>
      <w:r>
        <w:rPr>
          <w:rFonts w:ascii="仿宋_GB2312" w:hAnsi="仿宋_GB2312" w:eastAsia="仿宋_GB2312"/>
          <w:b w:val="0"/>
          <w:sz w:val="32"/>
        </w:rPr>
        <w:t>授予中小企业合同金额0.10万元，占政府采购支出总额的100.00%，其中：授予小微企业合同金额0.09万元，占政府采购支出总额的90.00%。</w:t>
      </w:r>
    </w:p>
    <w:p w14:paraId="2D41DB3F">
      <w:pPr>
        <w:spacing w:line="640" w:lineRule="exact"/>
        <w:ind w:firstLine="640"/>
        <w:jc w:val="both"/>
        <w:outlineLvl w:val="3"/>
      </w:pPr>
      <w:r>
        <w:rPr>
          <w:rFonts w:ascii="楷体_GB2312" w:hAnsi="楷体_GB2312" w:eastAsia="楷体_GB2312"/>
          <w:b/>
          <w:sz w:val="32"/>
        </w:rPr>
        <w:t>（三）国有资产占用情况说明</w:t>
      </w:r>
    </w:p>
    <w:p w14:paraId="4CD09D2D">
      <w:pPr>
        <w:spacing w:line="580" w:lineRule="exact"/>
        <w:ind w:firstLine="640"/>
        <w:jc w:val="both"/>
      </w:pPr>
      <w:r>
        <w:rPr>
          <w:rFonts w:ascii="仿宋_GB2312" w:hAnsi="仿宋_GB2312" w:eastAsia="仿宋_GB2312"/>
          <w:b w:val="0"/>
          <w:sz w:val="32"/>
        </w:rPr>
        <w:t>截至2024年12月31日，房屋0.00平方米，价值0.00万元。车辆1辆，价值32.48万元，其中：副部（省）级及以上领导用车0辆、主要负责人用车0辆、机要通信用车0辆、应急保障用车0辆、执法执勤用车0辆、特种专业技术用车0辆、离退休干部服务用车0辆、其他用车1辆，其他用车主要是：单位公务用车。单价100万元（含）以上设备（不含车辆）0台（套）。</w:t>
      </w:r>
    </w:p>
    <w:p w14:paraId="1B659A8A">
      <w:pPr>
        <w:spacing w:line="640" w:lineRule="exact"/>
        <w:ind w:firstLine="640"/>
        <w:jc w:val="both"/>
        <w:outlineLvl w:val="2"/>
      </w:pPr>
      <w:r>
        <w:rPr>
          <w:rFonts w:ascii="黑体" w:hAnsi="黑体" w:eastAsia="黑体"/>
          <w:sz w:val="32"/>
        </w:rPr>
        <w:t>十一、预算绩效的情况说明</w:t>
      </w:r>
    </w:p>
    <w:p w14:paraId="4F13A2BD">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555.28万元，实际执行总额548.17万元；预算绩效评价项目2个，全年预算数19.80万元，全年执行数18.05万元。预算绩效管理取得的成效：一是我单位2023年度部门整体支出绩效目标，围绕部门职能、中长期规划、年度工作计划、重点工作任务及要求，确定年度部门整体支出的绩效目标，按照确定的部门职责履行情况、部门运行有效情况及部门职能设置具体的指标;二是通过绩效评价分析部门整体支出对单位基本运转及单位职能履职的保障作用，总结经验做法，找出资金使用和管理中的薄弱环节，进一步加强预算管理，提高财政资金使用效益，为部门科学决策、规范管理提供参考。发现的问题及原因：1、预算执行力度有待加强。预算编制的合理性需要提高，预算执行力度还要进一步加强。2、公用经费控制有一定难度，基本为刚性支出。3、“三公”经费的管理有待加强，合理压缩“三公”经费支出。4、绩效评价指标体系有待完善。下一步改进措施：1、细化预算编制工作，认真做好预算的编制。进一步加强单位的预算管理意识，严格按照预算编制的相关制度和要求进行预算编制，进一步提高预算编制的科学性、严谨性和可控性。2、加强财务管理，严格财务审核。加强单位财务管理，健全单位财务管理制度体系，规范单位财务行为。在费用报账支付时，按照预算规定的费用项目和用途进行资金使用审核、列报支付、财务核算，杜绝超支现象的发生。3、扎好“三公”经费控制。严格控制“三公”经费的规模和比例，把关“三公”经费支出的审核、审批，杜绝挪用和挤占其他预算资金行为；进一步细化“三公”经费的管理，合理压缩“三公”经费支出。4、科学执行绩效预算管理制度。进一步优化绩效评价指标体系，加强对绩效评价结果的运用，逐步建立以绩效为导向的预算编制模式，把绩效考评的结果作为编制部门预算的重要依据。具体附整体支出绩效自评表，项目支出绩效自评表和评价报告。</w:t>
      </w:r>
    </w:p>
    <w:p w14:paraId="7AA6DEFE">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719ACF40">
        <w:tblPrEx>
          <w:tblCellMar>
            <w:top w:w="0" w:type="dxa"/>
            <w:left w:w="108" w:type="dxa"/>
            <w:bottom w:w="0" w:type="dxa"/>
            <w:right w:w="108" w:type="dxa"/>
          </w:tblCellMar>
        </w:tblPrEx>
        <w:tc>
          <w:tcPr>
            <w:tcW w:w="8847" w:type="dxa"/>
            <w:gridSpan w:val="9"/>
            <w:vAlign w:val="center"/>
          </w:tcPr>
          <w:p w14:paraId="0680259A">
            <w:pPr>
              <w:jc w:val="center"/>
            </w:pPr>
            <w:r>
              <w:rPr>
                <w:rFonts w:ascii="宋体" w:hAnsi="宋体" w:eastAsia="宋体"/>
                <w:sz w:val="24"/>
              </w:rPr>
              <w:t>单位整体支出绩效自评表</w:t>
            </w:r>
          </w:p>
        </w:tc>
      </w:tr>
      <w:tr w14:paraId="35003D55">
        <w:tblPrEx>
          <w:tblCellMar>
            <w:top w:w="0" w:type="dxa"/>
            <w:left w:w="108" w:type="dxa"/>
            <w:bottom w:w="0" w:type="dxa"/>
            <w:right w:w="108" w:type="dxa"/>
          </w:tblCellMar>
        </w:tblPrEx>
        <w:trPr>
          <w:trHeight w:val="90" w:hRule="atLeast"/>
        </w:trPr>
        <w:tc>
          <w:tcPr>
            <w:tcW w:w="8847" w:type="dxa"/>
            <w:gridSpan w:val="9"/>
            <w:vAlign w:val="center"/>
          </w:tcPr>
          <w:p w14:paraId="63A18D65">
            <w:pPr>
              <w:jc w:val="center"/>
            </w:pPr>
            <w:r>
              <w:rPr>
                <w:rFonts w:ascii="宋体" w:hAnsi="宋体" w:eastAsia="宋体"/>
                <w:sz w:val="24"/>
              </w:rPr>
              <w:t>（2024年度）</w:t>
            </w:r>
          </w:p>
        </w:tc>
      </w:tr>
      <w:tr w14:paraId="5EEC5295">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A07AA1">
            <w:pPr>
              <w:jc w:val="center"/>
            </w:pPr>
            <w:r>
              <w:rPr>
                <w:rFonts w:ascii="宋体" w:hAnsi="宋体" w:eastAsia="宋体"/>
                <w:sz w:val="16"/>
              </w:rPr>
              <w:t>单位名称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A98A17F">
            <w:pPr>
              <w:jc w:val="center"/>
            </w:pPr>
            <w:r>
              <w:rPr>
                <w:rFonts w:ascii="宋体" w:hAnsi="宋体" w:eastAsia="宋体"/>
                <w:sz w:val="16"/>
              </w:rPr>
              <w:t>和田地区教学研究室</w:t>
            </w:r>
          </w:p>
        </w:tc>
      </w:tr>
      <w:tr w14:paraId="530C5353">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BFA5FCD">
            <w:pPr>
              <w:jc w:val="center"/>
            </w:pPr>
            <w:r>
              <w:rPr>
                <w:rFonts w:ascii="宋体" w:hAnsi="宋体" w:eastAsia="宋体"/>
                <w:sz w:val="16"/>
              </w:rPr>
              <w:t>部门资金（万元）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FB2DA2">
            <w:pPr>
              <w:jc w:val="center"/>
            </w:pPr>
            <w:r>
              <w:rPr>
                <w:rFonts w:ascii="宋体" w:hAnsi="宋体" w:eastAsia="宋体"/>
                <w:sz w:val="16"/>
              </w:rPr>
              <w:t>资金来源</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147707">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514063">
            <w:pPr>
              <w:jc w:val="center"/>
            </w:pPr>
            <w:r>
              <w:rPr>
                <w:rFonts w:ascii="宋体" w:hAnsi="宋体" w:eastAsia="宋体"/>
                <w:sz w:val="16"/>
              </w:rPr>
              <w:t>预算数（调整后）</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9DF1F">
            <w:pPr>
              <w:jc w:val="center"/>
            </w:pPr>
            <w:r>
              <w:rPr>
                <w:rFonts w:ascii="宋体" w:hAnsi="宋体" w:eastAsia="宋体"/>
                <w:sz w:val="16"/>
              </w:rPr>
              <w:t>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2B7F41A">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0C2368">
            <w:pPr>
              <w:jc w:val="center"/>
            </w:pPr>
            <w:r>
              <w:rPr>
                <w:rFonts w:ascii="宋体" w:hAnsi="宋体" w:eastAsia="宋体"/>
                <w:sz w:val="16"/>
              </w:rPr>
              <w:t>执行率</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CC06503">
            <w:pPr>
              <w:jc w:val="center"/>
            </w:pPr>
            <w:r>
              <w:rPr>
                <w:rFonts w:ascii="宋体" w:hAnsi="宋体" w:eastAsia="宋体"/>
                <w:sz w:val="16"/>
              </w:rPr>
              <w:t>得分</w:t>
            </w:r>
          </w:p>
        </w:tc>
      </w:tr>
      <w:tr w14:paraId="244BDE1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24EBF4A"/>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57CF32">
            <w:pPr>
              <w:jc w:val="center"/>
            </w:pPr>
            <w:r>
              <w:rPr>
                <w:rFonts w:ascii="宋体" w:hAnsi="宋体" w:eastAsia="宋体"/>
                <w:sz w:val="16"/>
              </w:rPr>
              <w:t>年度总资金：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1FC7DF">
            <w:pPr>
              <w:jc w:val="center"/>
            </w:pPr>
            <w:r>
              <w:rPr>
                <w:rFonts w:ascii="宋体" w:hAnsi="宋体" w:eastAsia="宋体"/>
                <w:sz w:val="16"/>
              </w:rPr>
              <w:t>574.96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B22FED">
            <w:pPr>
              <w:jc w:val="center"/>
            </w:pPr>
            <w:r>
              <w:rPr>
                <w:rFonts w:ascii="宋体" w:hAnsi="宋体" w:eastAsia="宋体"/>
                <w:sz w:val="16"/>
              </w:rPr>
              <w:t>555.28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B22216">
            <w:pPr>
              <w:jc w:val="center"/>
            </w:pPr>
            <w:r>
              <w:rPr>
                <w:rFonts w:ascii="宋体" w:hAnsi="宋体" w:eastAsia="宋体"/>
                <w:sz w:val="16"/>
              </w:rPr>
              <w:t>548.17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383EEC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D3FF82">
            <w:pPr>
              <w:jc w:val="center"/>
            </w:pPr>
            <w:r>
              <w:rPr>
                <w:rFonts w:ascii="宋体" w:hAnsi="宋体" w:eastAsia="宋体"/>
                <w:sz w:val="16"/>
              </w:rPr>
              <w:t>98.72%</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9DCC308">
            <w:pPr>
              <w:jc w:val="center"/>
            </w:pPr>
            <w:r>
              <w:rPr>
                <w:rFonts w:ascii="宋体" w:hAnsi="宋体" w:eastAsia="宋体"/>
                <w:sz w:val="16"/>
              </w:rPr>
              <w:t>9.87</w:t>
            </w:r>
          </w:p>
        </w:tc>
      </w:tr>
      <w:tr w14:paraId="1E16526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EF34217"/>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5F3B50">
            <w:pPr>
              <w:jc w:val="center"/>
            </w:pPr>
            <w:r>
              <w:rPr>
                <w:rFonts w:ascii="宋体" w:hAnsi="宋体" w:eastAsia="宋体"/>
                <w:sz w:val="16"/>
              </w:rPr>
              <w:t>上级资金：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FBDF0">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7ECC63">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C7C26F">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376AF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225003">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BC2AB4">
            <w:pPr>
              <w:jc w:val="center"/>
            </w:pPr>
            <w:r>
              <w:rPr>
                <w:rFonts w:ascii="宋体" w:hAnsi="宋体" w:eastAsia="宋体"/>
                <w:sz w:val="16"/>
              </w:rPr>
              <w:t>—</w:t>
            </w:r>
          </w:p>
        </w:tc>
      </w:tr>
      <w:tr w14:paraId="032FF67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BAB97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1190B9">
            <w:pPr>
              <w:jc w:val="center"/>
            </w:pPr>
            <w:r>
              <w:rPr>
                <w:rFonts w:ascii="宋体" w:hAnsi="宋体" w:eastAsia="宋体"/>
                <w:sz w:val="16"/>
              </w:rPr>
              <w:t>本级资金：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17560C">
            <w:pPr>
              <w:jc w:val="center"/>
            </w:pPr>
            <w:r>
              <w:rPr>
                <w:rFonts w:ascii="宋体" w:hAnsi="宋体" w:eastAsia="宋体"/>
                <w:sz w:val="16"/>
              </w:rPr>
              <w:t>574.96</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947FC">
            <w:pPr>
              <w:jc w:val="center"/>
            </w:pPr>
            <w:r>
              <w:rPr>
                <w:rFonts w:ascii="宋体" w:hAnsi="宋体" w:eastAsia="宋体"/>
                <w:sz w:val="16"/>
              </w:rPr>
              <w:t>555.28</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3E1350">
            <w:pPr>
              <w:jc w:val="center"/>
            </w:pPr>
            <w:r>
              <w:rPr>
                <w:rFonts w:ascii="宋体" w:hAnsi="宋体" w:eastAsia="宋体"/>
                <w:sz w:val="16"/>
              </w:rPr>
              <w:t>548.17</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2D94D8">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365CF">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3A851C">
            <w:pPr>
              <w:jc w:val="center"/>
            </w:pPr>
            <w:r>
              <w:rPr>
                <w:rFonts w:ascii="宋体" w:hAnsi="宋体" w:eastAsia="宋体"/>
                <w:sz w:val="16"/>
              </w:rPr>
              <w:t>—</w:t>
            </w:r>
          </w:p>
        </w:tc>
      </w:tr>
      <w:tr w14:paraId="3C530A7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CFC35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308D186">
            <w:pPr>
              <w:jc w:val="center"/>
            </w:pPr>
            <w:r>
              <w:rPr>
                <w:rFonts w:ascii="宋体" w:hAnsi="宋体" w:eastAsia="宋体"/>
                <w:sz w:val="16"/>
              </w:rPr>
              <w:t>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C9B83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05DFA1">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FBDDD7">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986317">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92FD89E">
            <w:pPr>
              <w:jc w:val="center"/>
            </w:pPr>
            <w:r>
              <w:rPr>
                <w:rFonts w:ascii="宋体" w:hAnsi="宋体" w:eastAsia="宋体"/>
                <w:sz w:val="16"/>
              </w:rPr>
              <w:t>—</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A3D01E8">
            <w:pPr>
              <w:jc w:val="center"/>
            </w:pPr>
            <w:r>
              <w:rPr>
                <w:rFonts w:ascii="宋体" w:hAnsi="宋体" w:eastAsia="宋体"/>
                <w:sz w:val="16"/>
              </w:rPr>
              <w:t>—</w:t>
            </w:r>
          </w:p>
        </w:tc>
      </w:tr>
      <w:tr w14:paraId="78E05F00">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CD3C862">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0FE1C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19B46CF">
            <w:pPr>
              <w:jc w:val="center"/>
            </w:pPr>
            <w:r>
              <w:rPr>
                <w:rFonts w:ascii="宋体" w:hAnsi="宋体" w:eastAsia="宋体"/>
                <w:sz w:val="16"/>
              </w:rPr>
              <w:t>实际完成目标</w:t>
            </w:r>
          </w:p>
        </w:tc>
      </w:tr>
      <w:tr w14:paraId="61E3F16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6391E5"/>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B7520C3">
            <w:pPr>
              <w:keepNext w:val="0"/>
              <w:keepLines w:val="0"/>
              <w:pageBreakBefore w:val="0"/>
              <w:widowControl w:val="0"/>
              <w:kinsoku/>
              <w:wordWrap/>
              <w:overflowPunct/>
              <w:topLinePunct w:val="0"/>
              <w:autoSpaceDE/>
              <w:autoSpaceDN/>
              <w:bidi w:val="0"/>
              <w:adjustRightInd/>
              <w:snapToGrid/>
              <w:spacing w:line="200" w:lineRule="exact"/>
              <w:textAlignment w:val="auto"/>
            </w:pPr>
            <w:r>
              <w:rPr>
                <w:rFonts w:ascii="宋体" w:hAnsi="宋体" w:eastAsia="宋体"/>
                <w:sz w:val="10"/>
                <w:szCs w:val="10"/>
              </w:rPr>
              <w:t>坚持以习近平新时代中国特色社会主义思想为指导，深入贯彻党的二十大精神，贯彻落实中央、自治区党委决策部署的各项重大工作决定和安排，充分发挥财政资金、推动教育改革、推进教育公平、提高教育质量的政策引领作用，花好每一份钱，把财政资金用到最关键处。保障单位正常运转。 目标1：确保本单位20名职工人员工资发放，五险一金及时缴纳，确保单位2辆公车正常运行，保障单位各项工作正常开展。目标2：开展送教下乡，去县市调研，举行教研活动，有效提高教师队伍水平；</w:t>
            </w:r>
            <w:r>
              <w:rPr>
                <w:rFonts w:ascii="宋体" w:hAnsi="宋体" w:eastAsia="宋体"/>
                <w:sz w:val="10"/>
                <w:szCs w:val="10"/>
              </w:rPr>
              <w:br w:type="textWrapping"/>
            </w:r>
            <w:r>
              <w:rPr>
                <w:rFonts w:ascii="宋体" w:hAnsi="宋体" w:eastAsia="宋体"/>
                <w:sz w:val="10"/>
                <w:szCs w:val="10"/>
              </w:rPr>
              <w:t>目标3：组织开展质量监测、持续完善质量监测机制、地区层面组织各县市抽取样本学校，每月进行1次若干学科的质量监测，及时召开质量反馈会，通过监测发现县市、学校教学中的短板，解决问题，达到以测导教、以测促教的目的；</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6337EF11">
            <w:pPr>
              <w:jc w:val="both"/>
            </w:pPr>
            <w:r>
              <w:rPr>
                <w:rFonts w:hint="eastAsia" w:ascii="宋体" w:hAnsi="宋体"/>
                <w:sz w:val="16"/>
                <w:lang w:eastAsia="zh-CN"/>
              </w:rPr>
              <w:t>截至2024</w:t>
            </w:r>
            <w:r>
              <w:rPr>
                <w:rFonts w:ascii="宋体" w:hAnsi="宋体" w:eastAsia="宋体"/>
                <w:sz w:val="16"/>
              </w:rPr>
              <w:t>年12月31日，本单位实际完成20名职工人员工资发放，五险一金及时缴纳，月监测及各种考试巡考8次，指导员指导学校40所，下县视导工作1次，开展送教下乡及教研活动1次，及时召开了质量反馈会，确保了单位2辆公车正常运行等工作。实际形成支出548.17万元，通过完成以上工作，实现了保障了单位各项工作正常开展；有效提高了教师队伍水平的效益。</w:t>
            </w:r>
          </w:p>
        </w:tc>
      </w:tr>
      <w:tr w14:paraId="7786903C">
        <w:tblPrEx>
          <w:tblCellMar>
            <w:top w:w="0" w:type="dxa"/>
            <w:left w:w="108" w:type="dxa"/>
            <w:bottom w:w="0" w:type="dxa"/>
            <w:right w:w="108" w:type="dxa"/>
          </w:tblCellMar>
        </w:tblPrEx>
        <w:trPr>
          <w:trHeight w:val="479"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192EF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B83032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618F8E">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1CEB95">
            <w:pPr>
              <w:jc w:val="center"/>
            </w:pPr>
            <w:r>
              <w:rPr>
                <w:rFonts w:ascii="宋体" w:hAnsi="宋体" w:eastAsia="宋体"/>
                <w:sz w:val="16"/>
              </w:rPr>
              <w:t>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2A824D">
            <w:pPr>
              <w:jc w:val="center"/>
            </w:pPr>
            <w:r>
              <w:rPr>
                <w:rFonts w:ascii="宋体" w:hAnsi="宋体" w:eastAsia="宋体"/>
                <w:sz w:val="16"/>
              </w:rPr>
              <w:t>指标值设定依据</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00DF0">
            <w:pPr>
              <w:jc w:val="center"/>
            </w:pPr>
            <w:r>
              <w:rPr>
                <w:rFonts w:ascii="宋体" w:hAnsi="宋体" w:eastAsia="宋体"/>
                <w:sz w:val="16"/>
              </w:rPr>
              <w:t>分值权重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23F3CF">
            <w:pPr>
              <w:jc w:val="center"/>
            </w:pPr>
            <w:r>
              <w:rPr>
                <w:rFonts w:ascii="宋体" w:hAnsi="宋体" w:eastAsia="宋体"/>
                <w:sz w:val="15"/>
                <w:szCs w:val="22"/>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3E95F1">
            <w:pPr>
              <w:jc w:val="center"/>
            </w:pPr>
            <w:r>
              <w:rPr>
                <w:rFonts w:ascii="宋体" w:hAnsi="宋体" w:eastAsia="宋体"/>
                <w:sz w:val="16"/>
              </w:rPr>
              <w:t>完成率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510A72">
            <w:pPr>
              <w:jc w:val="center"/>
            </w:pPr>
            <w:r>
              <w:rPr>
                <w:rFonts w:ascii="宋体" w:hAnsi="宋体" w:eastAsia="宋体"/>
                <w:sz w:val="16"/>
              </w:rPr>
              <w:t>得分</w:t>
            </w:r>
          </w:p>
        </w:tc>
      </w:tr>
      <w:tr w14:paraId="20CA396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4F4FAB">
            <w:pPr>
              <w:jc w:val="center"/>
            </w:pPr>
            <w:r>
              <w:rPr>
                <w:rFonts w:ascii="宋体" w:hAnsi="宋体" w:eastAsia="宋体"/>
                <w:sz w:val="16"/>
              </w:rPr>
              <w:t>运行成本</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568A61D">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45B95E7">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ascii="宋体" w:hAnsi="宋体" w:eastAsia="宋体"/>
                <w:sz w:val="15"/>
                <w:szCs w:val="15"/>
              </w:rPr>
            </w:pPr>
            <w:r>
              <w:rPr>
                <w:rFonts w:hint="eastAsia" w:ascii="宋体" w:hAnsi="宋体" w:eastAsia="宋体"/>
                <w:sz w:val="15"/>
                <w:szCs w:val="15"/>
                <w:lang w:eastAsia="zh-CN"/>
              </w:rPr>
              <w:t>“三公”经费</w:t>
            </w:r>
            <w:r>
              <w:rPr>
                <w:rFonts w:ascii="宋体" w:hAnsi="宋体" w:eastAsia="宋体"/>
                <w:sz w:val="15"/>
                <w:szCs w:val="15"/>
              </w:rPr>
              <w:t>控制率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3926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C789E9">
            <w:pPr>
              <w:keepNext w:val="0"/>
              <w:keepLines w:val="0"/>
              <w:pageBreakBefore w:val="0"/>
              <w:widowControl w:val="0"/>
              <w:kinsoku/>
              <w:wordWrap/>
              <w:overflowPunct/>
              <w:topLinePunct w:val="0"/>
              <w:autoSpaceDE/>
              <w:autoSpaceDN/>
              <w:bidi w:val="0"/>
              <w:adjustRightInd/>
              <w:snapToGrid/>
              <w:spacing w:line="200" w:lineRule="exact"/>
              <w:textAlignment w:val="auto"/>
              <w:rPr>
                <w:sz w:val="24"/>
                <w:szCs w:val="21"/>
              </w:rPr>
            </w:pPr>
            <w:r>
              <w:rPr>
                <w:rFonts w:ascii="宋体" w:hAnsi="宋体" w:eastAsia="宋体"/>
                <w:sz w:val="10"/>
                <w:szCs w:val="10"/>
              </w:rPr>
              <w:t>《关于加强‘三公’经费管理严控一般性支出的通知》财预（2022）126号</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55EB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5BEB96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93703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B3344A">
            <w:pPr>
              <w:jc w:val="center"/>
            </w:pPr>
            <w:r>
              <w:rPr>
                <w:rFonts w:ascii="宋体" w:hAnsi="宋体" w:eastAsia="宋体"/>
                <w:sz w:val="16"/>
              </w:rPr>
              <w:t>5</w:t>
            </w:r>
          </w:p>
        </w:tc>
      </w:tr>
      <w:tr w14:paraId="6CEA1B79">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CF17D7">
            <w:pPr>
              <w:jc w:val="center"/>
            </w:pPr>
            <w:r>
              <w:rPr>
                <w:rFonts w:ascii="宋体" w:hAnsi="宋体" w:eastAsia="宋体"/>
                <w:sz w:val="16"/>
              </w:rPr>
              <w:t>管理效率</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42B4F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89FB64">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ascii="宋体" w:hAnsi="宋体" w:eastAsia="宋体"/>
                <w:sz w:val="15"/>
                <w:szCs w:val="15"/>
              </w:rPr>
            </w:pPr>
            <w:r>
              <w:rPr>
                <w:rFonts w:ascii="宋体" w:hAnsi="宋体" w:eastAsia="宋体"/>
                <w:sz w:val="15"/>
                <w:szCs w:val="15"/>
              </w:rPr>
              <w:t>资金使用合规性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BC50D8">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90C58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AEB06D">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DF57A7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4AC691">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CC4CA5">
            <w:pPr>
              <w:jc w:val="center"/>
            </w:pPr>
            <w:r>
              <w:rPr>
                <w:rFonts w:ascii="宋体" w:hAnsi="宋体" w:eastAsia="宋体"/>
                <w:sz w:val="16"/>
              </w:rPr>
              <w:t>10</w:t>
            </w:r>
          </w:p>
        </w:tc>
      </w:tr>
      <w:tr w14:paraId="273D5DF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AC3DA9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5A5783C"/>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87704C2">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ascii="宋体" w:hAnsi="宋体" w:eastAsia="宋体"/>
                <w:sz w:val="15"/>
                <w:szCs w:val="15"/>
              </w:rPr>
            </w:pPr>
            <w:r>
              <w:rPr>
                <w:rFonts w:ascii="宋体" w:hAnsi="宋体" w:eastAsia="宋体"/>
                <w:sz w:val="15"/>
                <w:szCs w:val="15"/>
              </w:rPr>
              <w:t>业务流程提升率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493816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436831">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4724DD">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04D4FE">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C7AE148">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61D39D">
            <w:pPr>
              <w:jc w:val="center"/>
            </w:pPr>
            <w:r>
              <w:rPr>
                <w:rFonts w:ascii="宋体" w:hAnsi="宋体" w:eastAsia="宋体"/>
                <w:sz w:val="16"/>
              </w:rPr>
              <w:t>5</w:t>
            </w:r>
          </w:p>
        </w:tc>
      </w:tr>
      <w:tr w14:paraId="19014F4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0A23D89A">
            <w:pPr>
              <w:jc w:val="center"/>
            </w:pPr>
            <w:r>
              <w:rPr>
                <w:rFonts w:ascii="宋体" w:hAnsi="宋体" w:eastAsia="宋体"/>
                <w:sz w:val="16"/>
              </w:rPr>
              <w:t>履职效能</w:t>
            </w:r>
          </w:p>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AC97EB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1D52B4">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ascii="宋体" w:hAnsi="宋体" w:eastAsia="宋体"/>
                <w:sz w:val="15"/>
                <w:szCs w:val="15"/>
              </w:rPr>
            </w:pPr>
            <w:r>
              <w:rPr>
                <w:rFonts w:ascii="宋体" w:hAnsi="宋体" w:eastAsia="宋体"/>
                <w:sz w:val="15"/>
                <w:szCs w:val="15"/>
              </w:rPr>
              <w:t>月监测及各种考试巡考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9345A2">
            <w:pPr>
              <w:jc w:val="center"/>
            </w:pPr>
            <w:r>
              <w:rPr>
                <w:rFonts w:hint="eastAsia" w:ascii="宋体" w:hAnsi="宋体" w:eastAsia="宋体"/>
                <w:sz w:val="16"/>
              </w:rPr>
              <w:t>≥</w:t>
            </w: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084D47">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FA3AF18">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312C5C">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12348B">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C990CD">
            <w:pPr>
              <w:jc w:val="center"/>
            </w:pPr>
            <w:r>
              <w:rPr>
                <w:rFonts w:ascii="宋体" w:hAnsi="宋体" w:eastAsia="宋体"/>
                <w:sz w:val="16"/>
              </w:rPr>
              <w:t>20</w:t>
            </w:r>
          </w:p>
        </w:tc>
      </w:tr>
      <w:tr w14:paraId="0764B90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EFE2E4F"/>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7E9560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E094E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ascii="宋体" w:hAnsi="宋体" w:eastAsia="宋体"/>
                <w:sz w:val="15"/>
                <w:szCs w:val="15"/>
              </w:rPr>
            </w:pPr>
            <w:r>
              <w:rPr>
                <w:rFonts w:ascii="宋体" w:hAnsi="宋体" w:eastAsia="宋体"/>
                <w:sz w:val="15"/>
                <w:szCs w:val="15"/>
              </w:rPr>
              <w:t>教研员指导学校数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B91DA">
            <w:pPr>
              <w:jc w:val="center"/>
            </w:pPr>
            <w:r>
              <w:rPr>
                <w:rFonts w:hint="eastAsia" w:ascii="宋体" w:hAnsi="宋体" w:eastAsia="宋体"/>
                <w:sz w:val="16"/>
              </w:rPr>
              <w:t>≥</w:t>
            </w:r>
            <w:r>
              <w:rPr>
                <w:rFonts w:ascii="宋体" w:hAnsi="宋体" w:eastAsia="宋体"/>
                <w:sz w:val="16"/>
              </w:rPr>
              <w:t>40所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75A67C">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CFCE266">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B4601">
            <w:pPr>
              <w:jc w:val="center"/>
            </w:pPr>
            <w:r>
              <w:rPr>
                <w:rFonts w:ascii="宋体" w:hAnsi="宋体" w:eastAsia="宋体"/>
                <w:sz w:val="16"/>
              </w:rPr>
              <w:t>40所</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AF6E26">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EC3BBC">
            <w:pPr>
              <w:jc w:val="center"/>
            </w:pPr>
            <w:r>
              <w:rPr>
                <w:rFonts w:ascii="宋体" w:hAnsi="宋体" w:eastAsia="宋体"/>
                <w:sz w:val="16"/>
              </w:rPr>
              <w:t>10</w:t>
            </w:r>
          </w:p>
        </w:tc>
      </w:tr>
      <w:tr w14:paraId="070D9F7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14EE7A7"/>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13C835">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58D48">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ascii="宋体" w:hAnsi="宋体" w:eastAsia="宋体"/>
                <w:sz w:val="15"/>
                <w:szCs w:val="15"/>
              </w:rPr>
            </w:pPr>
            <w:r>
              <w:rPr>
                <w:rFonts w:ascii="宋体" w:hAnsi="宋体" w:eastAsia="宋体"/>
                <w:sz w:val="15"/>
                <w:szCs w:val="15"/>
              </w:rPr>
              <w:t>下县视导工作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254D10B">
            <w:pPr>
              <w:jc w:val="center"/>
            </w:pPr>
            <w:r>
              <w:rPr>
                <w:rFonts w:hint="eastAsia" w:ascii="宋体" w:hAnsi="宋体" w:eastAsia="宋体"/>
                <w:sz w:val="16"/>
              </w:rPr>
              <w:t>≥</w:t>
            </w: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5D5B4">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999029">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89D7B6">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17698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621FE3">
            <w:pPr>
              <w:jc w:val="center"/>
            </w:pPr>
            <w:r>
              <w:rPr>
                <w:rFonts w:ascii="宋体" w:hAnsi="宋体" w:eastAsia="宋体"/>
                <w:sz w:val="16"/>
              </w:rPr>
              <w:t>10</w:t>
            </w:r>
          </w:p>
        </w:tc>
      </w:tr>
      <w:tr w14:paraId="72365440">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872254"/>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9644794"/>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E59C69">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ascii="宋体" w:hAnsi="宋体" w:eastAsia="宋体"/>
                <w:sz w:val="15"/>
                <w:szCs w:val="15"/>
              </w:rPr>
            </w:pPr>
            <w:r>
              <w:rPr>
                <w:rFonts w:ascii="宋体" w:hAnsi="宋体" w:eastAsia="宋体"/>
                <w:sz w:val="15"/>
                <w:szCs w:val="15"/>
              </w:rPr>
              <w:t>开展送教下乡及教研活动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49FB2B">
            <w:pPr>
              <w:jc w:val="center"/>
            </w:pPr>
            <w:r>
              <w:rPr>
                <w:rFonts w:hint="eastAsia" w:ascii="宋体" w:hAnsi="宋体" w:eastAsia="宋体"/>
                <w:sz w:val="16"/>
              </w:rPr>
              <w:t>≥</w:t>
            </w: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94E78A">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FBF44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8B0F4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00EC3">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97C31C7">
            <w:pPr>
              <w:jc w:val="center"/>
            </w:pPr>
            <w:r>
              <w:rPr>
                <w:rFonts w:ascii="宋体" w:hAnsi="宋体" w:eastAsia="宋体"/>
                <w:sz w:val="16"/>
              </w:rPr>
              <w:t>10</w:t>
            </w:r>
          </w:p>
        </w:tc>
      </w:tr>
      <w:tr w14:paraId="21B4F47E">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8C2D371"/>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267196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99C091">
            <w:pPr>
              <w:jc w:val="center"/>
              <w:rPr>
                <w:sz w:val="44"/>
                <w:szCs w:val="36"/>
              </w:rPr>
            </w:pPr>
            <w:r>
              <w:rPr>
                <w:rFonts w:ascii="宋体" w:hAnsi="宋体" w:eastAsia="宋体"/>
                <w:sz w:val="15"/>
                <w:szCs w:val="15"/>
              </w:rPr>
              <w:t>教研工作完成及时率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62DA9F6">
            <w:pPr>
              <w:jc w:val="center"/>
            </w:pPr>
            <w:r>
              <w:rPr>
                <w:rFonts w:hint="eastAsia" w:ascii="宋体" w:hAnsi="宋体" w:eastAsia="宋体"/>
                <w:sz w:val="16"/>
              </w:rPr>
              <w:t>≥</w:t>
            </w: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B20D7D">
            <w:pPr>
              <w:jc w:val="center"/>
            </w:pPr>
            <w:r>
              <w:rPr>
                <w:rFonts w:ascii="宋体" w:hAnsi="宋体" w:eastAsia="宋体"/>
                <w:sz w:val="16"/>
              </w:rPr>
              <w:t>2024年工作计划</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C3BFD9">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D6671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86CF6B0">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C0FED4">
            <w:pPr>
              <w:jc w:val="center"/>
            </w:pPr>
            <w:r>
              <w:rPr>
                <w:rFonts w:ascii="宋体" w:hAnsi="宋体" w:eastAsia="宋体"/>
                <w:sz w:val="16"/>
              </w:rPr>
              <w:t>20</w:t>
            </w:r>
          </w:p>
        </w:tc>
      </w:tr>
    </w:tbl>
    <w:p w14:paraId="2D673E4D">
      <w:r>
        <w:br w:type="page"/>
      </w:r>
      <w:bookmarkStart w:id="0" w:name="_GoBack"/>
      <w:bookmarkEnd w:id="0"/>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851"/>
        <w:gridCol w:w="1115"/>
      </w:tblGrid>
      <w:tr w14:paraId="77643475">
        <w:tc>
          <w:tcPr>
            <w:tcW w:w="8847" w:type="dxa"/>
            <w:gridSpan w:val="9"/>
            <w:vAlign w:val="center"/>
          </w:tcPr>
          <w:p w14:paraId="2860075E">
            <w:pPr>
              <w:jc w:val="center"/>
            </w:pPr>
            <w:r>
              <w:rPr>
                <w:rFonts w:ascii="宋体" w:hAnsi="宋体" w:eastAsia="宋体"/>
                <w:sz w:val="24"/>
              </w:rPr>
              <w:t>项目支出绩效自评表</w:t>
            </w:r>
          </w:p>
        </w:tc>
      </w:tr>
      <w:tr w14:paraId="684C0D54">
        <w:tblPrEx>
          <w:tblCellMar>
            <w:top w:w="0" w:type="dxa"/>
            <w:left w:w="108" w:type="dxa"/>
            <w:bottom w:w="0" w:type="dxa"/>
            <w:right w:w="108" w:type="dxa"/>
          </w:tblCellMar>
        </w:tblPrEx>
        <w:tc>
          <w:tcPr>
            <w:tcW w:w="8847" w:type="dxa"/>
            <w:gridSpan w:val="9"/>
            <w:vAlign w:val="center"/>
          </w:tcPr>
          <w:p w14:paraId="516D898E">
            <w:pPr>
              <w:jc w:val="center"/>
            </w:pPr>
            <w:r>
              <w:rPr>
                <w:rFonts w:ascii="宋体" w:hAnsi="宋体" w:eastAsia="宋体"/>
                <w:sz w:val="24"/>
              </w:rPr>
              <w:t>(2024年度)</w:t>
            </w:r>
          </w:p>
        </w:tc>
      </w:tr>
      <w:tr w14:paraId="449C27A2">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3261725">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8DF46F0">
            <w:pPr>
              <w:jc w:val="center"/>
            </w:pPr>
            <w:r>
              <w:rPr>
                <w:rFonts w:ascii="宋体" w:hAnsi="宋体" w:eastAsia="宋体"/>
                <w:sz w:val="16"/>
              </w:rPr>
              <w:t>2024年援疆干部人才南疆工作补贴项目</w:t>
            </w:r>
          </w:p>
        </w:tc>
      </w:tr>
      <w:tr w14:paraId="4241AD86">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9A983C">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12C8244">
            <w:pPr>
              <w:jc w:val="center"/>
            </w:pPr>
            <w:r>
              <w:rPr>
                <w:rFonts w:ascii="宋体" w:hAnsi="宋体" w:eastAsia="宋体"/>
                <w:sz w:val="16"/>
              </w:rPr>
              <w:t>和田地区教学研究室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9E9CF93">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15461BAD">
            <w:pPr>
              <w:jc w:val="center"/>
            </w:pPr>
            <w:r>
              <w:rPr>
                <w:rFonts w:ascii="宋体" w:hAnsi="宋体" w:eastAsia="宋体"/>
                <w:sz w:val="16"/>
              </w:rPr>
              <w:t>和田地区教学研究室</w:t>
            </w:r>
          </w:p>
        </w:tc>
      </w:tr>
      <w:tr w14:paraId="178DB54C">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F8FBF2E">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87767E">
            <w:pPr>
              <w:jc w:val="cente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E6306CA">
            <w:pPr>
              <w:jc w:val="center"/>
            </w:pPr>
            <w:r>
              <w:rPr>
                <w:rFonts w:ascii="宋体" w:hAnsi="宋体" w:eastAsia="宋体"/>
                <w:sz w:val="16"/>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C34065">
            <w:pPr>
              <w:jc w:val="center"/>
            </w:pPr>
            <w:r>
              <w:rPr>
                <w:rFonts w:ascii="宋体" w:hAnsi="宋体" w:eastAsia="宋体"/>
                <w:sz w:val="16"/>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1FBC73D">
            <w:pPr>
              <w:jc w:val="center"/>
            </w:pPr>
            <w:r>
              <w:rPr>
                <w:rFonts w:ascii="宋体" w:hAnsi="宋体" w:eastAsia="宋体"/>
                <w:sz w:val="16"/>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969D76">
            <w:pPr>
              <w:jc w:val="center"/>
            </w:pPr>
            <w:r>
              <w:rPr>
                <w:rFonts w:ascii="宋体" w:hAnsi="宋体" w:eastAsia="宋体"/>
                <w:sz w:val="16"/>
              </w:rPr>
              <w:t>分值</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BE26355">
            <w:pPr>
              <w:jc w:val="center"/>
            </w:pPr>
            <w:r>
              <w:rPr>
                <w:rFonts w:ascii="宋体" w:hAnsi="宋体" w:eastAsia="宋体"/>
                <w:sz w:val="16"/>
              </w:rPr>
              <w:t>执行率</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259DF181">
            <w:pPr>
              <w:jc w:val="center"/>
            </w:pPr>
            <w:r>
              <w:rPr>
                <w:rFonts w:ascii="宋体" w:hAnsi="宋体" w:eastAsia="宋体"/>
                <w:sz w:val="16"/>
              </w:rPr>
              <w:t>得分</w:t>
            </w:r>
          </w:p>
        </w:tc>
      </w:tr>
      <w:tr w14:paraId="2EB8B9C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8272748"/>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CCC69B">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E0E69BC">
            <w:pPr>
              <w:jc w:val="center"/>
            </w:pPr>
            <w:r>
              <w:rPr>
                <w:rFonts w:ascii="宋体" w:hAnsi="宋体" w:eastAsia="宋体"/>
                <w:sz w:val="16"/>
              </w:rPr>
              <w:t>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57091F">
            <w:pPr>
              <w:jc w:val="center"/>
            </w:pPr>
            <w:r>
              <w:rPr>
                <w:rFonts w:ascii="宋体" w:hAnsi="宋体" w:eastAsia="宋体"/>
                <w:sz w:val="16"/>
              </w:rPr>
              <w:t>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864B57">
            <w:pPr>
              <w:jc w:val="center"/>
            </w:pPr>
            <w:r>
              <w:rPr>
                <w:rFonts w:ascii="宋体" w:hAnsi="宋体" w:eastAsia="宋体"/>
                <w:sz w:val="16"/>
              </w:rPr>
              <w:t>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6B4E6A">
            <w:pPr>
              <w:jc w:val="center"/>
            </w:pPr>
            <w:r>
              <w:rPr>
                <w:rFonts w:ascii="宋体" w:hAnsi="宋体" w:eastAsia="宋体"/>
                <w:sz w:val="16"/>
              </w:rPr>
              <w:t>10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181CF085">
            <w:pPr>
              <w:jc w:val="center"/>
            </w:pPr>
            <w:r>
              <w:rPr>
                <w:rFonts w:ascii="宋体" w:hAnsi="宋体" w:eastAsia="宋体"/>
                <w:sz w:val="16"/>
              </w:rPr>
              <w:t xml:space="preserve">83.33% </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50FAEBE9">
            <w:pPr>
              <w:jc w:val="center"/>
            </w:pPr>
            <w:r>
              <w:rPr>
                <w:rFonts w:ascii="宋体" w:hAnsi="宋体" w:eastAsia="宋体"/>
                <w:sz w:val="16"/>
              </w:rPr>
              <w:t>5.83分</w:t>
            </w:r>
          </w:p>
        </w:tc>
      </w:tr>
      <w:tr w14:paraId="1A89AD1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1B84A8B"/>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484813B">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0BE9A7">
            <w:pPr>
              <w:jc w:val="center"/>
            </w:pPr>
            <w:r>
              <w:rPr>
                <w:rFonts w:ascii="宋体" w:hAnsi="宋体" w:eastAsia="宋体"/>
                <w:sz w:val="16"/>
              </w:rPr>
              <w:t>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E31196">
            <w:pPr>
              <w:jc w:val="center"/>
            </w:pPr>
            <w:r>
              <w:rPr>
                <w:rFonts w:ascii="宋体" w:hAnsi="宋体" w:eastAsia="宋体"/>
                <w:sz w:val="16"/>
              </w:rPr>
              <w:t>4.80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0BDDC2">
            <w:pPr>
              <w:jc w:val="center"/>
            </w:pPr>
            <w:r>
              <w:rPr>
                <w:rFonts w:ascii="宋体" w:hAnsi="宋体" w:eastAsia="宋体"/>
                <w:sz w:val="16"/>
              </w:rPr>
              <w:t>4.00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AAE46D6">
            <w:pPr>
              <w:jc w:val="center"/>
            </w:pPr>
            <w:r>
              <w:rPr>
                <w:rFonts w:ascii="宋体" w:hAnsi="宋体" w:eastAsia="宋体"/>
                <w:sz w:val="16"/>
              </w:rPr>
              <w:t>—</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6F13C24C">
            <w:pPr>
              <w:jc w:val="center"/>
            </w:pPr>
            <w:r>
              <w:rPr>
                <w:rFonts w:ascii="宋体" w:hAnsi="宋体" w:eastAsia="宋体"/>
                <w:sz w:val="16"/>
              </w:rPr>
              <w:t>—</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19CA5B38">
            <w:pPr>
              <w:jc w:val="center"/>
            </w:pPr>
            <w:r>
              <w:rPr>
                <w:rFonts w:ascii="宋体" w:hAnsi="宋体" w:eastAsia="宋体"/>
                <w:sz w:val="16"/>
              </w:rPr>
              <w:t>—</w:t>
            </w:r>
          </w:p>
        </w:tc>
      </w:tr>
      <w:tr w14:paraId="6C7FE8A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F931B3F"/>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C64352">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84FAC6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38B2DC">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5B088B">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C660A5">
            <w:pPr>
              <w:jc w:val="center"/>
            </w:pPr>
            <w:r>
              <w:rPr>
                <w:rFonts w:ascii="宋体" w:hAnsi="宋体" w:eastAsia="宋体"/>
                <w:sz w:val="16"/>
              </w:rPr>
              <w:t>—</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6FC08D41">
            <w:pPr>
              <w:jc w:val="center"/>
            </w:pPr>
            <w:r>
              <w:rPr>
                <w:rFonts w:ascii="宋体" w:hAnsi="宋体" w:eastAsia="宋体"/>
                <w:sz w:val="16"/>
              </w:rPr>
              <w:t>—</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398F44D0">
            <w:pPr>
              <w:jc w:val="center"/>
            </w:pPr>
            <w:r>
              <w:rPr>
                <w:rFonts w:ascii="宋体" w:hAnsi="宋体" w:eastAsia="宋体"/>
                <w:sz w:val="16"/>
              </w:rPr>
              <w:t>—</w:t>
            </w:r>
          </w:p>
        </w:tc>
      </w:tr>
      <w:tr w14:paraId="131A0D38">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4A901C0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464727">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01C83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51211B6">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029B2D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625295E">
            <w:pPr>
              <w:jc w:val="center"/>
            </w:pPr>
            <w:r>
              <w:rPr>
                <w:rFonts w:ascii="宋体" w:hAnsi="宋体" w:eastAsia="宋体"/>
                <w:sz w:val="16"/>
              </w:rPr>
              <w:t>—</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51767AE5">
            <w:pPr>
              <w:jc w:val="center"/>
            </w:pPr>
            <w:r>
              <w:rPr>
                <w:rFonts w:ascii="宋体" w:hAnsi="宋体" w:eastAsia="宋体"/>
                <w:sz w:val="16"/>
              </w:rPr>
              <w:t>—</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6D18EEEE">
            <w:pPr>
              <w:jc w:val="center"/>
            </w:pPr>
            <w:r>
              <w:rPr>
                <w:rFonts w:ascii="宋体" w:hAnsi="宋体" w:eastAsia="宋体"/>
                <w:sz w:val="16"/>
              </w:rPr>
              <w:t>—</w:t>
            </w:r>
          </w:p>
        </w:tc>
      </w:tr>
      <w:tr w14:paraId="1AFE185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666DD46">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E82CEBE">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9441B7B">
            <w:pPr>
              <w:jc w:val="center"/>
            </w:pPr>
            <w:r>
              <w:rPr>
                <w:rFonts w:ascii="宋体" w:hAnsi="宋体" w:eastAsia="宋体"/>
                <w:sz w:val="16"/>
              </w:rPr>
              <w:t>实际完成情况</w:t>
            </w:r>
          </w:p>
        </w:tc>
      </w:tr>
      <w:tr w14:paraId="51C3EBB7">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DBCDC61"/>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DD0D70B">
            <w:pPr>
              <w:jc w:val="both"/>
            </w:pPr>
            <w:r>
              <w:rPr>
                <w:rFonts w:ascii="宋体" w:hAnsi="宋体" w:eastAsia="宋体"/>
                <w:sz w:val="16"/>
              </w:rPr>
              <w:t>本项目主要实施内容为：为4名援疆教师发放津贴，项目总投资为4.8万元，项目计划于2024年12月完成。通过本项目的实施，可有效提高援疆教师工作效率，待项目实施完成，争取使受益人群满意度不低于95%。</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45239A7F">
            <w:pPr>
              <w:jc w:val="both"/>
            </w:pPr>
            <w:r>
              <w:rPr>
                <w:rFonts w:hint="eastAsia" w:ascii="宋体" w:hAnsi="宋体"/>
                <w:sz w:val="16"/>
                <w:lang w:eastAsia="zh-CN"/>
              </w:rPr>
              <w:t>截至</w:t>
            </w:r>
            <w:r>
              <w:rPr>
                <w:rFonts w:ascii="宋体" w:hAnsi="宋体" w:eastAsia="宋体"/>
                <w:sz w:val="16"/>
              </w:rPr>
              <w:t>2024年12月31日，本项目实际形成支出4万元，已完成援疆4名教师的津贴发放工作，达到了有效提高援疆教师工作效率的效益，受益教师满意度达到100%。</w:t>
            </w:r>
          </w:p>
        </w:tc>
      </w:tr>
      <w:tr w14:paraId="47BCE1AF">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tcPr>
          <w:p w14:paraId="1E92BAD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382058A">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6C2C830">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3EF969">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77AC459">
            <w:pPr>
              <w:jc w:val="center"/>
            </w:pPr>
            <w:r>
              <w:rPr>
                <w:rFonts w:ascii="宋体" w:hAnsi="宋体" w:eastAsia="宋体"/>
                <w:sz w:val="16"/>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70EC28">
            <w:pPr>
              <w:jc w:val="center"/>
            </w:pPr>
            <w:r>
              <w:rPr>
                <w:rFonts w:ascii="宋体" w:hAnsi="宋体" w:eastAsia="宋体"/>
                <w:sz w:val="16"/>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A27DE74">
            <w:pPr>
              <w:jc w:val="center"/>
            </w:pPr>
            <w:r>
              <w:rPr>
                <w:rFonts w:ascii="宋体" w:hAnsi="宋体" w:eastAsia="宋体"/>
                <w:sz w:val="16"/>
              </w:rPr>
              <w:t>分值</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767D5009">
            <w:pPr>
              <w:jc w:val="center"/>
            </w:pPr>
            <w:r>
              <w:rPr>
                <w:rFonts w:ascii="宋体" w:hAnsi="宋体" w:eastAsia="宋体"/>
                <w:sz w:val="16"/>
              </w:rPr>
              <w:t>得分</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1CC234A7">
            <w:pPr>
              <w:jc w:val="center"/>
            </w:pPr>
            <w:r>
              <w:rPr>
                <w:rFonts w:ascii="宋体" w:hAnsi="宋体" w:eastAsia="宋体"/>
                <w:sz w:val="16"/>
              </w:rPr>
              <w:t>偏差原因分析及改进措施</w:t>
            </w:r>
          </w:p>
        </w:tc>
      </w:tr>
      <w:tr w14:paraId="22D202ED">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7E23E9">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D365DA0">
            <w:pPr>
              <w:jc w:val="center"/>
            </w:pPr>
            <w:r>
              <w:rPr>
                <w:rFonts w:ascii="宋体" w:hAnsi="宋体" w:eastAsia="宋体"/>
                <w:sz w:val="16"/>
              </w:rPr>
              <w:t>产出指标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6F871F">
            <w:pPr>
              <w:jc w:val="center"/>
            </w:pPr>
            <w:r>
              <w:rPr>
                <w:rFonts w:ascii="宋体" w:hAnsi="宋体" w:eastAsia="宋体"/>
                <w:sz w:val="16"/>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CA43CAE">
            <w:pPr>
              <w:jc w:val="center"/>
            </w:pPr>
            <w:r>
              <w:rPr>
                <w:rFonts w:ascii="宋体" w:hAnsi="宋体" w:eastAsia="宋体"/>
                <w:sz w:val="16"/>
              </w:rPr>
              <w:t>发放南疆津贴人数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97D367">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E24B1E">
            <w:pPr>
              <w:jc w:val="center"/>
            </w:pPr>
            <w:r>
              <w:rPr>
                <w:rFonts w:ascii="宋体" w:hAnsi="宋体" w:eastAsia="宋体"/>
                <w:sz w:val="16"/>
              </w:rPr>
              <w:t>=4人</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1BBBA">
            <w:pPr>
              <w:jc w:val="center"/>
            </w:pPr>
            <w:r>
              <w:rPr>
                <w:rFonts w:ascii="宋体" w:hAnsi="宋体" w:eastAsia="宋体"/>
                <w:sz w:val="16"/>
              </w:rPr>
              <w:t>10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3EDC1E0D">
            <w:pPr>
              <w:jc w:val="center"/>
            </w:pPr>
            <w:r>
              <w:rPr>
                <w:rFonts w:ascii="宋体" w:hAnsi="宋体" w:eastAsia="宋体"/>
                <w:sz w:val="16"/>
              </w:rPr>
              <w:t>10</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36BC0147">
            <w:pPr>
              <w:jc w:val="center"/>
            </w:pPr>
          </w:p>
        </w:tc>
      </w:tr>
      <w:tr w14:paraId="07F980AF">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6239F17"/>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CD8D1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ABFA74">
            <w:pPr>
              <w:jc w:val="center"/>
            </w:pPr>
            <w:r>
              <w:rPr>
                <w:rFonts w:ascii="宋体" w:hAnsi="宋体" w:eastAsia="宋体"/>
                <w:sz w:val="16"/>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D1454A">
            <w:pPr>
              <w:jc w:val="center"/>
            </w:pPr>
            <w:r>
              <w:rPr>
                <w:rFonts w:ascii="宋体" w:hAnsi="宋体" w:eastAsia="宋体"/>
                <w:sz w:val="16"/>
              </w:rPr>
              <w:t>发放人员覆盖率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6B6CEA">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E69466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86A1A1">
            <w:pPr>
              <w:jc w:val="center"/>
            </w:pPr>
            <w:r>
              <w:rPr>
                <w:rFonts w:ascii="宋体" w:hAnsi="宋体" w:eastAsia="宋体"/>
                <w:sz w:val="16"/>
              </w:rPr>
              <w:t>10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6F4970B3">
            <w:pPr>
              <w:jc w:val="center"/>
            </w:pPr>
            <w:r>
              <w:rPr>
                <w:rFonts w:ascii="宋体" w:hAnsi="宋体" w:eastAsia="宋体"/>
                <w:sz w:val="16"/>
              </w:rPr>
              <w:t>10</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38931EF9">
            <w:pPr>
              <w:jc w:val="center"/>
            </w:pPr>
          </w:p>
        </w:tc>
      </w:tr>
      <w:tr w14:paraId="7AE68E1B">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23E568D"/>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45D9FA9"/>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0C0976">
            <w:pPr>
              <w:jc w:val="center"/>
            </w:pPr>
            <w:r>
              <w:rPr>
                <w:rFonts w:ascii="宋体" w:hAnsi="宋体" w:eastAsia="宋体"/>
                <w:sz w:val="16"/>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691AB1">
            <w:pPr>
              <w:jc w:val="center"/>
            </w:pPr>
            <w:r>
              <w:rPr>
                <w:rFonts w:ascii="宋体" w:hAnsi="宋体" w:eastAsia="宋体"/>
                <w:sz w:val="16"/>
              </w:rPr>
              <w:t>资金支付及时率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01E33F">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A80B230">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B1F2422">
            <w:pPr>
              <w:jc w:val="center"/>
            </w:pPr>
            <w:r>
              <w:rPr>
                <w:rFonts w:ascii="宋体" w:hAnsi="宋体" w:eastAsia="宋体"/>
                <w:sz w:val="16"/>
              </w:rPr>
              <w:t>10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37DCCCC5">
            <w:pPr>
              <w:jc w:val="center"/>
            </w:pPr>
            <w:r>
              <w:rPr>
                <w:rFonts w:ascii="宋体" w:hAnsi="宋体" w:eastAsia="宋体"/>
                <w:sz w:val="16"/>
              </w:rPr>
              <w:t>10</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4E7AC6BF">
            <w:pPr>
              <w:jc w:val="center"/>
            </w:pPr>
          </w:p>
        </w:tc>
      </w:tr>
      <w:tr w14:paraId="669A39D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14B2B3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0FA4519"/>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C97DF4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B454F60">
            <w:pPr>
              <w:jc w:val="center"/>
            </w:pPr>
            <w:r>
              <w:rPr>
                <w:rFonts w:ascii="宋体" w:hAnsi="宋体" w:eastAsia="宋体"/>
                <w:sz w:val="16"/>
              </w:rPr>
              <w:t>项目完成时间</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C6A52B0">
            <w:pPr>
              <w:jc w:val="center"/>
            </w:pPr>
            <w:r>
              <w:rPr>
                <w:rFonts w:ascii="宋体" w:hAnsi="宋体" w:eastAsia="宋体"/>
                <w:sz w:val="16"/>
              </w:rPr>
              <w:t>2024年12月底前</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3B7BF28">
            <w:pPr>
              <w:jc w:val="center"/>
            </w:pPr>
            <w:r>
              <w:rPr>
                <w:rFonts w:ascii="宋体" w:hAnsi="宋体" w:eastAsia="宋体"/>
                <w:sz w:val="16"/>
              </w:rPr>
              <w:t>2024年12月31日</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DFE53D">
            <w:pPr>
              <w:jc w:val="center"/>
            </w:pPr>
            <w:r>
              <w:rPr>
                <w:rFonts w:ascii="宋体" w:hAnsi="宋体" w:eastAsia="宋体"/>
                <w:sz w:val="16"/>
              </w:rPr>
              <w:t>10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47DB5B25">
            <w:pPr>
              <w:jc w:val="center"/>
            </w:pPr>
            <w:r>
              <w:rPr>
                <w:rFonts w:ascii="宋体" w:hAnsi="宋体" w:eastAsia="宋体"/>
                <w:sz w:val="16"/>
              </w:rPr>
              <w:t>10</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78B8F8E0">
            <w:pPr>
              <w:jc w:val="center"/>
            </w:pPr>
          </w:p>
        </w:tc>
      </w:tr>
      <w:tr w14:paraId="0FAADF16">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E22F7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DACC64">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1F5746">
            <w:pPr>
              <w:jc w:val="center"/>
            </w:pPr>
            <w:r>
              <w:rPr>
                <w:rFonts w:ascii="宋体" w:hAnsi="宋体" w:eastAsia="宋体"/>
                <w:sz w:val="16"/>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71AD796">
            <w:pPr>
              <w:jc w:val="center"/>
            </w:pPr>
            <w:r>
              <w:rPr>
                <w:rFonts w:ascii="宋体" w:hAnsi="宋体" w:eastAsia="宋体"/>
                <w:sz w:val="16"/>
              </w:rPr>
              <w:t>南疆津贴发放总额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AED47A">
            <w:pPr>
              <w:jc w:val="center"/>
            </w:pPr>
            <w:r>
              <w:rPr>
                <w:rFonts w:ascii="宋体" w:hAnsi="宋体" w:eastAsia="宋体"/>
                <w:sz w:val="16"/>
              </w:rPr>
              <w:t>≤4.80万元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A3B0D2">
            <w:pPr>
              <w:jc w:val="center"/>
            </w:pPr>
            <w:r>
              <w:rPr>
                <w:rFonts w:ascii="宋体" w:hAnsi="宋体" w:eastAsia="宋体"/>
                <w:sz w:val="16"/>
              </w:rPr>
              <w:t>=4万元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BC002D5">
            <w:pPr>
              <w:jc w:val="center"/>
            </w:pPr>
            <w:r>
              <w:rPr>
                <w:rFonts w:ascii="宋体" w:hAnsi="宋体" w:eastAsia="宋体"/>
                <w:sz w:val="16"/>
              </w:rPr>
              <w:t>20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868CDC1">
            <w:pPr>
              <w:jc w:val="center"/>
            </w:pPr>
            <w:r>
              <w:rPr>
                <w:rFonts w:ascii="宋体" w:hAnsi="宋体" w:eastAsia="宋体"/>
                <w:sz w:val="16"/>
              </w:rPr>
              <w:t>11.66</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43C5AD8E">
            <w:pPr>
              <w:jc w:val="center"/>
            </w:pPr>
            <w:r>
              <w:rPr>
                <w:rFonts w:ascii="宋体" w:hAnsi="宋体" w:eastAsia="宋体"/>
                <w:sz w:val="16"/>
              </w:rPr>
              <w:t>偏差原因：年初测算不精准导致偏差，改进措施：提高预算编制能力。</w:t>
            </w:r>
          </w:p>
        </w:tc>
      </w:tr>
      <w:tr w14:paraId="72F0993C">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354126E"/>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2B48F0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08EF6DC">
            <w:pPr>
              <w:jc w:val="center"/>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2DD113">
            <w:pPr>
              <w:jc w:val="center"/>
            </w:pPr>
            <w:r>
              <w:rPr>
                <w:rFonts w:ascii="宋体" w:hAnsi="宋体" w:eastAsia="宋体"/>
                <w:sz w:val="16"/>
              </w:rPr>
              <w:t>提高教师工作效率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C64DFCA">
            <w:pPr>
              <w:jc w:val="center"/>
            </w:pPr>
            <w:r>
              <w:rPr>
                <w:rFonts w:ascii="宋体" w:hAnsi="宋体" w:eastAsia="宋体"/>
                <w:sz w:val="16"/>
              </w:rPr>
              <w:t>有效提高</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A188F05">
            <w:pPr>
              <w:jc w:val="center"/>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5412A5A">
            <w:pPr>
              <w:jc w:val="center"/>
            </w:pPr>
            <w:r>
              <w:rPr>
                <w:rFonts w:ascii="宋体" w:hAnsi="宋体" w:eastAsia="宋体"/>
                <w:sz w:val="16"/>
              </w:rPr>
              <w:t>20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6D99DC0D">
            <w:pPr>
              <w:jc w:val="center"/>
            </w:pPr>
            <w:r>
              <w:rPr>
                <w:rFonts w:ascii="宋体" w:hAnsi="宋体" w:eastAsia="宋体"/>
                <w:sz w:val="16"/>
              </w:rPr>
              <w:t>20</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7FEDD383">
            <w:pPr>
              <w:jc w:val="center"/>
            </w:pPr>
          </w:p>
        </w:tc>
      </w:tr>
      <w:tr w14:paraId="504B56A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0ED1A40"/>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C2A56E">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EE4A453">
            <w:pPr>
              <w:jc w:val="center"/>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35A527">
            <w:pPr>
              <w:jc w:val="center"/>
            </w:pPr>
            <w:r>
              <w:rPr>
                <w:rFonts w:ascii="宋体" w:hAnsi="宋体" w:eastAsia="宋体"/>
                <w:sz w:val="16"/>
              </w:rPr>
              <w:t>受益教师满意度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34180EF">
            <w:pPr>
              <w:jc w:val="center"/>
            </w:pPr>
            <w:r>
              <w:rPr>
                <w:rFonts w:ascii="宋体" w:hAnsi="宋体" w:eastAsia="宋体"/>
                <w:sz w:val="16"/>
              </w:rPr>
              <w:t>≥95%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A8A0D">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8A9EAF">
            <w:pPr>
              <w:jc w:val="center"/>
            </w:pPr>
            <w:r>
              <w:rPr>
                <w:rFonts w:ascii="宋体" w:hAnsi="宋体" w:eastAsia="宋体"/>
                <w:sz w:val="16"/>
              </w:rPr>
              <w:t>10</w:t>
            </w:r>
          </w:p>
        </w:tc>
        <w:tc>
          <w:tcPr>
            <w:tcW w:w="851" w:type="dxa"/>
            <w:tcBorders>
              <w:top w:val="single" w:color="auto" w:sz="10" w:space="0"/>
              <w:left w:val="single" w:color="auto" w:sz="10" w:space="0"/>
              <w:bottom w:val="single" w:color="auto" w:sz="10" w:space="0"/>
              <w:right w:val="single" w:color="auto" w:sz="10" w:space="0"/>
              <w:insideV w:val="single" w:sz="10" w:space="0"/>
            </w:tcBorders>
            <w:vAlign w:val="center"/>
          </w:tcPr>
          <w:p w14:paraId="050D73E5">
            <w:pPr>
              <w:jc w:val="center"/>
            </w:pPr>
            <w:r>
              <w:rPr>
                <w:rFonts w:ascii="宋体" w:hAnsi="宋体" w:eastAsia="宋体"/>
                <w:sz w:val="16"/>
              </w:rPr>
              <w:t>10</w:t>
            </w:r>
          </w:p>
        </w:tc>
        <w:tc>
          <w:tcPr>
            <w:tcW w:w="1115" w:type="dxa"/>
            <w:tcBorders>
              <w:top w:val="single" w:color="auto" w:sz="10" w:space="0"/>
              <w:left w:val="single" w:color="auto" w:sz="10" w:space="0"/>
              <w:bottom w:val="single" w:color="auto" w:sz="10" w:space="0"/>
              <w:right w:val="single" w:color="auto" w:sz="10" w:space="0"/>
              <w:insideV w:val="single" w:sz="10" w:space="0"/>
            </w:tcBorders>
            <w:vAlign w:val="center"/>
          </w:tcPr>
          <w:p w14:paraId="01ACF3D8">
            <w:pPr>
              <w:jc w:val="center"/>
            </w:pPr>
          </w:p>
        </w:tc>
      </w:tr>
      <w:tr w14:paraId="27CE1B24">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93904E">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3FFC8966">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A05CB4E">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B8B932">
            <w:pPr>
              <w:jc w:val="center"/>
            </w:pPr>
            <w:r>
              <w:rPr>
                <w:rFonts w:ascii="宋体" w:hAnsi="宋体" w:eastAsia="宋体"/>
                <w:sz w:val="16"/>
              </w:rPr>
              <w:t>87.49分</w:t>
            </w:r>
          </w:p>
        </w:tc>
      </w:tr>
    </w:tbl>
    <w:p w14:paraId="29E50E42">
      <w:r>
        <w:br w:type="page"/>
      </w:r>
    </w:p>
    <w:tbl>
      <w:tblPr>
        <w:tblStyle w:val="9"/>
        <w:tblW w:w="0" w:type="auto"/>
        <w:tblInd w:w="0" w:type="dxa"/>
        <w:tblLayout w:type="autofit"/>
        <w:tblCellMar>
          <w:top w:w="0" w:type="dxa"/>
          <w:left w:w="108" w:type="dxa"/>
          <w:bottom w:w="0" w:type="dxa"/>
          <w:right w:w="108" w:type="dxa"/>
        </w:tblCellMar>
      </w:tblPr>
      <w:tblGrid>
        <w:gridCol w:w="983"/>
        <w:gridCol w:w="983"/>
        <w:gridCol w:w="983"/>
        <w:gridCol w:w="983"/>
        <w:gridCol w:w="983"/>
        <w:gridCol w:w="983"/>
        <w:gridCol w:w="983"/>
        <w:gridCol w:w="983"/>
        <w:gridCol w:w="983"/>
      </w:tblGrid>
      <w:tr w14:paraId="0BC734A8">
        <w:tblPrEx>
          <w:tblCellMar>
            <w:top w:w="0" w:type="dxa"/>
            <w:left w:w="108" w:type="dxa"/>
            <w:bottom w:w="0" w:type="dxa"/>
            <w:right w:w="108" w:type="dxa"/>
          </w:tblCellMar>
        </w:tblPrEx>
        <w:tc>
          <w:tcPr>
            <w:tcW w:w="8847" w:type="dxa"/>
            <w:gridSpan w:val="9"/>
            <w:vAlign w:val="center"/>
          </w:tcPr>
          <w:p w14:paraId="565123F8">
            <w:pPr>
              <w:jc w:val="center"/>
            </w:pPr>
            <w:r>
              <w:rPr>
                <w:rFonts w:ascii="宋体" w:hAnsi="宋体" w:eastAsia="宋体"/>
                <w:sz w:val="24"/>
              </w:rPr>
              <w:t>项目支出绩效自评表</w:t>
            </w:r>
          </w:p>
        </w:tc>
      </w:tr>
      <w:tr w14:paraId="36653A2D">
        <w:tblPrEx>
          <w:tblCellMar>
            <w:top w:w="0" w:type="dxa"/>
            <w:left w:w="108" w:type="dxa"/>
            <w:bottom w:w="0" w:type="dxa"/>
            <w:right w:w="108" w:type="dxa"/>
          </w:tblCellMar>
        </w:tblPrEx>
        <w:trPr>
          <w:trHeight w:val="90" w:hRule="atLeast"/>
        </w:trPr>
        <w:tc>
          <w:tcPr>
            <w:tcW w:w="8847" w:type="dxa"/>
            <w:gridSpan w:val="9"/>
            <w:vAlign w:val="center"/>
          </w:tcPr>
          <w:p w14:paraId="4C9A8726">
            <w:pPr>
              <w:jc w:val="center"/>
            </w:pPr>
            <w:r>
              <w:rPr>
                <w:rFonts w:ascii="宋体" w:hAnsi="宋体" w:eastAsia="宋体"/>
                <w:sz w:val="24"/>
              </w:rPr>
              <w:t>(2024年度)</w:t>
            </w:r>
          </w:p>
        </w:tc>
      </w:tr>
      <w:tr w14:paraId="72B44134">
        <w:tblPrEx>
          <w:tblCellMar>
            <w:top w:w="0" w:type="dxa"/>
            <w:left w:w="108" w:type="dxa"/>
            <w:bottom w:w="0" w:type="dxa"/>
            <w:right w:w="108" w:type="dxa"/>
          </w:tblCellMar>
        </w:tblPrEx>
        <w:trPr>
          <w:trHeight w:val="212"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6F588B9">
            <w:pPr>
              <w:jc w:val="center"/>
            </w:pPr>
            <w:r>
              <w:rPr>
                <w:rFonts w:ascii="宋体" w:hAnsi="宋体" w:eastAsia="宋体"/>
                <w:sz w:val="16"/>
              </w:rPr>
              <w:t>项目名称</w:t>
            </w:r>
          </w:p>
        </w:tc>
        <w:tc>
          <w:tcPr>
            <w:tcW w:w="7864" w:type="dxa"/>
            <w:gridSpan w:val="8"/>
            <w:tcBorders>
              <w:top w:val="single" w:color="auto" w:sz="10" w:space="0"/>
              <w:left w:val="single" w:color="auto" w:sz="10" w:space="0"/>
              <w:bottom w:val="single" w:color="auto" w:sz="10" w:space="0"/>
              <w:right w:val="single" w:color="auto" w:sz="10" w:space="0"/>
              <w:insideV w:val="single" w:sz="10" w:space="0"/>
            </w:tcBorders>
            <w:vAlign w:val="center"/>
          </w:tcPr>
          <w:p w14:paraId="66F37641">
            <w:pPr>
              <w:jc w:val="center"/>
            </w:pPr>
            <w:r>
              <w:rPr>
                <w:rFonts w:ascii="宋体" w:hAnsi="宋体" w:eastAsia="宋体"/>
                <w:sz w:val="16"/>
              </w:rPr>
              <w:t>教研经费项目</w:t>
            </w:r>
          </w:p>
        </w:tc>
      </w:tr>
      <w:tr w14:paraId="1F506EE0">
        <w:tblPrEx>
          <w:tblCellMar>
            <w:top w:w="0" w:type="dxa"/>
            <w:left w:w="108" w:type="dxa"/>
            <w:bottom w:w="0" w:type="dxa"/>
            <w:right w:w="108" w:type="dxa"/>
          </w:tblCellMar>
        </w:tblPrEx>
        <w:trPr>
          <w:trHeight w:val="122" w:hRule="atLeast"/>
        </w:trPr>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EDAB24">
            <w:pPr>
              <w:jc w:val="center"/>
            </w:pPr>
            <w:r>
              <w:rPr>
                <w:rFonts w:ascii="宋体" w:hAnsi="宋体" w:eastAsia="宋体"/>
                <w:sz w:val="16"/>
              </w:rPr>
              <w:t>主管部门</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3B67BF">
            <w:pPr>
              <w:jc w:val="center"/>
            </w:pPr>
            <w:r>
              <w:rPr>
                <w:rFonts w:ascii="宋体" w:hAnsi="宋体" w:eastAsia="宋体"/>
                <w:sz w:val="16"/>
              </w:rPr>
              <w:t>和田地区教学研究室</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1B2144">
            <w:pPr>
              <w:jc w:val="center"/>
            </w:pPr>
            <w:r>
              <w:rPr>
                <w:rFonts w:ascii="宋体" w:hAnsi="宋体" w:eastAsia="宋体"/>
                <w:sz w:val="16"/>
              </w:rPr>
              <w:t>实施单位</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31369DAF">
            <w:pPr>
              <w:jc w:val="center"/>
            </w:pPr>
            <w:r>
              <w:rPr>
                <w:rFonts w:ascii="宋体" w:hAnsi="宋体" w:eastAsia="宋体"/>
                <w:sz w:val="16"/>
              </w:rPr>
              <w:t>和田地区教学研究室</w:t>
            </w:r>
          </w:p>
        </w:tc>
      </w:tr>
      <w:tr w14:paraId="2B1070E0">
        <w:tblPrEx>
          <w:tblCellMar>
            <w:top w:w="0" w:type="dxa"/>
            <w:left w:w="108" w:type="dxa"/>
            <w:bottom w:w="0" w:type="dxa"/>
            <w:right w:w="108" w:type="dxa"/>
          </w:tblCellMar>
        </w:tblPrEx>
        <w:trPr>
          <w:trHeight w:val="359"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95EEA24">
            <w:pPr>
              <w:jc w:val="center"/>
            </w:pPr>
            <w:r>
              <w:rPr>
                <w:rFonts w:ascii="宋体" w:hAnsi="宋体" w:eastAsia="宋体"/>
                <w:sz w:val="16"/>
              </w:rPr>
              <w:t>项目资金 （万元）</w:t>
            </w:r>
          </w:p>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A3C21CC">
            <w:pPr>
              <w:jc w:val="both"/>
              <w:rPr>
                <w:sz w:val="22"/>
                <w:szCs w:val="20"/>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386E06">
            <w:pPr>
              <w:jc w:val="center"/>
              <w:rPr>
                <w:sz w:val="28"/>
                <w:szCs w:val="22"/>
              </w:rPr>
            </w:pPr>
            <w:r>
              <w:rPr>
                <w:rFonts w:ascii="宋体" w:hAnsi="宋体" w:eastAsia="宋体"/>
                <w:sz w:val="15"/>
                <w:szCs w:val="22"/>
              </w:rPr>
              <w:t>年初预算数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8F07721">
            <w:pPr>
              <w:jc w:val="center"/>
              <w:rPr>
                <w:sz w:val="28"/>
                <w:szCs w:val="22"/>
              </w:rPr>
            </w:pPr>
            <w:r>
              <w:rPr>
                <w:rFonts w:ascii="宋体" w:hAnsi="宋体" w:eastAsia="宋体"/>
                <w:sz w:val="15"/>
                <w:szCs w:val="22"/>
              </w:rPr>
              <w:t>全年预算数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E418296">
            <w:pPr>
              <w:jc w:val="center"/>
              <w:rPr>
                <w:sz w:val="28"/>
                <w:szCs w:val="22"/>
              </w:rPr>
            </w:pPr>
            <w:r>
              <w:rPr>
                <w:rFonts w:ascii="宋体" w:hAnsi="宋体" w:eastAsia="宋体"/>
                <w:sz w:val="15"/>
                <w:szCs w:val="22"/>
              </w:rPr>
              <w:t>全年执行数</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9AFA0C">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C17994E">
            <w:pPr>
              <w:jc w:val="center"/>
            </w:pPr>
            <w:r>
              <w:rPr>
                <w:rFonts w:ascii="宋体" w:hAnsi="宋体" w:eastAsia="宋体"/>
                <w:sz w:val="16"/>
              </w:rPr>
              <w:t>执行率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B353EA">
            <w:pPr>
              <w:jc w:val="center"/>
            </w:pPr>
            <w:r>
              <w:rPr>
                <w:rFonts w:ascii="宋体" w:hAnsi="宋体" w:eastAsia="宋体"/>
                <w:sz w:val="16"/>
              </w:rPr>
              <w:t>得分</w:t>
            </w:r>
          </w:p>
        </w:tc>
      </w:tr>
      <w:tr w14:paraId="3F53C81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BC7699"/>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6325813">
            <w:pPr>
              <w:jc w:val="center"/>
            </w:pPr>
            <w:r>
              <w:rPr>
                <w:rFonts w:ascii="宋体" w:hAnsi="宋体" w:eastAsia="宋体"/>
                <w:sz w:val="16"/>
              </w:rPr>
              <w:t>年度资金总额</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46695B">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58422">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4B4EF7C">
            <w:pPr>
              <w:jc w:val="center"/>
            </w:pPr>
            <w:r>
              <w:rPr>
                <w:rFonts w:ascii="宋体" w:hAnsi="宋体" w:eastAsia="宋体"/>
                <w:sz w:val="16"/>
              </w:rPr>
              <w:t>14.05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421CF4C">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2721F99">
            <w:pPr>
              <w:jc w:val="center"/>
            </w:pPr>
            <w:r>
              <w:rPr>
                <w:rFonts w:ascii="宋体" w:hAnsi="宋体" w:eastAsia="宋体"/>
                <w:sz w:val="16"/>
              </w:rPr>
              <w:t xml:space="preserve">93.67% </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7D74ABD">
            <w:pPr>
              <w:jc w:val="center"/>
            </w:pPr>
            <w:r>
              <w:rPr>
                <w:rFonts w:ascii="宋体" w:hAnsi="宋体" w:eastAsia="宋体"/>
                <w:sz w:val="16"/>
              </w:rPr>
              <w:t>8.42分</w:t>
            </w:r>
          </w:p>
        </w:tc>
      </w:tr>
      <w:tr w14:paraId="1606CC29">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BDAA446"/>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1ED9F51">
            <w:pPr>
              <w:jc w:val="center"/>
            </w:pPr>
            <w:r>
              <w:rPr>
                <w:rFonts w:ascii="宋体" w:hAnsi="宋体" w:eastAsia="宋体"/>
                <w:sz w:val="16"/>
              </w:rPr>
              <w:t>其中：当年财政拨款</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B07C9C">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36B5EA">
            <w:pPr>
              <w:jc w:val="center"/>
            </w:pPr>
            <w:r>
              <w:rPr>
                <w:rFonts w:ascii="宋体" w:hAnsi="宋体" w:eastAsia="宋体"/>
                <w:sz w:val="16"/>
              </w:rPr>
              <w:t>15.00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E79FBA8">
            <w:pPr>
              <w:jc w:val="center"/>
            </w:pPr>
            <w:r>
              <w:rPr>
                <w:rFonts w:ascii="宋体" w:hAnsi="宋体" w:eastAsia="宋体"/>
                <w:sz w:val="16"/>
              </w:rPr>
              <w:t>14.05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A0693F">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275A9">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47B4F4">
            <w:pPr>
              <w:jc w:val="center"/>
            </w:pPr>
            <w:r>
              <w:rPr>
                <w:rFonts w:ascii="宋体" w:hAnsi="宋体" w:eastAsia="宋体"/>
                <w:sz w:val="16"/>
              </w:rPr>
              <w:t>—</w:t>
            </w:r>
          </w:p>
        </w:tc>
      </w:tr>
      <w:tr w14:paraId="6584653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E6571E5"/>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BFA9E5">
            <w:pPr>
              <w:jc w:val="center"/>
            </w:pPr>
            <w:r>
              <w:rPr>
                <w:rFonts w:ascii="宋体" w:hAnsi="宋体" w:eastAsia="宋体"/>
                <w:sz w:val="16"/>
              </w:rPr>
              <w:t xml:space="preserve">      上年结转资金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54D9B5">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175818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474EB9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6A8CEA3">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31FB4DD">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69E28C2">
            <w:pPr>
              <w:jc w:val="center"/>
            </w:pPr>
            <w:r>
              <w:rPr>
                <w:rFonts w:ascii="宋体" w:hAnsi="宋体" w:eastAsia="宋体"/>
                <w:sz w:val="16"/>
              </w:rPr>
              <w:t>—</w:t>
            </w:r>
          </w:p>
        </w:tc>
      </w:tr>
      <w:tr w14:paraId="33BB0F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0EB934"/>
        </w:tc>
        <w:tc>
          <w:tcPr>
            <w:tcW w:w="1966"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8409495">
            <w:pPr>
              <w:jc w:val="center"/>
            </w:pPr>
            <w:r>
              <w:rPr>
                <w:rFonts w:ascii="宋体" w:hAnsi="宋体" w:eastAsia="宋体"/>
                <w:sz w:val="16"/>
              </w:rPr>
              <w:t xml:space="preserve">  其他资金</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732592">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4FCAFEA">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5328BB4">
            <w:pPr>
              <w:jc w:val="center"/>
            </w:pPr>
            <w:r>
              <w:rPr>
                <w:rFonts w:ascii="宋体" w:hAnsi="宋体" w:eastAsia="宋体"/>
                <w:sz w:val="16"/>
              </w:rPr>
              <w:t>0.00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315921">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F04A290">
            <w:pPr>
              <w:jc w:val="center"/>
            </w:pPr>
            <w:r>
              <w:rPr>
                <w:rFonts w:ascii="宋体" w:hAnsi="宋体" w:eastAsia="宋体"/>
                <w:sz w:val="16"/>
              </w:rPr>
              <w:t>—</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83A9483">
            <w:pPr>
              <w:jc w:val="center"/>
            </w:pPr>
            <w:r>
              <w:rPr>
                <w:rFonts w:ascii="宋体" w:hAnsi="宋体" w:eastAsia="宋体"/>
                <w:sz w:val="16"/>
              </w:rPr>
              <w:t>—</w:t>
            </w:r>
          </w:p>
        </w:tc>
      </w:tr>
      <w:tr w14:paraId="00BBA4E8">
        <w:tblPrEx>
          <w:tblCellMar>
            <w:top w:w="0" w:type="dxa"/>
            <w:left w:w="108" w:type="dxa"/>
            <w:bottom w:w="0" w:type="dxa"/>
            <w:right w:w="108" w:type="dxa"/>
          </w:tblCellMar>
        </w:tblPrEx>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2682E43">
            <w:pPr>
              <w:jc w:val="center"/>
            </w:pPr>
            <w:r>
              <w:rPr>
                <w:rFonts w:ascii="宋体" w:hAnsi="宋体" w:eastAsia="宋体"/>
                <w:sz w:val="16"/>
              </w:rPr>
              <w:t>年度总体目标</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6F31B065">
            <w:pPr>
              <w:jc w:val="center"/>
            </w:pPr>
            <w:r>
              <w:rPr>
                <w:rFonts w:ascii="宋体" w:hAnsi="宋体" w:eastAsia="宋体"/>
                <w:sz w:val="16"/>
              </w:rPr>
              <w:t>预期目标</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0281F911">
            <w:pPr>
              <w:jc w:val="center"/>
            </w:pPr>
            <w:r>
              <w:rPr>
                <w:rFonts w:ascii="宋体" w:hAnsi="宋体" w:eastAsia="宋体"/>
                <w:sz w:val="16"/>
              </w:rPr>
              <w:t>实际完成情况</w:t>
            </w:r>
          </w:p>
        </w:tc>
      </w:tr>
      <w:tr w14:paraId="40D5A641">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7969366"/>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2AA45CA5">
            <w:pPr>
              <w:keepNext w:val="0"/>
              <w:keepLines w:val="0"/>
              <w:pageBreakBefore w:val="0"/>
              <w:widowControl w:val="0"/>
              <w:kinsoku/>
              <w:wordWrap/>
              <w:overflowPunct/>
              <w:topLinePunct w:val="0"/>
              <w:autoSpaceDE/>
              <w:autoSpaceDN/>
              <w:bidi w:val="0"/>
              <w:adjustRightInd/>
              <w:snapToGrid/>
              <w:spacing w:line="180" w:lineRule="exact"/>
              <w:textAlignment w:val="auto"/>
            </w:pPr>
            <w:r>
              <w:rPr>
                <w:rFonts w:ascii="宋体" w:hAnsi="宋体" w:eastAsia="宋体"/>
                <w:sz w:val="11"/>
                <w:szCs w:val="20"/>
              </w:rPr>
              <w:t>和田地区教学研究室2024年度教研经费项目于2024年1月开始至2024年12月结束。</w:t>
            </w:r>
            <w:r>
              <w:rPr>
                <w:rFonts w:ascii="宋体" w:hAnsi="宋体" w:eastAsia="宋体"/>
                <w:sz w:val="11"/>
                <w:szCs w:val="20"/>
              </w:rPr>
              <w:br w:type="textWrapping"/>
            </w:r>
            <w:r>
              <w:rPr>
                <w:rFonts w:ascii="宋体" w:hAnsi="宋体" w:eastAsia="宋体"/>
                <w:sz w:val="11"/>
                <w:szCs w:val="20"/>
              </w:rPr>
              <w:t xml:space="preserve">    一、设立各种优质课评比活动及奖励。</w:t>
            </w:r>
            <w:r>
              <w:rPr>
                <w:rFonts w:ascii="宋体" w:hAnsi="宋体" w:eastAsia="宋体"/>
                <w:sz w:val="11"/>
                <w:szCs w:val="20"/>
              </w:rPr>
              <w:br w:type="textWrapping"/>
            </w:r>
            <w:r>
              <w:rPr>
                <w:rFonts w:ascii="宋体" w:hAnsi="宋体" w:eastAsia="宋体"/>
                <w:sz w:val="11"/>
                <w:szCs w:val="20"/>
              </w:rPr>
              <w:t xml:space="preserve">    二、努力完成下县视导工作。计划以评估教师课堂教学为核心，以检查教学常规为重点，采取听评课、师生座谈、现场察看、个别交流、集中反馈等形式，对教学组织、教师备课、教学研究、课堂教学、课后辅导等方面进行指导。研究解决各级各类学校教育教学实践中最突出的问题，切实推进有效教学，创建高效课堂。督促与指导各学校教育管理，落实教学常规，深化课程改革，促进全地区中小学教育教学质量的进一步提高。</w:t>
            </w:r>
            <w:r>
              <w:rPr>
                <w:rFonts w:ascii="宋体" w:hAnsi="宋体" w:eastAsia="宋体"/>
                <w:sz w:val="11"/>
                <w:szCs w:val="20"/>
              </w:rPr>
              <w:br w:type="textWrapping"/>
            </w:r>
            <w:r>
              <w:rPr>
                <w:rFonts w:ascii="宋体" w:hAnsi="宋体" w:eastAsia="宋体"/>
                <w:sz w:val="11"/>
                <w:szCs w:val="20"/>
              </w:rPr>
              <w:t xml:space="preserve">    三、加强考试巡考工作。明年预计6次月检测、2次期末考试巡考人员到各县市中小学进行巡考。</w:t>
            </w:r>
            <w:r>
              <w:rPr>
                <w:rFonts w:ascii="宋体" w:hAnsi="宋体" w:eastAsia="宋体"/>
                <w:sz w:val="11"/>
                <w:szCs w:val="20"/>
              </w:rPr>
              <w:br w:type="textWrapping"/>
            </w:r>
            <w:r>
              <w:rPr>
                <w:rFonts w:ascii="宋体" w:hAnsi="宋体" w:eastAsia="宋体"/>
                <w:sz w:val="11"/>
                <w:szCs w:val="20"/>
              </w:rPr>
              <w:t xml:space="preserve">    四、开展送教下乡及教研活动。</w:t>
            </w:r>
          </w:p>
        </w:tc>
        <w:tc>
          <w:tcPr>
            <w:tcW w:w="4915"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55D65B32">
            <w:pPr>
              <w:jc w:val="both"/>
            </w:pPr>
            <w:r>
              <w:rPr>
                <w:rFonts w:hint="eastAsia" w:ascii="宋体" w:hAnsi="宋体"/>
                <w:sz w:val="16"/>
                <w:lang w:eastAsia="zh-CN"/>
              </w:rPr>
              <w:t>截至</w:t>
            </w:r>
            <w:r>
              <w:rPr>
                <w:rFonts w:ascii="宋体" w:hAnsi="宋体" w:eastAsia="宋体"/>
                <w:sz w:val="16"/>
              </w:rPr>
              <w:t>2024年12月31日，本项目实际形成支出14.05万元，已完成开展8次优质课评比活动，下县视导工作1次，开展送教下乡及教研活动1次，加强考试巡考工作8次的任务，达到了提升教师教育教学能力的效益，教育机构满意度达到99.15%。</w:t>
            </w:r>
          </w:p>
        </w:tc>
      </w:tr>
      <w:tr w14:paraId="5518F25A">
        <w:tblPrEx>
          <w:tblCellMar>
            <w:top w:w="0" w:type="dxa"/>
            <w:left w:w="108" w:type="dxa"/>
            <w:bottom w:w="0" w:type="dxa"/>
            <w:right w:w="108" w:type="dxa"/>
          </w:tblCellMar>
        </w:tblPrEx>
        <w:trPr>
          <w:trHeight w:val="224" w:hRule="atLeast"/>
        </w:trPr>
        <w:tc>
          <w:tcPr>
            <w:tcW w:w="983" w:type="dxa"/>
            <w:tcBorders>
              <w:top w:val="single" w:color="auto" w:sz="10" w:space="0"/>
              <w:left w:val="single" w:color="auto" w:sz="10" w:space="0"/>
              <w:bottom w:val="single" w:color="auto" w:sz="10" w:space="0"/>
              <w:right w:val="single" w:color="auto" w:sz="10" w:space="0"/>
              <w:insideV w:val="single" w:sz="10" w:space="0"/>
            </w:tcBorders>
          </w:tcPr>
          <w:p w14:paraId="762448CF"/>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A06F540">
            <w:pPr>
              <w:jc w:val="center"/>
            </w:pPr>
            <w:r>
              <w:rPr>
                <w:rFonts w:ascii="宋体" w:hAnsi="宋体" w:eastAsia="宋体"/>
                <w:sz w:val="16"/>
              </w:rPr>
              <w:t>一级指标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D2B1A29">
            <w:pPr>
              <w:jc w:val="center"/>
            </w:pPr>
            <w:r>
              <w:rPr>
                <w:rFonts w:ascii="宋体" w:hAnsi="宋体" w:eastAsia="宋体"/>
                <w:sz w:val="16"/>
              </w:rPr>
              <w:t>二级指标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B78065">
            <w:pPr>
              <w:jc w:val="center"/>
            </w:pPr>
            <w:r>
              <w:rPr>
                <w:rFonts w:ascii="宋体" w:hAnsi="宋体" w:eastAsia="宋体"/>
                <w:sz w:val="16"/>
              </w:rPr>
              <w:t>三级指标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E7DE18">
            <w:pPr>
              <w:jc w:val="center"/>
              <w:rPr>
                <w:sz w:val="28"/>
                <w:szCs w:val="22"/>
              </w:rPr>
            </w:pPr>
            <w:r>
              <w:rPr>
                <w:rFonts w:ascii="宋体" w:hAnsi="宋体" w:eastAsia="宋体"/>
                <w:sz w:val="15"/>
                <w:szCs w:val="22"/>
              </w:rPr>
              <w:t>年度指标值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B89725">
            <w:pPr>
              <w:jc w:val="center"/>
              <w:rPr>
                <w:sz w:val="28"/>
                <w:szCs w:val="22"/>
              </w:rPr>
            </w:pPr>
            <w:r>
              <w:rPr>
                <w:rFonts w:ascii="宋体" w:hAnsi="宋体" w:eastAsia="宋体"/>
                <w:sz w:val="15"/>
                <w:szCs w:val="22"/>
              </w:rPr>
              <w:t>实际完成值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ABBD79">
            <w:pPr>
              <w:jc w:val="center"/>
            </w:pPr>
            <w:r>
              <w:rPr>
                <w:rFonts w:ascii="宋体" w:hAnsi="宋体" w:eastAsia="宋体"/>
                <w:sz w:val="16"/>
              </w:rPr>
              <w:t>分值</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FD528AE">
            <w:pPr>
              <w:jc w:val="center"/>
            </w:pPr>
            <w:r>
              <w:rPr>
                <w:rFonts w:ascii="宋体" w:hAnsi="宋体" w:eastAsia="宋体"/>
                <w:sz w:val="16"/>
              </w:rPr>
              <w:t>得分</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096CD4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1"/>
                <w:szCs w:val="20"/>
              </w:rPr>
              <w:t>偏差原因分析及改进措施</w:t>
            </w:r>
          </w:p>
        </w:tc>
      </w:tr>
      <w:tr w14:paraId="5FF30D3E">
        <w:tblPrEx>
          <w:tblCellMar>
            <w:top w:w="0" w:type="dxa"/>
            <w:left w:w="108" w:type="dxa"/>
            <w:bottom w:w="0" w:type="dxa"/>
            <w:right w:w="108" w:type="dxa"/>
          </w:tblCellMar>
        </w:tblPrEx>
        <w:trPr>
          <w:trHeight w:val="194" w:hRule="atLeast"/>
        </w:trPr>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84B3E55">
            <w:pPr>
              <w:jc w:val="center"/>
            </w:pPr>
            <w:r>
              <w:rPr>
                <w:rFonts w:ascii="宋体" w:hAnsi="宋体" w:eastAsia="宋体"/>
                <w:sz w:val="16"/>
              </w:rPr>
              <w:t>年度绩效指标完成情况</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28E716A">
            <w:pPr>
              <w:jc w:val="center"/>
            </w:pPr>
            <w:r>
              <w:rPr>
                <w:rFonts w:ascii="宋体" w:hAnsi="宋体" w:eastAsia="宋体"/>
                <w:sz w:val="16"/>
              </w:rPr>
              <w:t>产出指标</w:t>
            </w:r>
          </w:p>
        </w:tc>
        <w:tc>
          <w:tcPr>
            <w:tcW w:w="98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B556CD">
            <w:pPr>
              <w:jc w:val="center"/>
              <w:rPr>
                <w:sz w:val="32"/>
                <w:szCs w:val="24"/>
              </w:rPr>
            </w:pPr>
            <w:r>
              <w:rPr>
                <w:rFonts w:ascii="宋体" w:hAnsi="宋体" w:eastAsia="宋体"/>
                <w:sz w:val="16"/>
                <w:szCs w:val="24"/>
              </w:rPr>
              <w:t>数量指标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C0D6CDC">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3"/>
                <w:szCs w:val="13"/>
              </w:rPr>
            </w:pPr>
            <w:r>
              <w:rPr>
                <w:rFonts w:ascii="宋体" w:hAnsi="宋体" w:eastAsia="宋体"/>
                <w:sz w:val="13"/>
                <w:szCs w:val="13"/>
              </w:rPr>
              <w:t>各种优质课评比活动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DA2AE77">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9779F38">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F8205A4">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47A34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F72B18">
            <w:pPr>
              <w:jc w:val="center"/>
            </w:pPr>
          </w:p>
        </w:tc>
      </w:tr>
      <w:tr w14:paraId="2D11E2C1">
        <w:tblPrEx>
          <w:tblCellMar>
            <w:top w:w="0" w:type="dxa"/>
            <w:left w:w="108" w:type="dxa"/>
            <w:bottom w:w="0" w:type="dxa"/>
            <w:right w:w="108" w:type="dxa"/>
          </w:tblCellMar>
        </w:tblPrEx>
        <w:trPr>
          <w:trHeight w:val="314"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53092C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CB3097B"/>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77D339D9">
            <w:pPr>
              <w:rPr>
                <w:sz w:val="32"/>
                <w:szCs w:val="24"/>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39A336">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3"/>
                <w:szCs w:val="13"/>
              </w:rPr>
            </w:pPr>
            <w:r>
              <w:rPr>
                <w:rFonts w:ascii="宋体" w:hAnsi="宋体" w:eastAsia="宋体"/>
                <w:sz w:val="11"/>
                <w:szCs w:val="11"/>
              </w:rPr>
              <w:t>下县视导工作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04ACD76">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A87ECD3">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F2ADE65">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4EF6EB">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DCCC345">
            <w:pPr>
              <w:jc w:val="center"/>
            </w:pPr>
          </w:p>
        </w:tc>
      </w:tr>
      <w:tr w14:paraId="1B33D012">
        <w:tblPrEx>
          <w:tblCellMar>
            <w:top w:w="0" w:type="dxa"/>
            <w:left w:w="108" w:type="dxa"/>
            <w:bottom w:w="0" w:type="dxa"/>
            <w:right w:w="108" w:type="dxa"/>
          </w:tblCellMar>
        </w:tblPrEx>
        <w:trPr>
          <w:trHeight w:val="269" w:hRule="atLeast"/>
        </w:trPr>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2E0A04C"/>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2B6AE88"/>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6E15CFE2">
            <w:pPr>
              <w:rPr>
                <w:sz w:val="32"/>
                <w:szCs w:val="24"/>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F20BA84">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3"/>
                <w:szCs w:val="13"/>
              </w:rPr>
            </w:pPr>
            <w:r>
              <w:rPr>
                <w:rFonts w:ascii="宋体" w:hAnsi="宋体" w:eastAsia="宋体"/>
                <w:sz w:val="11"/>
                <w:szCs w:val="11"/>
              </w:rPr>
              <w:t>开展送教下乡及教研活动</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BE7BDF">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9DDC69B">
            <w:pPr>
              <w:jc w:val="center"/>
            </w:pPr>
            <w:r>
              <w:rPr>
                <w:rFonts w:ascii="宋体" w:hAnsi="宋体" w:eastAsia="宋体"/>
                <w:sz w:val="16"/>
              </w:rPr>
              <w:t>=1次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71A18C">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57E7DEE">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7B25F0B">
            <w:pPr>
              <w:jc w:val="center"/>
            </w:pPr>
          </w:p>
        </w:tc>
      </w:tr>
      <w:tr w14:paraId="6C15EB25">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DC6FA7E"/>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31763ADA"/>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308242">
            <w:pPr>
              <w:rPr>
                <w:sz w:val="32"/>
                <w:szCs w:val="24"/>
              </w:rPr>
            </w:pP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71227D7">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3"/>
                <w:szCs w:val="13"/>
              </w:rPr>
            </w:pPr>
            <w:r>
              <w:rPr>
                <w:rFonts w:ascii="宋体" w:hAnsi="宋体" w:eastAsia="宋体"/>
                <w:sz w:val="13"/>
                <w:szCs w:val="13"/>
              </w:rPr>
              <w:t>加强考试巡考工作</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83335D1">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0754B67">
            <w:pPr>
              <w:jc w:val="center"/>
            </w:pPr>
            <w:r>
              <w:rPr>
                <w:rFonts w:ascii="宋体" w:hAnsi="宋体" w:eastAsia="宋体"/>
                <w:sz w:val="16"/>
              </w:rPr>
              <w:t>=8次</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6AB859F">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F2E260">
            <w:pPr>
              <w:jc w:val="center"/>
            </w:pPr>
            <w:r>
              <w:rPr>
                <w:rFonts w:ascii="宋体" w:hAnsi="宋体" w:eastAsia="宋体"/>
                <w:sz w:val="16"/>
              </w:rPr>
              <w:t>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C601DCF">
            <w:pPr>
              <w:jc w:val="center"/>
            </w:pPr>
          </w:p>
        </w:tc>
      </w:tr>
      <w:tr w14:paraId="1B464D63">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97253C5"/>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18EEF32D"/>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D644200">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32"/>
                <w:szCs w:val="24"/>
              </w:rPr>
            </w:pPr>
            <w:r>
              <w:rPr>
                <w:rFonts w:ascii="宋体" w:hAnsi="宋体" w:eastAsia="宋体"/>
                <w:sz w:val="16"/>
                <w:szCs w:val="24"/>
              </w:rPr>
              <w:t>质量指标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84A602A">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3"/>
                <w:szCs w:val="13"/>
              </w:rPr>
            </w:pPr>
            <w:r>
              <w:rPr>
                <w:rFonts w:ascii="宋体" w:hAnsi="宋体" w:eastAsia="宋体"/>
                <w:sz w:val="13"/>
                <w:szCs w:val="13"/>
              </w:rPr>
              <w:t>活动组织开展率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19FEE16E">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FE70CB">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B1C14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2B5C1EE">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E2F9522">
            <w:pPr>
              <w:jc w:val="center"/>
            </w:pPr>
          </w:p>
        </w:tc>
      </w:tr>
      <w:tr w14:paraId="5508C44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21B0C16"/>
        </w:tc>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27B4ACF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DA43B87">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32"/>
                <w:szCs w:val="24"/>
              </w:rPr>
            </w:pPr>
            <w:r>
              <w:rPr>
                <w:rFonts w:ascii="宋体" w:hAnsi="宋体" w:eastAsia="宋体"/>
                <w:sz w:val="16"/>
                <w:szCs w:val="24"/>
              </w:rPr>
              <w:t>时效指标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B107EAE">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3"/>
                <w:szCs w:val="13"/>
              </w:rPr>
            </w:pPr>
            <w:r>
              <w:rPr>
                <w:rFonts w:ascii="宋体" w:hAnsi="宋体" w:eastAsia="宋体"/>
                <w:sz w:val="13"/>
                <w:szCs w:val="13"/>
              </w:rPr>
              <w:t>项目资金到位及时性</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CE7732">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B506113">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5CA001">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2CDA2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8D30E">
            <w:pPr>
              <w:jc w:val="center"/>
            </w:pPr>
          </w:p>
        </w:tc>
      </w:tr>
      <w:tr w14:paraId="36192F92">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3F6B0E1"/>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DF9CBF1">
            <w:pPr>
              <w:jc w:val="center"/>
            </w:pPr>
            <w:r>
              <w:rPr>
                <w:rFonts w:ascii="宋体" w:hAnsi="宋体" w:eastAsia="宋体"/>
                <w:sz w:val="16"/>
              </w:rPr>
              <w:t>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FEA213A">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32"/>
                <w:szCs w:val="24"/>
              </w:rPr>
            </w:pPr>
            <w:r>
              <w:rPr>
                <w:rFonts w:ascii="宋体" w:hAnsi="宋体" w:eastAsia="宋体"/>
                <w:sz w:val="16"/>
                <w:szCs w:val="24"/>
              </w:rPr>
              <w:t>经济成本指标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DC8998">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sz w:val="28"/>
                <w:szCs w:val="22"/>
              </w:rPr>
            </w:pPr>
            <w:r>
              <w:rPr>
                <w:rFonts w:ascii="宋体" w:hAnsi="宋体" w:eastAsia="宋体"/>
                <w:sz w:val="13"/>
                <w:szCs w:val="13"/>
              </w:rPr>
              <w:t>项目总成本</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223B755">
            <w:pPr>
              <w:jc w:val="center"/>
            </w:pPr>
            <w:r>
              <w:rPr>
                <w:rFonts w:ascii="宋体" w:hAnsi="宋体" w:eastAsia="宋体"/>
                <w:sz w:val="16"/>
              </w:rPr>
              <w:t>≤15万元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17F6103">
            <w:pPr>
              <w:jc w:val="center"/>
            </w:pPr>
            <w:r>
              <w:rPr>
                <w:rFonts w:ascii="宋体" w:hAnsi="宋体" w:eastAsia="宋体"/>
                <w:sz w:val="16"/>
              </w:rPr>
              <w:t>=14.05万元</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F055420">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8B5508A">
            <w:pPr>
              <w:jc w:val="center"/>
            </w:pPr>
            <w:r>
              <w:rPr>
                <w:rFonts w:ascii="宋体" w:hAnsi="宋体" w:eastAsia="宋体"/>
                <w:sz w:val="16"/>
              </w:rPr>
              <w:t>16.83</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274A467">
            <w:pPr>
              <w:keepNext w:val="0"/>
              <w:keepLines w:val="0"/>
              <w:pageBreakBefore w:val="0"/>
              <w:widowControl w:val="0"/>
              <w:kinsoku/>
              <w:wordWrap/>
              <w:overflowPunct/>
              <w:topLinePunct w:val="0"/>
              <w:autoSpaceDE/>
              <w:autoSpaceDN/>
              <w:bidi w:val="0"/>
              <w:adjustRightInd/>
              <w:snapToGrid/>
              <w:spacing w:line="140" w:lineRule="exact"/>
              <w:textAlignment w:val="auto"/>
            </w:pPr>
            <w:r>
              <w:rPr>
                <w:rFonts w:ascii="宋体" w:hAnsi="宋体" w:eastAsia="宋体"/>
                <w:sz w:val="10"/>
                <w:szCs w:val="18"/>
              </w:rPr>
              <w:t>偏差原因：还在走支付审批流程，改进措施：加快支付审批流程。</w:t>
            </w:r>
          </w:p>
        </w:tc>
      </w:tr>
      <w:tr w14:paraId="0B593ABD">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08D58365"/>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E494DE">
            <w:pPr>
              <w:jc w:val="center"/>
            </w:pPr>
            <w:r>
              <w:rPr>
                <w:rFonts w:ascii="宋体" w:hAnsi="宋体" w:eastAsia="宋体"/>
                <w:sz w:val="16"/>
              </w:rPr>
              <w:t>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57D544D5">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社会效益指标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0EE692">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5"/>
                <w:szCs w:val="15"/>
              </w:rPr>
            </w:pPr>
            <w:r>
              <w:rPr>
                <w:rFonts w:ascii="宋体" w:hAnsi="宋体" w:eastAsia="宋体"/>
                <w:sz w:val="15"/>
                <w:szCs w:val="15"/>
              </w:rPr>
              <w:t>提升教师教育教学能力</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B3685EB">
            <w:pPr>
              <w:jc w:val="center"/>
            </w:pPr>
            <w:r>
              <w:rPr>
                <w:rFonts w:ascii="宋体" w:hAnsi="宋体" w:eastAsia="宋体"/>
                <w:sz w:val="16"/>
              </w:rPr>
              <w:t>有所提升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36A30B">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基本达成目标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363C113">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01C533F">
            <w:pPr>
              <w:jc w:val="center"/>
            </w:pPr>
            <w:r>
              <w:rPr>
                <w:rFonts w:ascii="宋体" w:hAnsi="宋体" w:eastAsia="宋体"/>
                <w:sz w:val="16"/>
              </w:rPr>
              <w:t>20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52F71A5">
            <w:pPr>
              <w:jc w:val="center"/>
            </w:pPr>
          </w:p>
        </w:tc>
      </w:tr>
      <w:tr w14:paraId="297EC5AA">
        <w:tblPrEx>
          <w:tblCellMar>
            <w:top w:w="0" w:type="dxa"/>
            <w:left w:w="108" w:type="dxa"/>
            <w:bottom w:w="0" w:type="dxa"/>
            <w:right w:w="108" w:type="dxa"/>
          </w:tblCellMar>
        </w:tblPrEx>
        <w:tc>
          <w:tcPr>
            <w:tcW w:w="983" w:type="dxa"/>
            <w:vMerge w:val="continue"/>
            <w:tcBorders>
              <w:top w:val="single" w:color="auto" w:sz="10" w:space="0"/>
              <w:left w:val="single" w:color="auto" w:sz="10" w:space="0"/>
              <w:bottom w:val="single" w:color="auto" w:sz="10" w:space="0"/>
              <w:right w:val="single" w:color="auto" w:sz="10" w:space="0"/>
              <w:insideV w:val="single" w:sz="10" w:space="0"/>
            </w:tcBorders>
          </w:tcPr>
          <w:p w14:paraId="5F830746"/>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9DDF5B3">
            <w:pPr>
              <w:jc w:val="center"/>
            </w:pPr>
            <w:r>
              <w:rPr>
                <w:rFonts w:ascii="宋体" w:hAnsi="宋体" w:eastAsia="宋体"/>
                <w:sz w:val="15"/>
                <w:szCs w:val="22"/>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1EC491E">
            <w:pPr>
              <w:keepNext w:val="0"/>
              <w:keepLines w:val="0"/>
              <w:pageBreakBefore w:val="0"/>
              <w:widowControl w:val="0"/>
              <w:kinsoku/>
              <w:wordWrap/>
              <w:overflowPunct/>
              <w:topLinePunct w:val="0"/>
              <w:autoSpaceDE/>
              <w:autoSpaceDN/>
              <w:bidi w:val="0"/>
              <w:adjustRightInd/>
              <w:snapToGrid/>
              <w:spacing w:line="180" w:lineRule="exact"/>
              <w:jc w:val="center"/>
              <w:textAlignment w:val="auto"/>
            </w:pPr>
            <w:r>
              <w:rPr>
                <w:rFonts w:ascii="宋体" w:hAnsi="宋体" w:eastAsia="宋体"/>
                <w:sz w:val="16"/>
              </w:rPr>
              <w:t>满意度指标</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5469EFE">
            <w:pPr>
              <w:keepNext w:val="0"/>
              <w:keepLines w:val="0"/>
              <w:pageBreakBefore w:val="0"/>
              <w:widowControl w:val="0"/>
              <w:kinsoku/>
              <w:wordWrap/>
              <w:overflowPunct/>
              <w:topLinePunct w:val="0"/>
              <w:autoSpaceDE/>
              <w:autoSpaceDN/>
              <w:bidi w:val="0"/>
              <w:adjustRightInd/>
              <w:snapToGrid/>
              <w:spacing w:line="180" w:lineRule="exact"/>
              <w:jc w:val="center"/>
              <w:textAlignment w:val="auto"/>
              <w:rPr>
                <w:rFonts w:ascii="宋体" w:hAnsi="宋体" w:eastAsia="宋体"/>
                <w:sz w:val="15"/>
                <w:szCs w:val="15"/>
              </w:rPr>
            </w:pPr>
            <w:r>
              <w:rPr>
                <w:rFonts w:ascii="宋体" w:hAnsi="宋体" w:eastAsia="宋体"/>
                <w:sz w:val="15"/>
                <w:szCs w:val="15"/>
              </w:rPr>
              <w:t>教育机构满意度</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6A5FD85">
            <w:pPr>
              <w:jc w:val="center"/>
            </w:pPr>
            <w:r>
              <w:rPr>
                <w:rFonts w:ascii="宋体" w:hAnsi="宋体" w:eastAsia="宋体"/>
                <w:sz w:val="16"/>
              </w:rPr>
              <w:t>≥90%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016E5AD3">
            <w:pPr>
              <w:jc w:val="center"/>
            </w:pPr>
            <w:r>
              <w:rPr>
                <w:rFonts w:ascii="宋体" w:hAnsi="宋体" w:eastAsia="宋体"/>
                <w:sz w:val="16"/>
              </w:rPr>
              <w:t>=99.15%</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24C52AD0">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7EE346A7">
            <w:pPr>
              <w:jc w:val="center"/>
            </w:pPr>
            <w:r>
              <w:rPr>
                <w:rFonts w:ascii="宋体" w:hAnsi="宋体" w:eastAsia="宋体"/>
                <w:sz w:val="16"/>
              </w:rPr>
              <w:t>10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4946A253">
            <w:pPr>
              <w:jc w:val="center"/>
            </w:pPr>
          </w:p>
        </w:tc>
      </w:tr>
      <w:tr w14:paraId="084C8E8E">
        <w:tblPrEx>
          <w:tblCellMar>
            <w:top w:w="0" w:type="dxa"/>
            <w:left w:w="108" w:type="dxa"/>
            <w:bottom w:w="0" w:type="dxa"/>
            <w:right w:w="108" w:type="dxa"/>
          </w:tblCellMar>
        </w:tblPrEx>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306619F8">
            <w:pPr>
              <w:jc w:val="center"/>
            </w:pPr>
            <w:r>
              <w:rPr>
                <w:rFonts w:ascii="宋体" w:hAnsi="宋体" w:eastAsia="宋体"/>
                <w:sz w:val="16"/>
              </w:rPr>
              <w:t>总分</w:t>
            </w:r>
          </w:p>
        </w:tc>
        <w:tc>
          <w:tcPr>
            <w:tcW w:w="2949"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4ADE4771">
            <w:pPr>
              <w:jc w:val="center"/>
            </w:pPr>
            <w:r>
              <w:rPr>
                <w:rFonts w:ascii="宋体" w:hAnsi="宋体" w:eastAsia="宋体"/>
                <w:sz w:val="16"/>
              </w:rPr>
              <w:t>100</w:t>
            </w:r>
          </w:p>
        </w:tc>
        <w:tc>
          <w:tcPr>
            <w:tcW w:w="983" w:type="dxa"/>
            <w:tcBorders>
              <w:top w:val="single" w:color="auto" w:sz="10" w:space="0"/>
              <w:left w:val="single" w:color="auto" w:sz="10" w:space="0"/>
              <w:bottom w:val="single" w:color="auto" w:sz="10" w:space="0"/>
              <w:right w:val="single" w:color="auto" w:sz="10" w:space="0"/>
              <w:insideV w:val="single" w:sz="10" w:space="0"/>
            </w:tcBorders>
            <w:vAlign w:val="center"/>
          </w:tcPr>
          <w:p w14:paraId="61EFE70D">
            <w:pPr>
              <w:jc w:val="center"/>
            </w:pPr>
            <w:r>
              <w:rPr>
                <w:rFonts w:ascii="宋体" w:hAnsi="宋体" w:eastAsia="宋体"/>
                <w:sz w:val="16"/>
              </w:rPr>
              <w:t>得分</w:t>
            </w:r>
          </w:p>
        </w:tc>
        <w:tc>
          <w:tcPr>
            <w:tcW w:w="3932"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FBEC69A">
            <w:pPr>
              <w:jc w:val="center"/>
            </w:pPr>
            <w:r>
              <w:rPr>
                <w:rFonts w:ascii="宋体" w:hAnsi="宋体" w:eastAsia="宋体"/>
                <w:sz w:val="16"/>
              </w:rPr>
              <w:t>95.25分</w:t>
            </w:r>
          </w:p>
        </w:tc>
      </w:tr>
    </w:tbl>
    <w:p w14:paraId="5BDBBC5F">
      <w:r>
        <w:br w:type="page"/>
      </w:r>
    </w:p>
    <w:p w14:paraId="5E830AA4">
      <w:pPr>
        <w:spacing w:line="640" w:lineRule="exact"/>
        <w:ind w:firstLine="640"/>
        <w:jc w:val="both"/>
        <w:outlineLvl w:val="2"/>
      </w:pPr>
      <w:r>
        <w:rPr>
          <w:rFonts w:ascii="黑体" w:hAnsi="黑体" w:eastAsia="黑体"/>
          <w:sz w:val="32"/>
        </w:rPr>
        <w:t>十二、其他需说明的事项</w:t>
      </w:r>
    </w:p>
    <w:p w14:paraId="61A5CAAB">
      <w:pPr>
        <w:spacing w:line="580" w:lineRule="exact"/>
        <w:ind w:firstLine="640"/>
        <w:jc w:val="both"/>
      </w:pPr>
      <w:r>
        <w:rPr>
          <w:rFonts w:ascii="仿宋_GB2312" w:hAnsi="仿宋_GB2312" w:eastAsia="仿宋_GB2312"/>
          <w:b w:val="0"/>
          <w:sz w:val="32"/>
        </w:rPr>
        <w:t>本单位无其他需说明的事项。</w:t>
      </w:r>
    </w:p>
    <w:p w14:paraId="556C88C6">
      <w:r>
        <w:br w:type="page"/>
      </w:r>
    </w:p>
    <w:p w14:paraId="32FF2FC6">
      <w:pPr>
        <w:spacing w:line="240" w:lineRule="auto"/>
        <w:jc w:val="center"/>
        <w:outlineLvl w:val="1"/>
      </w:pPr>
      <w:r>
        <w:rPr>
          <w:rFonts w:ascii="黑体" w:hAnsi="黑体" w:eastAsia="黑体"/>
          <w:sz w:val="32"/>
        </w:rPr>
        <w:t>第三部分 专业名词解释</w:t>
      </w:r>
    </w:p>
    <w:p w14:paraId="56B314A7">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26F41799">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14:paraId="6BB46C6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14:paraId="64A16EB1">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14:paraId="088F60C5">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14:paraId="5BE75E84">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14:paraId="04253715">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5ACB69C4">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423E9347">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51F1599A">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7AF78645">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14:paraId="235DA02B">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14:paraId="2F4D2091">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2EF69045">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14:paraId="14FE5227">
      <w:r>
        <w:br w:type="page"/>
      </w:r>
    </w:p>
    <w:p w14:paraId="368125E9">
      <w:pPr>
        <w:spacing w:line="240" w:lineRule="auto"/>
        <w:jc w:val="center"/>
        <w:outlineLvl w:val="1"/>
      </w:pPr>
      <w:r>
        <w:rPr>
          <w:rFonts w:ascii="黑体" w:hAnsi="黑体" w:eastAsia="黑体"/>
          <w:sz w:val="32"/>
        </w:rPr>
        <w:t>第四部分 部门决算报表（见附表）</w:t>
      </w:r>
    </w:p>
    <w:p w14:paraId="5EEADBB5">
      <w:pPr>
        <w:spacing w:line="240" w:lineRule="auto"/>
        <w:ind w:firstLine="640"/>
        <w:jc w:val="both"/>
      </w:pPr>
      <w:r>
        <w:rPr>
          <w:rFonts w:ascii="仿宋_GB2312" w:hAnsi="仿宋_GB2312" w:eastAsia="仿宋_GB2312"/>
          <w:b w:val="0"/>
          <w:sz w:val="32"/>
        </w:rPr>
        <w:t>一、《收入支出决算总表》</w:t>
      </w:r>
    </w:p>
    <w:p w14:paraId="624234F7">
      <w:pPr>
        <w:spacing w:line="240" w:lineRule="auto"/>
        <w:ind w:firstLine="640"/>
        <w:jc w:val="both"/>
      </w:pPr>
      <w:r>
        <w:rPr>
          <w:rFonts w:ascii="仿宋_GB2312" w:hAnsi="仿宋_GB2312" w:eastAsia="仿宋_GB2312"/>
          <w:b w:val="0"/>
          <w:sz w:val="32"/>
        </w:rPr>
        <w:t>二、《收入决算表》</w:t>
      </w:r>
    </w:p>
    <w:p w14:paraId="6EF30532">
      <w:pPr>
        <w:spacing w:line="240" w:lineRule="auto"/>
        <w:ind w:firstLine="640"/>
        <w:jc w:val="both"/>
      </w:pPr>
      <w:r>
        <w:rPr>
          <w:rFonts w:ascii="仿宋_GB2312" w:hAnsi="仿宋_GB2312" w:eastAsia="仿宋_GB2312"/>
          <w:b w:val="0"/>
          <w:sz w:val="32"/>
        </w:rPr>
        <w:t>三、《支出决算表》</w:t>
      </w:r>
    </w:p>
    <w:p w14:paraId="666F4D03">
      <w:pPr>
        <w:spacing w:line="240" w:lineRule="auto"/>
        <w:ind w:firstLine="640"/>
        <w:jc w:val="both"/>
      </w:pPr>
      <w:r>
        <w:rPr>
          <w:rFonts w:ascii="仿宋_GB2312" w:hAnsi="仿宋_GB2312" w:eastAsia="仿宋_GB2312"/>
          <w:b w:val="0"/>
          <w:sz w:val="32"/>
        </w:rPr>
        <w:t>四、《财政拨款收入支出决算总表》</w:t>
      </w:r>
    </w:p>
    <w:p w14:paraId="3D1E7372">
      <w:pPr>
        <w:spacing w:line="240" w:lineRule="auto"/>
        <w:ind w:firstLine="640"/>
        <w:jc w:val="both"/>
      </w:pPr>
      <w:r>
        <w:rPr>
          <w:rFonts w:ascii="仿宋_GB2312" w:hAnsi="仿宋_GB2312" w:eastAsia="仿宋_GB2312"/>
          <w:b w:val="0"/>
          <w:sz w:val="32"/>
        </w:rPr>
        <w:t>五、《一般公共预算财政拨款支出决算表》</w:t>
      </w:r>
    </w:p>
    <w:p w14:paraId="6327E378">
      <w:pPr>
        <w:spacing w:line="240" w:lineRule="auto"/>
        <w:ind w:firstLine="640"/>
        <w:jc w:val="both"/>
      </w:pPr>
      <w:r>
        <w:rPr>
          <w:rFonts w:ascii="仿宋_GB2312" w:hAnsi="仿宋_GB2312" w:eastAsia="仿宋_GB2312"/>
          <w:b w:val="0"/>
          <w:sz w:val="32"/>
        </w:rPr>
        <w:t>六、《一般公共预算财政拨款基本支出决算表》</w:t>
      </w:r>
    </w:p>
    <w:p w14:paraId="50AEE293">
      <w:pPr>
        <w:spacing w:line="240" w:lineRule="auto"/>
        <w:ind w:firstLine="640"/>
        <w:jc w:val="both"/>
      </w:pPr>
      <w:r>
        <w:rPr>
          <w:rFonts w:ascii="仿宋_GB2312" w:hAnsi="仿宋_GB2312" w:eastAsia="仿宋_GB2312"/>
          <w:b w:val="0"/>
          <w:sz w:val="32"/>
        </w:rPr>
        <w:t>七、《政府性基金预算财政拨款收入支出决算表》</w:t>
      </w:r>
    </w:p>
    <w:p w14:paraId="658BEA25">
      <w:pPr>
        <w:spacing w:line="240" w:lineRule="auto"/>
        <w:ind w:firstLine="640"/>
        <w:jc w:val="both"/>
      </w:pPr>
      <w:r>
        <w:rPr>
          <w:rFonts w:ascii="仿宋_GB2312" w:hAnsi="仿宋_GB2312" w:eastAsia="仿宋_GB2312"/>
          <w:b w:val="0"/>
          <w:sz w:val="32"/>
        </w:rPr>
        <w:t>八、《国有资本经营预算财政拨款收入支出决算表》</w:t>
      </w:r>
    </w:p>
    <w:p w14:paraId="7BFBC5E9">
      <w:pPr>
        <w:spacing w:line="240" w:lineRule="auto"/>
        <w:ind w:firstLine="640"/>
        <w:jc w:val="both"/>
      </w:pPr>
      <w:r>
        <w:rPr>
          <w:rFonts w:ascii="仿宋_GB2312" w:hAnsi="仿宋_GB2312" w:eastAsia="仿宋_GB2312"/>
          <w:b w:val="0"/>
          <w:sz w:val="32"/>
        </w:rPr>
        <w:t>九、《财政拨款“三公”经费支出决算表》</w:t>
      </w:r>
    </w:p>
    <w:p w14:paraId="5752C2D0">
      <w:pPr>
        <w:spacing w:line="240" w:lineRule="auto"/>
        <w:ind w:firstLine="640"/>
        <w:jc w:val="both"/>
      </w:pPr>
    </w:p>
    <w:p w14:paraId="0E8F33AF">
      <w:pPr>
        <w:spacing w:line="240" w:lineRule="auto"/>
        <w:ind w:firstLine="640"/>
        <w:jc w:val="both"/>
      </w:pPr>
    </w:p>
    <w:p w14:paraId="350C9BA7">
      <w:pPr>
        <w:spacing w:line="240" w:lineRule="auto"/>
        <w:ind w:firstLine="640"/>
        <w:jc w:val="both"/>
      </w:pPr>
    </w:p>
    <w:p w14:paraId="7B0C4526">
      <w:pPr>
        <w:spacing w:line="240" w:lineRule="auto"/>
        <w:ind w:firstLine="640"/>
        <w:jc w:val="both"/>
      </w:pPr>
    </w:p>
    <w:p w14:paraId="022C7EE5">
      <w:pPr>
        <w:spacing w:line="240" w:lineRule="auto"/>
        <w:ind w:firstLine="640"/>
        <w:jc w:val="both"/>
      </w:pPr>
    </w:p>
    <w:sectPr>
      <w:footerReference r:id="rId3" w:type="default"/>
      <w:pgSz w:w="11906" w:h="16838"/>
      <w:pgMar w:top="1928" w:right="1531" w:bottom="1984"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3B92498"/>
    <w:rsid w:val="043E5B56"/>
    <w:rsid w:val="06792773"/>
    <w:rsid w:val="09A729D8"/>
    <w:rsid w:val="0A3C58E8"/>
    <w:rsid w:val="0A7B4867"/>
    <w:rsid w:val="0B8C3ECC"/>
    <w:rsid w:val="0C3613A3"/>
    <w:rsid w:val="0C7227A7"/>
    <w:rsid w:val="0DCA6EF7"/>
    <w:rsid w:val="0E4B1576"/>
    <w:rsid w:val="0EA04331"/>
    <w:rsid w:val="0F9811B3"/>
    <w:rsid w:val="11E15093"/>
    <w:rsid w:val="120E0809"/>
    <w:rsid w:val="1795014A"/>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04429A"/>
    <w:rsid w:val="2FD27414"/>
    <w:rsid w:val="313F1D52"/>
    <w:rsid w:val="318029AB"/>
    <w:rsid w:val="31C63837"/>
    <w:rsid w:val="326F0A17"/>
    <w:rsid w:val="3277581B"/>
    <w:rsid w:val="38006E2C"/>
    <w:rsid w:val="38137EBC"/>
    <w:rsid w:val="3914510A"/>
    <w:rsid w:val="3B1220C9"/>
    <w:rsid w:val="3D5275AC"/>
    <w:rsid w:val="3EA7725F"/>
    <w:rsid w:val="3EC014A1"/>
    <w:rsid w:val="3F876707"/>
    <w:rsid w:val="40834692"/>
    <w:rsid w:val="423A32B2"/>
    <w:rsid w:val="423C0CB4"/>
    <w:rsid w:val="427B5743"/>
    <w:rsid w:val="42E64542"/>
    <w:rsid w:val="464B7E04"/>
    <w:rsid w:val="464F7E64"/>
    <w:rsid w:val="46901EEE"/>
    <w:rsid w:val="469C74D2"/>
    <w:rsid w:val="47445515"/>
    <w:rsid w:val="4B4C0111"/>
    <w:rsid w:val="4BB23021"/>
    <w:rsid w:val="4F3F074E"/>
    <w:rsid w:val="4FDF5738"/>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08B5A6B"/>
    <w:rsid w:val="71473612"/>
    <w:rsid w:val="718F7F65"/>
    <w:rsid w:val="73423603"/>
    <w:rsid w:val="737A5923"/>
    <w:rsid w:val="73DE4104"/>
    <w:rsid w:val="73FB6630"/>
    <w:rsid w:val="74CE04EC"/>
    <w:rsid w:val="74E76DCD"/>
    <w:rsid w:val="76660D7C"/>
    <w:rsid w:val="77ED6F44"/>
    <w:rsid w:val="783360A6"/>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19</Pages>
  <Words>4504</Words>
  <Characters>5088</Characters>
  <Lines>0</Lines>
  <Paragraphs>0</Paragraphs>
  <TotalTime>19</TotalTime>
  <ScaleCrop>false</ScaleCrop>
  <LinksUpToDate>false</LinksUpToDate>
  <CharactersWithSpaces>5096</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杨柳</cp:lastModifiedBy>
  <cp:lastPrinted>2025-09-23T04:42:56Z</cp:lastPrinted>
  <dcterms:modified xsi:type="dcterms:W3CDTF">2025-09-23T04:43:39Z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B858A68E913346F885B5BC17D4DBEB06_13</vt:lpwstr>
  </property>
  <property fmtid="{D5CDD505-2E9C-101B-9397-08002B2CF9AE}" pid="4" name="KSOTemplateDocerSaveRecord">
    <vt:lpwstr>eyJoZGlkIjoiODViY2JkMjU3NGYzZTEwMzZmMGFkZWViYmNkYWU3NDIiLCJ1c2VySWQiOiIxNDk3NDgwNzgwIn0=</vt:lpwstr>
  </property>
</Properties>
</file>