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D6B7290"/>
    <w:p w14:paraId="5AF0E88C">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361D4004">
      <w:pPr>
        <w:spacing w:line="540" w:lineRule="exact"/>
        <w:jc w:val="center"/>
        <w:rPr>
          <w:rFonts w:ascii="华文中宋" w:hAnsi="华文中宋" w:eastAsia="华文中宋" w:cs="宋体"/>
          <w:b/>
          <w:kern w:val="0"/>
          <w:sz w:val="52"/>
          <w:szCs w:val="52"/>
        </w:rPr>
      </w:pPr>
    </w:p>
    <w:p w14:paraId="2F9C7FE9">
      <w:pPr>
        <w:spacing w:line="540" w:lineRule="exact"/>
        <w:jc w:val="center"/>
        <w:rPr>
          <w:rFonts w:ascii="华文中宋" w:hAnsi="华文中宋" w:eastAsia="华文中宋" w:cs="宋体"/>
          <w:b/>
          <w:kern w:val="0"/>
          <w:sz w:val="52"/>
          <w:szCs w:val="52"/>
        </w:rPr>
      </w:pPr>
    </w:p>
    <w:p w14:paraId="5EBB0500">
      <w:pPr>
        <w:spacing w:line="540" w:lineRule="exact"/>
        <w:jc w:val="center"/>
        <w:rPr>
          <w:rFonts w:ascii="华文中宋" w:hAnsi="华文中宋" w:eastAsia="华文中宋" w:cs="宋体"/>
          <w:b/>
          <w:kern w:val="0"/>
          <w:sz w:val="52"/>
          <w:szCs w:val="52"/>
        </w:rPr>
      </w:pPr>
    </w:p>
    <w:p w14:paraId="35C0A938">
      <w:pPr>
        <w:spacing w:line="540" w:lineRule="exact"/>
        <w:jc w:val="center"/>
        <w:rPr>
          <w:rFonts w:ascii="华文中宋" w:hAnsi="华文中宋" w:eastAsia="华文中宋" w:cs="宋体"/>
          <w:b/>
          <w:kern w:val="0"/>
          <w:sz w:val="52"/>
          <w:szCs w:val="52"/>
        </w:rPr>
      </w:pPr>
    </w:p>
    <w:p w14:paraId="3D874A9C">
      <w:pPr>
        <w:spacing w:line="540" w:lineRule="exact"/>
        <w:jc w:val="center"/>
        <w:rPr>
          <w:rFonts w:ascii="华文中宋" w:hAnsi="华文中宋" w:eastAsia="华文中宋" w:cs="宋体"/>
          <w:b/>
          <w:kern w:val="0"/>
          <w:sz w:val="52"/>
          <w:szCs w:val="52"/>
        </w:rPr>
      </w:pPr>
    </w:p>
    <w:p w14:paraId="6CE45068">
      <w:pPr>
        <w:spacing w:line="540" w:lineRule="exact"/>
        <w:jc w:val="center"/>
        <w:rPr>
          <w:rFonts w:ascii="华文中宋" w:hAnsi="华文中宋" w:eastAsia="华文中宋" w:cs="宋体"/>
          <w:b/>
          <w:kern w:val="0"/>
          <w:sz w:val="52"/>
          <w:szCs w:val="52"/>
        </w:rPr>
      </w:pPr>
    </w:p>
    <w:p w14:paraId="056A8602">
      <w:pPr>
        <w:spacing w:line="540" w:lineRule="exact"/>
        <w:jc w:val="center"/>
        <w:rPr>
          <w:rFonts w:hint="eastAsia" w:ascii="黑体" w:hAnsi="黑体" w:eastAsia="黑体" w:cs="黑体"/>
          <w:b w:val="0"/>
          <w:bCs/>
          <w:kern w:val="0"/>
          <w:sz w:val="48"/>
          <w:szCs w:val="48"/>
        </w:rPr>
      </w:pPr>
      <w:r>
        <w:rPr>
          <w:rFonts w:hint="eastAsia" w:ascii="黑体" w:hAnsi="黑体" w:eastAsia="黑体" w:cs="黑体"/>
          <w:b w:val="0"/>
          <w:bCs/>
          <w:kern w:val="0"/>
          <w:sz w:val="48"/>
          <w:szCs w:val="48"/>
        </w:rPr>
        <w:t>项目支出绩效自评报告</w:t>
      </w:r>
    </w:p>
    <w:p w14:paraId="5AC25F6D">
      <w:pPr>
        <w:spacing w:line="540" w:lineRule="exact"/>
        <w:jc w:val="center"/>
        <w:rPr>
          <w:rFonts w:ascii="华文中宋" w:hAnsi="华文中宋" w:eastAsia="华文中宋" w:cs="宋体"/>
          <w:b/>
          <w:kern w:val="0"/>
          <w:sz w:val="52"/>
          <w:szCs w:val="52"/>
        </w:rPr>
      </w:pPr>
    </w:p>
    <w:p w14:paraId="6095F3D7">
      <w:pPr>
        <w:spacing w:line="540" w:lineRule="exact"/>
        <w:jc w:val="center"/>
        <w:rPr>
          <w:rFonts w:hAnsi="宋体" w:eastAsia="仿宋_GB2312" w:cs="宋体"/>
          <w:kern w:val="0"/>
          <w:sz w:val="36"/>
          <w:szCs w:val="36"/>
        </w:rPr>
      </w:pPr>
      <w:r>
        <w:rPr>
          <w:rFonts w:hint="eastAsia" w:hAnsi="宋体" w:eastAsia="仿宋_GB2312" w:cs="宋体"/>
          <w:kern w:val="0"/>
          <w:sz w:val="36"/>
          <w:szCs w:val="36"/>
        </w:rPr>
        <w:t>（</w:t>
      </w:r>
      <w:r>
        <w:rPr>
          <w:rStyle w:val="19"/>
          <w:rFonts w:hint="eastAsia" w:ascii="楷体" w:hAnsi="楷体" w:eastAsia="楷体"/>
          <w:spacing w:val="-4"/>
          <w:sz w:val="32"/>
          <w:szCs w:val="32"/>
        </w:rPr>
        <w:t>2024</w:t>
      </w:r>
      <w:r>
        <w:rPr>
          <w:rFonts w:hint="eastAsia" w:hAnsi="宋体" w:eastAsia="仿宋_GB2312" w:cs="宋体"/>
          <w:kern w:val="0"/>
          <w:sz w:val="36"/>
          <w:szCs w:val="36"/>
        </w:rPr>
        <w:t>年度）</w:t>
      </w:r>
    </w:p>
    <w:p w14:paraId="542EBB5D">
      <w:pPr>
        <w:spacing w:line="540" w:lineRule="exact"/>
        <w:jc w:val="center"/>
        <w:rPr>
          <w:rFonts w:hAnsi="宋体" w:eastAsia="仿宋_GB2312" w:cs="宋体"/>
          <w:kern w:val="0"/>
          <w:sz w:val="30"/>
          <w:szCs w:val="30"/>
        </w:rPr>
      </w:pPr>
    </w:p>
    <w:p w14:paraId="6654AC82">
      <w:pPr>
        <w:spacing w:line="540" w:lineRule="exact"/>
        <w:jc w:val="center"/>
        <w:rPr>
          <w:rFonts w:hAnsi="宋体" w:eastAsia="仿宋_GB2312" w:cs="宋体"/>
          <w:kern w:val="0"/>
          <w:sz w:val="30"/>
          <w:szCs w:val="30"/>
        </w:rPr>
      </w:pPr>
    </w:p>
    <w:p w14:paraId="48389231">
      <w:pPr>
        <w:spacing w:line="540" w:lineRule="exact"/>
        <w:jc w:val="center"/>
        <w:rPr>
          <w:rFonts w:hAnsi="宋体" w:eastAsia="仿宋_GB2312" w:cs="宋体"/>
          <w:kern w:val="0"/>
          <w:sz w:val="30"/>
          <w:szCs w:val="30"/>
        </w:rPr>
      </w:pPr>
    </w:p>
    <w:p w14:paraId="0838EED0">
      <w:pPr>
        <w:spacing w:line="540" w:lineRule="exact"/>
        <w:jc w:val="center"/>
        <w:rPr>
          <w:rFonts w:hAnsi="宋体" w:eastAsia="仿宋_GB2312" w:cs="宋体"/>
          <w:kern w:val="0"/>
          <w:sz w:val="30"/>
          <w:szCs w:val="30"/>
        </w:rPr>
      </w:pPr>
    </w:p>
    <w:p w14:paraId="30CAFE11">
      <w:pPr>
        <w:spacing w:line="540" w:lineRule="exact"/>
        <w:jc w:val="center"/>
        <w:rPr>
          <w:rFonts w:hAnsi="宋体" w:eastAsia="仿宋_GB2312" w:cs="宋体"/>
          <w:kern w:val="0"/>
          <w:sz w:val="30"/>
          <w:szCs w:val="30"/>
        </w:rPr>
      </w:pPr>
    </w:p>
    <w:p w14:paraId="253CD8A0">
      <w:pPr>
        <w:spacing w:line="540" w:lineRule="exact"/>
        <w:jc w:val="center"/>
        <w:rPr>
          <w:rFonts w:hAnsi="宋体" w:eastAsia="仿宋_GB2312" w:cs="宋体"/>
          <w:kern w:val="0"/>
          <w:sz w:val="30"/>
          <w:szCs w:val="30"/>
        </w:rPr>
      </w:pPr>
    </w:p>
    <w:p w14:paraId="018D5796">
      <w:pPr>
        <w:spacing w:line="540" w:lineRule="exact"/>
        <w:rPr>
          <w:rFonts w:hAnsi="宋体" w:eastAsia="仿宋_GB2312" w:cs="宋体"/>
          <w:kern w:val="0"/>
          <w:sz w:val="30"/>
          <w:szCs w:val="30"/>
        </w:rPr>
      </w:pPr>
    </w:p>
    <w:p w14:paraId="60406EAC">
      <w:pPr>
        <w:spacing w:line="700" w:lineRule="exact"/>
        <w:jc w:val="left"/>
        <w:rPr>
          <w:rFonts w:hAnsi="宋体" w:eastAsia="仿宋_GB2312" w:cs="宋体"/>
          <w:kern w:val="0"/>
          <w:sz w:val="36"/>
          <w:szCs w:val="36"/>
        </w:rPr>
      </w:pPr>
      <w:r>
        <w:rPr>
          <w:rFonts w:hint="eastAsia" w:hAnsi="宋体" w:eastAsia="仿宋_GB2312" w:cs="宋体"/>
          <w:kern w:val="0"/>
          <w:sz w:val="36"/>
          <w:szCs w:val="36"/>
        </w:rPr>
        <w:t xml:space="preserve">     </w:t>
      </w:r>
    </w:p>
    <w:p w14:paraId="744435DC">
      <w:pPr>
        <w:spacing w:line="700" w:lineRule="exact"/>
        <w:ind w:firstLine="900" w:firstLineChars="250"/>
        <w:jc w:val="left"/>
        <w:rPr>
          <w:rFonts w:hint="eastAsia" w:ascii="仿宋_GB2312" w:hAnsi="仿宋_GB2312" w:eastAsia="仿宋_GB2312" w:cs="仿宋_GB2312"/>
          <w:b w:val="0"/>
          <w:bCs w:val="0"/>
          <w:kern w:val="0"/>
          <w:sz w:val="44"/>
          <w:szCs w:val="44"/>
        </w:rPr>
      </w:pPr>
      <w:r>
        <w:rPr>
          <w:rFonts w:hint="eastAsia" w:ascii="黑体" w:hAnsi="黑体" w:eastAsia="黑体" w:cs="黑体"/>
          <w:kern w:val="0"/>
          <w:sz w:val="36"/>
          <w:szCs w:val="36"/>
        </w:rPr>
        <w:t>项目名称</w:t>
      </w: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4"/>
          <w:sz w:val="40"/>
          <w:szCs w:val="40"/>
        </w:rPr>
        <w:t>教研经费项目</w:t>
      </w:r>
    </w:p>
    <w:p w14:paraId="3852C405">
      <w:pPr>
        <w:spacing w:line="540" w:lineRule="exact"/>
        <w:ind w:firstLine="567"/>
        <w:rPr>
          <w:rStyle w:val="19"/>
          <w:rFonts w:hint="eastAsia" w:ascii="仿宋_GB2312" w:hAnsi="仿宋_GB2312" w:eastAsia="仿宋_GB2312" w:cs="仿宋_GB2312"/>
          <w:b w:val="0"/>
          <w:bCs w:val="0"/>
          <w:spacing w:val="-4"/>
          <w:sz w:val="40"/>
          <w:szCs w:val="40"/>
        </w:rPr>
      </w:pPr>
      <w:r>
        <w:rPr>
          <w:rFonts w:hint="eastAsia" w:hAnsi="宋体" w:eastAsia="仿宋_GB2312" w:cs="宋体"/>
          <w:kern w:val="0"/>
          <w:sz w:val="36"/>
          <w:szCs w:val="36"/>
        </w:rPr>
        <w:t xml:space="preserve">  </w:t>
      </w:r>
      <w:r>
        <w:rPr>
          <w:rFonts w:hint="eastAsia" w:ascii="黑体" w:hAnsi="黑体" w:eastAsia="黑体" w:cs="黑体"/>
          <w:kern w:val="0"/>
          <w:sz w:val="36"/>
          <w:szCs w:val="36"/>
        </w:rPr>
        <w:t>实施单位（公章）</w:t>
      </w: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4"/>
          <w:sz w:val="36"/>
          <w:szCs w:val="36"/>
        </w:rPr>
        <w:t>和田地区教学研究室</w:t>
      </w:r>
    </w:p>
    <w:p w14:paraId="1D473A92">
      <w:pPr>
        <w:spacing w:line="540" w:lineRule="exact"/>
        <w:ind w:firstLine="900" w:firstLineChars="250"/>
        <w:rPr>
          <w:rStyle w:val="19"/>
          <w:rFonts w:hint="eastAsia" w:ascii="仿宋_GB2312" w:hAnsi="仿宋_GB2312" w:eastAsia="仿宋_GB2312" w:cs="仿宋_GB2312"/>
          <w:b w:val="0"/>
          <w:bCs w:val="0"/>
          <w:spacing w:val="-4"/>
          <w:sz w:val="40"/>
          <w:szCs w:val="40"/>
        </w:rPr>
      </w:pPr>
      <w:r>
        <w:rPr>
          <w:rFonts w:hint="eastAsia" w:ascii="黑体" w:hAnsi="黑体" w:eastAsia="黑体" w:cs="黑体"/>
          <w:kern w:val="0"/>
          <w:sz w:val="36"/>
          <w:szCs w:val="36"/>
        </w:rPr>
        <w:t>主管部门（公章）</w:t>
      </w: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4"/>
          <w:sz w:val="36"/>
          <w:szCs w:val="36"/>
        </w:rPr>
        <w:t>和田地区教学研究室</w:t>
      </w:r>
    </w:p>
    <w:p w14:paraId="67F0D8A1">
      <w:pPr>
        <w:spacing w:line="540" w:lineRule="exact"/>
        <w:ind w:firstLine="900" w:firstLineChars="250"/>
        <w:rPr>
          <w:rStyle w:val="19"/>
          <w:rFonts w:hint="eastAsia" w:ascii="仿宋_GB2312" w:hAnsi="仿宋_GB2312" w:eastAsia="仿宋_GB2312" w:cs="仿宋_GB2312"/>
          <w:b w:val="0"/>
          <w:bCs w:val="0"/>
          <w:spacing w:val="-4"/>
          <w:sz w:val="40"/>
          <w:szCs w:val="40"/>
        </w:rPr>
      </w:pPr>
      <w:r>
        <w:rPr>
          <w:rFonts w:hint="eastAsia" w:ascii="黑体" w:hAnsi="黑体" w:eastAsia="黑体" w:cs="黑体"/>
          <w:kern w:val="0"/>
          <w:sz w:val="36"/>
          <w:szCs w:val="36"/>
        </w:rPr>
        <w:t>项目负责人（签章</w:t>
      </w:r>
      <w:r>
        <w:rPr>
          <w:rFonts w:hint="eastAsia" w:hAnsi="宋体" w:eastAsia="仿宋_GB2312" w:cs="宋体"/>
          <w:kern w:val="0"/>
          <w:sz w:val="36"/>
          <w:szCs w:val="36"/>
        </w:rPr>
        <w:t>）：</w:t>
      </w:r>
      <w:r>
        <w:rPr>
          <w:rFonts w:hint="eastAsia" w:hAnsi="宋体" w:eastAsia="仿宋_GB2312" w:cs="宋体"/>
          <w:kern w:val="0"/>
          <w:sz w:val="32"/>
          <w:szCs w:val="32"/>
        </w:rPr>
        <w:t>吕银德</w:t>
      </w:r>
    </w:p>
    <w:p w14:paraId="1EE14E30">
      <w:pPr>
        <w:spacing w:line="540" w:lineRule="exact"/>
        <w:ind w:left="273" w:firstLine="567"/>
        <w:rPr>
          <w:rStyle w:val="19"/>
          <w:rFonts w:ascii="楷体" w:hAnsi="楷体" w:eastAsia="楷体"/>
          <w:spacing w:val="-4"/>
          <w:sz w:val="32"/>
          <w:szCs w:val="32"/>
        </w:rPr>
      </w:pPr>
      <w:r>
        <w:rPr>
          <w:rFonts w:hint="eastAsia" w:ascii="黑体" w:hAnsi="黑体" w:eastAsia="黑体" w:cs="黑体"/>
          <w:kern w:val="0"/>
          <w:sz w:val="36"/>
          <w:szCs w:val="36"/>
        </w:rPr>
        <w:t>填报时间</w:t>
      </w:r>
      <w:r>
        <w:rPr>
          <w:rFonts w:hint="eastAsia" w:hAnsi="宋体" w:eastAsia="仿宋_GB2312" w:cs="宋体"/>
          <w:kern w:val="0"/>
          <w:sz w:val="36"/>
          <w:szCs w:val="36"/>
        </w:rPr>
        <w:t>：</w:t>
      </w:r>
      <w:r>
        <w:rPr>
          <w:rStyle w:val="19"/>
          <w:rFonts w:hint="eastAsia" w:ascii="仿宋_GB2312" w:hAnsi="仿宋_GB2312" w:eastAsia="仿宋_GB2312" w:cs="仿宋_GB2312"/>
          <w:b w:val="0"/>
          <w:bCs w:val="0"/>
          <w:spacing w:val="-4"/>
          <w:sz w:val="36"/>
          <w:szCs w:val="36"/>
        </w:rPr>
        <w:t>2025年03月14日</w:t>
      </w:r>
    </w:p>
    <w:p w14:paraId="5F48D30F">
      <w:pPr>
        <w:spacing w:line="700" w:lineRule="exact"/>
        <w:ind w:firstLine="708" w:firstLineChars="236"/>
        <w:jc w:val="left"/>
        <w:rPr>
          <w:rFonts w:hAnsi="宋体" w:eastAsia="仿宋_GB2312" w:cs="宋体"/>
          <w:kern w:val="0"/>
          <w:sz w:val="30"/>
          <w:szCs w:val="30"/>
        </w:rPr>
      </w:pPr>
    </w:p>
    <w:p w14:paraId="1A360798">
      <w:pPr>
        <w:spacing w:line="540" w:lineRule="exact"/>
        <w:rPr>
          <w:rStyle w:val="19"/>
          <w:rFonts w:ascii="黑体" w:hAnsi="黑体" w:eastAsia="黑体"/>
          <w:b w:val="0"/>
          <w:spacing w:val="-4"/>
          <w:sz w:val="32"/>
          <w:szCs w:val="32"/>
        </w:rPr>
      </w:pPr>
    </w:p>
    <w:p w14:paraId="230C57E0">
      <w:pPr>
        <w:spacing w:line="540" w:lineRule="exact"/>
        <w:ind w:firstLine="640"/>
        <w:rPr>
          <w:rStyle w:val="19"/>
          <w:rFonts w:ascii="黑体" w:hAnsi="黑体" w:eastAsia="黑体"/>
          <w:b w:val="0"/>
          <w:spacing w:val="-4"/>
          <w:sz w:val="32"/>
          <w:szCs w:val="32"/>
        </w:rPr>
      </w:pPr>
      <w:r>
        <w:rPr>
          <w:rStyle w:val="19"/>
          <w:rFonts w:hint="eastAsia" w:ascii="黑体" w:hAnsi="黑体" w:eastAsia="黑体" w:cs="黑体"/>
          <w:b w:val="0"/>
          <w:spacing w:val="-4"/>
          <w:sz w:val="32"/>
          <w:szCs w:val="32"/>
        </w:rPr>
        <w:t>一、基本情况</w:t>
      </w:r>
    </w:p>
    <w:p w14:paraId="3472041C">
      <w:pPr>
        <w:spacing w:line="540" w:lineRule="exact"/>
        <w:ind w:firstLine="567"/>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（一）项目概况</w:t>
      </w:r>
    </w:p>
    <w:p w14:paraId="67101423">
      <w:pPr>
        <w:spacing w:line="540" w:lineRule="exact"/>
        <w:ind w:left="319" w:leftChars="152" w:firstLine="530" w:firstLineChars="170"/>
        <w:rPr>
          <w:rFonts w:hint="eastAsia" w:ascii="楷体_GB2312" w:hAnsi="楷体_GB2312" w:eastAsia="楷体_GB2312" w:cs="楷体_GB2312"/>
          <w:b w:val="0"/>
          <w:bCs w:val="0"/>
          <w:spacing w:val="-4"/>
          <w:sz w:val="32"/>
          <w:szCs w:val="32"/>
          <w:lang w:val="en-US" w:eastAsia="zh-CN"/>
        </w:rPr>
      </w:pPr>
      <w:r>
        <w:rPr>
          <w:rFonts w:hint="eastAsia" w:ascii="楷体_GB2312" w:hAnsi="楷体_GB2312" w:eastAsia="楷体_GB2312" w:cs="楷体_GB2312"/>
          <w:b w:val="0"/>
          <w:bCs w:val="0"/>
          <w:spacing w:val="-4"/>
          <w:sz w:val="32"/>
          <w:szCs w:val="32"/>
          <w:lang w:val="en-US" w:eastAsia="zh-CN"/>
        </w:rPr>
        <w:t>1.项目背景</w:t>
      </w:r>
    </w:p>
    <w:p w14:paraId="105FA8CC">
      <w:pPr>
        <w:spacing w:line="540" w:lineRule="exact"/>
        <w:ind w:left="319" w:leftChars="152" w:firstLine="530" w:firstLineChars="17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rPr>
        <w:t>本项目遵循《关于进一步提升初中学业水平考试及格率的工作方案》《关于提升和田地区义务教育阶段语文课业成绩的工作方案》（和党教组办〔2023〕2号）等相关政策文件与规定，旨在评价教研经费项目实施前期、过程及效果，评价财政预算资金使用的效率及效益。通过该项目的实施，达到提高教研员专业水平、提升教育教学质量效果。</w:t>
      </w:r>
      <w:r>
        <w:rPr>
          <w:rFonts w:hint="eastAsia" w:ascii="仿宋" w:hAnsi="仿宋" w:eastAsia="仿宋" w:cs="仿宋"/>
          <w:b w:val="0"/>
          <w:bCs w:val="0"/>
          <w:spacing w:val="-4"/>
          <w:sz w:val="32"/>
          <w:szCs w:val="32"/>
        </w:rPr>
        <w:br w:type="textWrapping"/>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为有效开展各项教研活动，进一步推动和深化课程改革，认真做好教研工作，提高本地区教师的教学能力和教学水平，提升教育教学质量，发挥和田地区教研室管理、服务、指导、研究职能，组织实施和田地区中小学教研经费项目，其金额为15.00万元，特设立本项目。</w:t>
      </w:r>
      <w:r>
        <w:rPr>
          <w:rFonts w:hint="eastAsia" w:ascii="仿宋" w:hAnsi="仿宋" w:eastAsia="仿宋" w:cs="仿宋"/>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2.主要内容</w:t>
      </w:r>
      <w:r>
        <w:rPr>
          <w:rStyle w:val="19"/>
          <w:rFonts w:hint="eastAsia" w:ascii="楷体" w:hAnsi="楷体" w:eastAsia="楷体"/>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教研经费资金使用办公经费、教研活动，教研员培训，下县视导、服务工作及开展教学质量提升月考核等工作。具体实施如下：</w:t>
      </w:r>
      <w:r>
        <w:rPr>
          <w:rStyle w:val="19"/>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完成开展8次优质课评比活动，下县视导工作1次，开展送教下乡及教研活动1次，加强考试巡考工作8次的任务。</w:t>
      </w:r>
      <w:r>
        <w:rPr>
          <w:rStyle w:val="19"/>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rPr>
        <w:t>教研机构满意度达到99.15%。提高教研员专业水平、提升教育教学质量。</w:t>
      </w:r>
      <w:r>
        <w:rPr>
          <w:rStyle w:val="19"/>
          <w:rFonts w:hint="eastAsia" w:ascii="仿宋" w:hAnsi="仿宋" w:eastAsia="仿宋" w:cs="仿宋"/>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 w:hAnsi="楷体" w:eastAsia="楷体" w:cs="楷体"/>
          <w:b w:val="0"/>
          <w:bCs w:val="0"/>
          <w:spacing w:val="-4"/>
          <w:sz w:val="32"/>
          <w:szCs w:val="32"/>
          <w:lang w:val="en-US" w:eastAsia="zh-CN"/>
        </w:rPr>
        <w:t xml:space="preserve"> 3.实施情况</w:t>
      </w:r>
      <w:r>
        <w:rPr>
          <w:rStyle w:val="19"/>
          <w:rFonts w:hint="eastAsia" w:ascii="楷体" w:hAnsi="楷体" w:eastAsia="楷体" w:cs="楷体"/>
          <w:b w:val="0"/>
          <w:bCs w:val="0"/>
          <w:spacing w:val="-4"/>
          <w:sz w:val="32"/>
          <w:szCs w:val="32"/>
        </w:rPr>
        <w:br w:type="textWrapping"/>
      </w:r>
      <w:r>
        <w:rPr>
          <w:rStyle w:val="19"/>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实施主体：和田地区教学研究室。</w:t>
      </w:r>
    </w:p>
    <w:p w14:paraId="66113FB7">
      <w:pPr>
        <w:spacing w:line="540" w:lineRule="exact"/>
        <w:ind w:left="319" w:leftChars="152" w:firstLine="530" w:firstLineChars="170"/>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lang w:val="en-US" w:eastAsia="zh-CN"/>
        </w:rPr>
        <w:t>实施时间：本项目实施期限为2024年1月-2024年12月。</w:t>
      </w:r>
    </w:p>
    <w:p w14:paraId="59B5F5E3">
      <w:pPr>
        <w:spacing w:line="540" w:lineRule="exact"/>
        <w:ind w:left="319" w:leftChars="152" w:firstLine="530" w:firstLineChars="170"/>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lang w:val="en-US" w:eastAsia="zh-CN"/>
        </w:rPr>
        <w:t>实施情况：在过去的一年里，教研室紧紧围绕提升教育教学质量这一核心目标，在教研经费管理、各类优质课评比活动、下县视导、质量监测与各种考试巡考以及送教助研活动等多方面开展了一系列工作，取得了显著成效。</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1）合理规划教研经费。确保每一笔资金都用在教研工作上。在优质课评比活动中，经费主要用于评委聘请、证书制作等方面，保障了活动的顺利开展。对于下县视导、送教助研活动，经费则重点支持交通、资料印刷等支出，为活动的有效实施提供了坚实的物质基础。通过严格的经费审批与监管流程，做到了账目清晰、开支合理，使有限的教研经费发挥出最大的效益。</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2）优质课评比活动及奖励。通过开展8次各类评比活动，吸引了众多教师踊跃参与。活动前期，制定了详细、公平、公正的评比规则和评分标准，并通过多种渠道广泛宣传，确保教师们充分了解。比赛过程中，邀请了教学经验丰富、专业素养高的骨干教师和专家担任评委，从教学设计、教学方法、教学效果等多个维度进行综合评价。活动结束后，对表现优秀的教师给予了荣誉证书，并组织了获奖教师公开课展示活动，充分发挥了优质课评比的示范引领作用，促进了教师之间的学习与交流，有效提升了教师的教学水平。</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3）强化教学视导工作。按照自治区教育厅《关于印发&lt;新疆维吾尔自治区中小学教学常规管理基本〉的通知》（新教厅〔2021〕32号）文件要求，组织地县两级教研员、一线骨干教师成立教学视导组分东、西2个片区，深入各县市对义务教育阶段学校通过听取校领导汇报、指导教学常规、听课评课、教师座谈、学生现场测评等方式，对教情、学情进行视导，共走访中小学校125所，听评课1219节、查阅教案1840本、指导作业13350本、师生访谈2780人、上示范课51节、现场培训90场，总计受益教师和校领导12130人次。通过1次下县教学视导，视导小组通过听课、查阅教案与作业批改情况、与师生座谈等形式，全面了解学校的教学现状。针对发现的问题，及时与学校领导和教师进行反馈交流，提出具体的改进建议和措施。同时，视导小组还积极挖掘基层学校的优秀教学经验和典型案例，在全地区范围内进行推广，以点带面，推动全地区教育教学质量的整体提升。在视导过程中，注重加强与基层学校的沟通联系，建立了良好的互动机制，为后续的教学研究和指导工作奠定了坚实基础。</w:t>
      </w:r>
      <w:r>
        <w:rPr>
          <w:rStyle w:val="19"/>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4）持续落实质量监测与巡考工作。一是组织开展3次月质量监测，抽测学校125所，学生29375名、教师3139名，其中小学16814人，初中12561人，下发3期质量分析通报。二是组织2次期末考试工作，命制试卷225套，其中小学四个年级五门学科120套，初中三个年级9门学科105套，如期完成期末考试（抽测）、阅卷及质量分析工作，2次期末考试共监测学校92所,其中初中44所，小学48所；抽测学生1.53万余人，其中初中0.68余万人，小学0.85余万人。三是组织2024年教育状况监测工作，覆盖4个县市，19所学校，2245名学生参加本次考试。四是组织2024年国家义务教育质量监测工作，覆盖7县1市，163所学校，63961名学生，2238名教师参加本次考试。五是组织1次全地区所有教师课程标准监测考试。</w:t>
      </w:r>
    </w:p>
    <w:p w14:paraId="4AB9587D">
      <w:pPr>
        <w:spacing w:line="540" w:lineRule="exact"/>
        <w:ind w:left="319" w:leftChars="152" w:firstLine="530" w:firstLineChars="170"/>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lang w:val="en-US" w:eastAsia="zh-CN"/>
        </w:rPr>
        <w:t>通过8次认真组织各类教学监测和考试巡考工作，确保考试的公平公正和顺利进行。在考试前，精心安排考务工作，包括考场布置、试卷保密与分发等环节，制定详细的考务手册，对监考教师和考务人员进行培训，明确职责和要求。考试期间，巡考人员深入各个考点，对考试组织、考场纪律、监考教师履职情况等进行全面巡查，及时处理考试过程中出现的问题。考试结束后，协助相关部门做好试卷的回收、整理和成绩统计分析工作，为教学质量评估和教学决策提供科学依据。通过严格规范的监测和巡考工作，营造了良好的考试氛围，促进了良好学风和考风的形成。</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5）组织开展送教助研活动。完成和田地区“京津皖和”基础教育大教研联盟集中教研送教助研活动，活动覆盖学前至高中四个学段10门学科，邀请69名疆内外专家教师，组织援疆教师和各县市465名骨干教师，开展21场专题讲座和30节优质观摩课，现场参加教师465名，线上参与教师13453名，收益教师1.39万余名，为教师专业成长搭建学习借鉴、交流展示的平台。送教课程涵盖了多个学科，授课教师根据当地学生的实际情况和教学需求，精心设计教学内容和教学方法，为当地师生呈现了一堂精彩纷呈的示范课。送教过程中，还安排了教学研讨环节，送教教师与当地教师进行深入交流，分享教学经验和教学心得，共同探讨教学中遇到的问题及解决方法。通过送教助研活动，加强了城乡学校之间的交流与合作，促进了教育资源的共享，有效提升了薄弱学校教师的教学能力和教学水平。</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总之，教研室在各方面工作中取得了一定的成绩，但也存在一些不足之处，例如教研活动的形式还可以更加多样化，对一些偏远县市学校的指导还需要进一步加强等。在今后的工作中，我们将不断总结经验，改进工作方法，努力推动教研工作再上新台阶，为提高教育教学质量做出更大的贡献。</w:t>
      </w:r>
      <w:r>
        <w:rPr>
          <w:rStyle w:val="19"/>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4.资金投入和使用情况</w:t>
      </w:r>
      <w:r>
        <w:rPr>
          <w:rFonts w:hint="eastAsia" w:ascii="方正仿宋_GBK" w:hAnsi="方正仿宋_GBK" w:eastAsia="方正仿宋_GBK" w:cs="方正仿宋_GBK"/>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（1）项目资金安排落实、总投入等情况分析</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本项目预算安排总额为15.00万元，资金来源为本级部门预算，其中：财政资金15.00万元，其他资金0万元，2024年实际收到预算资金15.00万元，预算资金到位率为100%。</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（2）项目资金实际使用情况分析</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本项目实际支付资金14.05万元，预算执行率93.67%。本项目资金主要用于支付办公费用6.05万元、差旅费用8.00万元。</w:t>
      </w:r>
    </w:p>
    <w:p w14:paraId="73B79AEE">
      <w:pPr>
        <w:spacing w:line="540" w:lineRule="exact"/>
        <w:ind w:firstLine="624" w:firstLineChars="200"/>
        <w:rPr>
          <w:rStyle w:val="19"/>
          <w:rFonts w:hint="eastAsia" w:ascii="楷体_GB2312" w:hAnsi="楷体_GB2312" w:eastAsia="楷体_GB2312" w:cs="楷体_GB2312"/>
          <w:spacing w:val="-4"/>
          <w:sz w:val="32"/>
          <w:szCs w:val="32"/>
        </w:rPr>
      </w:pPr>
      <w:r>
        <w:rPr>
          <w:rStyle w:val="19"/>
          <w:rFonts w:hint="eastAsia" w:ascii="楷体_GB2312" w:hAnsi="楷体_GB2312" w:eastAsia="楷体_GB2312" w:cs="楷体_GB2312"/>
          <w:b w:val="0"/>
          <w:bCs w:val="0"/>
          <w:spacing w:val="-4"/>
          <w:sz w:val="32"/>
          <w:szCs w:val="32"/>
        </w:rPr>
        <w:t>（二）项目绩效目标</w:t>
      </w:r>
    </w:p>
    <w:p w14:paraId="3045AB29">
      <w:pPr>
        <w:spacing w:line="540" w:lineRule="exact"/>
        <w:ind w:left="319" w:leftChars="152" w:firstLine="530" w:firstLineChars="170"/>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lang w:val="en-US" w:eastAsia="zh-CN"/>
        </w:rPr>
        <w:t>总体目标</w:t>
      </w:r>
    </w:p>
    <w:p w14:paraId="1C8C7595">
      <w:pPr>
        <w:spacing w:line="540" w:lineRule="exact"/>
        <w:ind w:left="319" w:leftChars="152" w:firstLine="530" w:firstLineChars="170"/>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lang w:val="en-US" w:eastAsia="zh-CN"/>
        </w:rPr>
        <w:t>和田地区教学研究室2024年度教研经费项目于2024年1月开始至2024年12月结束。一是设立各种优质课评比活动及奖励。二是努力完成下县视导工作。计划以评估教师课堂教学为核心，以检查教学常规为重点，采取听评课、师生座谈、现场察看、个别交流、集中反馈等形式，对教学组织、教师备课、教学研究、课堂教学、课后辅导等方面进行指导。研究解决各级各类学校教育教学实践中最突出的问题，切实推进有效教学，创建高效课堂。督促与指导各学校教育管理，落实教学常规，深化课程改革，促进全地区中小学教育教学质量的进一步提高。三是加强考试巡考工作。明年预计6次月检测、2次期末考试巡考人员到各县市中小学进行巡考。</w:t>
      </w:r>
    </w:p>
    <w:p w14:paraId="06B77612">
      <w:pPr>
        <w:spacing w:line="540" w:lineRule="exact"/>
        <w:ind w:firstLine="624" w:firstLineChars="200"/>
        <w:rPr>
          <w:rStyle w:val="19"/>
          <w:rFonts w:hint="eastAsia" w:ascii="仿宋" w:hAnsi="仿宋" w:eastAsia="仿宋" w:cs="仿宋"/>
          <w:b w:val="0"/>
          <w:bCs w:val="0"/>
          <w:spacing w:val="-4"/>
          <w:sz w:val="32"/>
          <w:szCs w:val="32"/>
          <w:lang w:val="en-US" w:eastAsia="zh-CN"/>
        </w:rPr>
      </w:pPr>
      <w:r>
        <w:rPr>
          <w:rStyle w:val="19"/>
          <w:rFonts w:hint="eastAsia" w:ascii="黑体" w:hAnsi="黑体" w:eastAsia="黑体" w:cs="黑体"/>
          <w:b w:val="0"/>
          <w:bCs w:val="0"/>
          <w:spacing w:val="-4"/>
          <w:sz w:val="32"/>
          <w:szCs w:val="32"/>
          <w:lang w:eastAsia="zh-CN"/>
        </w:rPr>
        <w:t>二、</w:t>
      </w:r>
      <w:r>
        <w:rPr>
          <w:rStyle w:val="19"/>
          <w:rFonts w:hint="eastAsia" w:ascii="黑体" w:hAnsi="黑体" w:eastAsia="黑体" w:cs="黑体"/>
          <w:b w:val="0"/>
          <w:bCs w:val="0"/>
          <w:spacing w:val="-4"/>
          <w:sz w:val="32"/>
          <w:szCs w:val="32"/>
        </w:rPr>
        <w:t>开展送教下乡及教研活动</w:t>
      </w:r>
      <w:r>
        <w:rPr>
          <w:rFonts w:hint="eastAsia" w:ascii="方正仿宋_GBK" w:hAnsi="方正仿宋_GBK" w:eastAsia="方正仿宋_GBK" w:cs="方正仿宋_GBK"/>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 xml:space="preserve"> 阶段性目标：</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1.项目前期准备工作：根据《关于进一步提升初中学业水平考试及格率的工作方案》《关于提升和田地区义务教育阶段语文课业成绩的工作方案》（和党教组办〔2023〕2号）相关政策、法规，通过市场调研及参考类似项目历史数据申请项目资金，计划差旅费8万元，办公用品采购费用7万元，共计申请项目资金15万元。</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2.项目实施：通过开展8次各类评比活动，吸引了众多教师踊跃参与。活动前期，制定了详细、公平、公正的评比规则和评分标准，并通过多种渠道广泛宣传，确保教师们充分了解。比赛过程中，邀请了教学经验丰富、专业素养高的骨干教师和专家担任评委，从教学设计、教学方法、教学效果等多个维度进行综合评价。活动结束后，对表现优秀的教师给予了荣誉证书，并组织了获奖教师公开课展示活动，充分发挥了优质课评比的示范引领作用，促进了教师之间的学习与交流，有效提升了教师的教学水平。</w:t>
      </w:r>
      <w:r>
        <w:rPr>
          <w:rStyle w:val="19"/>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3.项目完成</w:t>
      </w:r>
      <w:r>
        <w:rPr>
          <w:rStyle w:val="19"/>
          <w:rFonts w:hint="eastAsia" w:ascii="楷体_GB2312" w:hAnsi="楷体_GB2312" w:eastAsia="楷体_GB2312" w:cs="楷体_GB2312"/>
          <w:b w:val="0"/>
          <w:bCs w:val="0"/>
          <w:spacing w:val="-4"/>
          <w:sz w:val="32"/>
          <w:szCs w:val="32"/>
        </w:rPr>
        <w:t>：</w:t>
      </w:r>
      <w:r>
        <w:rPr>
          <w:rStyle w:val="19"/>
          <w:rFonts w:hint="eastAsia" w:ascii="仿宋" w:hAnsi="仿宋" w:eastAsia="仿宋" w:cs="仿宋"/>
          <w:b w:val="0"/>
          <w:bCs w:val="0"/>
          <w:spacing w:val="-4"/>
          <w:sz w:val="32"/>
          <w:szCs w:val="32"/>
          <w:lang w:val="en-US" w:eastAsia="zh-CN"/>
        </w:rPr>
        <w:t>合理规划教研经费，确保每一笔资金都用在教研工作上。在优质课评比活动中，经费主要用于评委聘请、证书制作等方面，保障了活动的顺利开展。对于下县视导、送教助研活动，经费则重点支持交通、资料印刷等支出，为活动的有效实施提供了坚实的物质基础。通过严格的经费审批与监管流程，做到了账目清晰、开支合理，使有限的教研经费发挥出最大的效益。</w:t>
      </w:r>
    </w:p>
    <w:p w14:paraId="6BD43081">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eastAsia="zh-CN"/>
        </w:rPr>
        <w:t>三</w:t>
      </w:r>
      <w:r>
        <w:rPr>
          <w:rStyle w:val="19"/>
          <w:rFonts w:hint="eastAsia" w:ascii="黑体" w:hAnsi="黑体" w:eastAsia="黑体" w:cs="黑体"/>
          <w:b w:val="0"/>
          <w:spacing w:val="-4"/>
          <w:sz w:val="32"/>
          <w:szCs w:val="32"/>
        </w:rPr>
        <w:t>、绩效评价工作开展情况</w:t>
      </w:r>
    </w:p>
    <w:p w14:paraId="02A47560">
      <w:pPr>
        <w:spacing w:line="540" w:lineRule="exact"/>
        <w:ind w:firstLine="564" w:firstLineChars="181"/>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（一）绩效评价目的、对象和范围</w:t>
      </w:r>
    </w:p>
    <w:p w14:paraId="470A8D71">
      <w:pPr>
        <w:spacing w:line="540" w:lineRule="exact"/>
        <w:ind w:firstLine="567"/>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1.绩效评价的目的</w:t>
      </w:r>
    </w:p>
    <w:p w14:paraId="7EF3193D">
      <w:pPr>
        <w:spacing w:line="540" w:lineRule="exact"/>
        <w:ind w:firstLine="624" w:firstLineChars="200"/>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lang w:val="en-US" w:eastAsia="zh-CN"/>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我单位针对教研经费项目开展本次部门项目支出绩效评价工作。通过绩效评价，促进本单位发现问题、总结经验、改进工作。绩效评价旨在评价本项目前期审批、实施过程及实施效果，促进预算管理不断完善，加快绩效目标的实现，保证财政资金有效、合理使用，具体绩效评价的目的细分如下： 一是通过部门项目支出绩效评价，进一步严格落实《中华人民共和国预算法》以及党中央、国务院关于加强预算绩效管理的指示精神，建立健全“花钱必问效、无效必问责”的绩效预算管理机制，提升财政资金的使用效能。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r>
        <w:rPr>
          <w:rStyle w:val="19"/>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2.绩效评价对象</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 xml:space="preserve"> 此次我单位根据《财政支出绩效评价管理暂行办法》（财预〔2020〕10号）文件要求实施评价工作，本次评价对象为教研经费项目，评价核心为项目的资金投入、产出及效益。</w:t>
      </w:r>
      <w:r>
        <w:rPr>
          <w:rStyle w:val="19"/>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3.绩效评价范围</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 xml:space="preserve"> 本次绩效评价主要围绕项目资金使用情况和财务管理状况；资产配置、使用、处置及其收益管理情况；项目管理相关制度及措施是否被认真执行；绩效目标的实现程度（包括是否达到预定产出和效果）等方面进行综合绩效评价。</w:t>
      </w:r>
    </w:p>
    <w:p w14:paraId="7A6E3129">
      <w:pPr>
        <w:spacing w:line="540" w:lineRule="exact"/>
        <w:ind w:firstLine="567"/>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（二）绩效评价原则、评价指标体系、评价方法、评价标准</w:t>
      </w:r>
    </w:p>
    <w:p w14:paraId="77580C08">
      <w:pPr>
        <w:spacing w:line="540" w:lineRule="exact"/>
        <w:ind w:firstLine="567"/>
        <w:rPr>
          <w:rStyle w:val="19"/>
          <w:rFonts w:hint="eastAsia" w:ascii="方正仿宋_GBK" w:hAnsi="方正仿宋_GBK" w:eastAsia="方正仿宋_GBK" w:cs="方正仿宋_GBK"/>
          <w:b w:val="0"/>
          <w:bCs w:val="0"/>
          <w:spacing w:val="-4"/>
          <w:sz w:val="32"/>
          <w:szCs w:val="32"/>
        </w:rPr>
      </w:pPr>
      <w:r>
        <w:rPr>
          <w:rStyle w:val="19"/>
          <w:rFonts w:hint="eastAsia" w:ascii="楷体_GB2312" w:hAnsi="楷体_GB2312" w:eastAsia="楷体_GB2312" w:cs="楷体_GB2312"/>
          <w:b w:val="0"/>
          <w:bCs w:val="0"/>
          <w:spacing w:val="-4"/>
          <w:sz w:val="32"/>
          <w:szCs w:val="32"/>
          <w:lang w:val="en-US" w:eastAsia="zh-CN"/>
        </w:rPr>
        <w:t>1.</w:t>
      </w:r>
      <w:r>
        <w:rPr>
          <w:rStyle w:val="19"/>
          <w:rFonts w:hint="eastAsia" w:ascii="楷体_GB2312" w:hAnsi="楷体_GB2312" w:eastAsia="楷体_GB2312" w:cs="楷体_GB2312"/>
          <w:b w:val="0"/>
          <w:bCs w:val="0"/>
          <w:spacing w:val="-4"/>
          <w:sz w:val="32"/>
          <w:szCs w:val="32"/>
        </w:rPr>
        <w:t>绩效评价原则</w:t>
      </w:r>
    </w:p>
    <w:p w14:paraId="2E8AAE8B">
      <w:pPr>
        <w:spacing w:line="540" w:lineRule="exact"/>
        <w:ind w:firstLine="624" w:firstLineChars="200"/>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lang w:val="en-US" w:eastAsia="zh-CN"/>
        </w:rPr>
        <w:t>依据《中华人民共和国预算法》《中共中央、国务院关于全面实施预算绩效管理的意见》（中发〔2018〕34号）《项目支出绩效评价管理办法》（财预〔2020〕10号）《自治区党委自治区人民政府关于全面实施预算绩效管理的实施意见》（新党发〔2018〕30号）《自治区财政支出绩效评价管理暂行办法》（新财预〔2018〕189号）等要求，绩效评价应遵循如下原则：</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（1）科学公正。绩效评价应当运用科学合理的方法，按照规范的程序，对项目绩效进行客观、公正地反映。</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（3）激励约束。绩效评价结果应与预算安排、政策调整、改进管理实质性挂钩，体现奖优罚劣和激励相容导向，有效要安排、低效要压减、无效要问责。</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（4）公开透明。绩效评价结果应依法依规公开，并自觉接受社会监督。</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根据以上原则，绩效评价应遵循如下要求:</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（1）在数据采集时，采取客观数据，主管部门审查、社会中介组织复查，与问卷调查相结合的形式，以保证各项指标的真实性。</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（2）保证评价结果的真实性、公正性，提高评价报告的公信力。</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3）绩效评价报告应当简明扼要，除了对绩效评价的过程、结果描述外，还应总结经验，指出问题，并就共性问题提出可操作性改进建议。评价工作组本着科学规范、公平公正、绩效相关的原则，采用全面、重点、现场和非现场相结合的方式进行评价。</w:t>
      </w:r>
      <w:r>
        <w:rPr>
          <w:rStyle w:val="19"/>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2.绩效评价指标体系</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 xml:space="preserve"> 我单位通过实施资料研读及前期调研，结合项目的实际开展情况，按照《项目支出绩效评价管理办法》（财预〔2020〕10号）文件要求，结合项目特点，经与专家组充分协商，设置指标体系结构如下：设置一级指标共4个，包括：决策指标（21%）、过程指标（19%）、产出指标（20%）、效益指标（40%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1项目支出绩效评价体系”。</w:t>
      </w:r>
    </w:p>
    <w:p w14:paraId="3B3A2303">
      <w:pPr>
        <w:numPr>
          <w:ilvl w:val="0"/>
          <w:numId w:val="0"/>
        </w:numPr>
        <w:spacing w:line="540" w:lineRule="exact"/>
        <w:ind w:leftChars="252"/>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lang w:val="en-US" w:eastAsia="zh-CN"/>
        </w:rPr>
        <w:t>3.</w:t>
      </w:r>
      <w:r>
        <w:rPr>
          <w:rStyle w:val="19"/>
          <w:rFonts w:hint="eastAsia" w:ascii="楷体_GB2312" w:hAnsi="楷体_GB2312" w:eastAsia="楷体_GB2312" w:cs="楷体_GB2312"/>
          <w:b w:val="0"/>
          <w:bCs w:val="0"/>
          <w:spacing w:val="-4"/>
          <w:sz w:val="32"/>
          <w:szCs w:val="32"/>
        </w:rPr>
        <w:t>评价方法</w:t>
      </w:r>
    </w:p>
    <w:p w14:paraId="70B3BD94">
      <w:pPr>
        <w:spacing w:line="540" w:lineRule="exact"/>
        <w:ind w:firstLine="624" w:firstLineChars="200"/>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lang w:val="en-US" w:eastAsia="zh-CN"/>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r>
        <w:rPr>
          <w:rStyle w:val="19"/>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 xml:space="preserve"> 三级指标分析环节：总体采用比较法，同时辅以文献法、成本效益法、因素分析法以及公众评判法，根据不同三级指标类型进行逐项分析。</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Style w:val="19"/>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仿宋" w:hAnsi="仿宋" w:eastAsia="仿宋" w:cs="仿宋"/>
          <w:b w:val="0"/>
          <w:bCs w:val="0"/>
          <w:spacing w:val="-4"/>
          <w:sz w:val="32"/>
          <w:szCs w:val="32"/>
          <w:lang w:val="en-US" w:eastAsia="zh-CN"/>
        </w:rPr>
        <w:t xml:space="preserve"> 立项依据充分性：比较法、文献法，查找法律法规政策以及规划，对比实际执行内容和政策支持内容是否匹配。</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立项程序规范性：比较法、文献法，查找相关项目设立的政策和文件要求，对比分析实际执行程序是否按照政策及文件要求执行，分析立项程序的规范性。</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绩效目标合理性：比较法，对比分析年初编制项目支出绩效目标表与项目内容的相关性、资金的匹配性等。</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绩效指标明确性：比较法，比较分析年初编制项目支出绩效目标表是否符合双七原则，是否可衡量。</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预算编制科学性：成本效益分析法，分析在产出一定的情况下，成本取值是否有依据，是否经过询价，是否按照市场最低成本编制。</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资金分配合理性：因素分析法，综合分析资金的分配依据是否充分，分配金额是否与项目实施单位需求金额一致。</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资金到位率：比较法，资金到位率预期指标值应为100%，通过实际计算，分析实际完成值和预期指标值之间的差距和原因。</w:t>
      </w:r>
    </w:p>
    <w:p w14:paraId="32047A61">
      <w:pPr>
        <w:spacing w:line="540" w:lineRule="exact"/>
        <w:ind w:firstLine="624" w:firstLineChars="200"/>
        <w:rPr>
          <w:rStyle w:val="19"/>
          <w:rFonts w:hint="eastAsia" w:ascii="仿宋" w:hAnsi="仿宋" w:eastAsia="仿宋" w:cs="仿宋"/>
          <w:b w:val="0"/>
          <w:bCs w:val="0"/>
          <w:spacing w:val="-4"/>
          <w:sz w:val="32"/>
          <w:szCs w:val="32"/>
          <w:lang w:val="en-US" w:eastAsia="zh-CN"/>
        </w:rPr>
      </w:pPr>
      <w:r>
        <w:rPr>
          <w:rStyle w:val="19"/>
          <w:rFonts w:hint="eastAsia" w:ascii="仿宋" w:hAnsi="仿宋" w:eastAsia="仿宋" w:cs="仿宋"/>
          <w:b w:val="0"/>
          <w:bCs w:val="0"/>
          <w:spacing w:val="-4"/>
          <w:sz w:val="32"/>
          <w:szCs w:val="32"/>
          <w:lang w:val="en-US" w:eastAsia="zh-CN"/>
        </w:rPr>
        <w:t>预算执行率：比较法，预算执行率预期指标值应为100%，通过实际计算，分析实际完成值和预期指标值之间的差距和原因。</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资金使用合规性：文献法、实地勘察法，一是查找资金管理办法，包括专项资金管理办法和单位自有资金管理办法；二是通过查账了解具体开支情况，是否专款专用，是否按照标准支出。</w:t>
      </w:r>
    </w:p>
    <w:p w14:paraId="2697DD9E">
      <w:pPr>
        <w:spacing w:line="540" w:lineRule="exact"/>
        <w:ind w:firstLine="624" w:firstLineChars="200"/>
        <w:rPr>
          <w:rStyle w:val="19"/>
          <w:rFonts w:hint="eastAsia" w:ascii="仿宋" w:hAnsi="仿宋" w:eastAsia="仿宋" w:cs="仿宋"/>
          <w:b w:val="0"/>
          <w:bCs w:val="0"/>
          <w:spacing w:val="-4"/>
          <w:sz w:val="32"/>
          <w:szCs w:val="32"/>
        </w:rPr>
      </w:pPr>
      <w:r>
        <w:rPr>
          <w:rStyle w:val="19"/>
          <w:rFonts w:hint="eastAsia" w:ascii="仿宋" w:hAnsi="仿宋" w:eastAsia="仿宋" w:cs="仿宋"/>
          <w:b w:val="0"/>
          <w:bCs w:val="0"/>
          <w:spacing w:val="-4"/>
          <w:sz w:val="32"/>
          <w:szCs w:val="32"/>
          <w:lang w:val="en-US" w:eastAsia="zh-CN"/>
        </w:rPr>
        <w:t>管理制度健全性：文献法、比较法，查阅项目实施人员提供的财务和业务管理制度，将已建立的制度与现行的法律法规和政策要求进行对比，分析项目制度的合法性、合规性、完整性。</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制度执行有效性：比较法，结合项目实际实施过程性文件，根据已建设的财务管理制度和项目管理制度综合分析制度执行的有效性。</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r>
        <w:rPr>
          <w:rStyle w:val="19"/>
          <w:rFonts w:hint="eastAsia" w:ascii="仿宋" w:hAnsi="仿宋" w:eastAsia="仿宋" w:cs="仿宋"/>
          <w:b w:val="0"/>
          <w:bCs w:val="0"/>
          <w:spacing w:val="-4"/>
          <w:sz w:val="32"/>
          <w:szCs w:val="32"/>
          <w:lang w:val="en-US" w:eastAsia="zh-CN"/>
        </w:rPr>
        <w:br w:type="textWrapping"/>
      </w:r>
      <w:r>
        <w:rPr>
          <w:rStyle w:val="19"/>
          <w:rFonts w:hint="eastAsia" w:ascii="仿宋" w:hAnsi="仿宋" w:eastAsia="仿宋" w:cs="仿宋"/>
          <w:b w:val="0"/>
          <w:bCs w:val="0"/>
          <w:spacing w:val="-4"/>
          <w:sz w:val="32"/>
          <w:szCs w:val="32"/>
          <w:lang w:val="en-US" w:eastAsia="zh-CN"/>
        </w:rPr>
        <w:t xml:space="preserve">    定性指标：公众评判法，通过问卷及抽样调查等方式评价本项目实施后社会公众对于其实施效果的满意程度。</w:t>
      </w:r>
      <w:r>
        <w:rPr>
          <w:rFonts w:hint="eastAsia" w:ascii="方正仿宋_GBK" w:hAnsi="方正仿宋_GBK" w:eastAsia="方正仿宋_GBK" w:cs="方正仿宋_GBK"/>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4.评价标准</w:t>
      </w:r>
      <w:r>
        <w:rPr>
          <w:rFonts w:hint="eastAsia" w:ascii="方正仿宋_GBK" w:hAnsi="方正仿宋_GBK" w:eastAsia="方正仿宋_GBK" w:cs="方正仿宋_GBK"/>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w:t>
      </w:r>
      <w:r>
        <w:rPr>
          <w:rStyle w:val="19"/>
          <w:rFonts w:hint="eastAsia" w:ascii="仿宋" w:hAnsi="仿宋" w:eastAsia="仿宋" w:cs="仿宋"/>
          <w:b w:val="0"/>
          <w:bCs w:val="0"/>
          <w:spacing w:val="-4"/>
          <w:sz w:val="32"/>
          <w:szCs w:val="32"/>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14:paraId="52FB86A1">
      <w:pPr>
        <w:spacing w:line="540" w:lineRule="exact"/>
        <w:ind w:firstLine="564" w:firstLineChars="181"/>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（三）绩效评价工作过程</w:t>
      </w:r>
    </w:p>
    <w:p w14:paraId="4F80BED4">
      <w:pPr>
        <w:spacing w:line="540" w:lineRule="exact"/>
        <w:ind w:firstLine="624" w:firstLineChars="200"/>
        <w:rPr>
          <w:rStyle w:val="19"/>
          <w:rFonts w:hint="eastAsia" w:ascii="方正仿宋_GBK" w:hAnsi="方正仿宋_GBK" w:eastAsia="方正仿宋_GBK" w:cs="方正仿宋_GBK"/>
          <w:b w:val="0"/>
          <w:bCs w:val="0"/>
          <w:spacing w:val="-4"/>
          <w:sz w:val="32"/>
          <w:szCs w:val="32"/>
        </w:rPr>
      </w:pPr>
      <w:r>
        <w:rPr>
          <w:rStyle w:val="19"/>
          <w:rFonts w:hint="eastAsia" w:ascii="楷体_GB2312" w:hAnsi="楷体_GB2312" w:eastAsia="楷体_GB2312" w:cs="楷体_GB2312"/>
          <w:b w:val="0"/>
          <w:bCs w:val="0"/>
          <w:spacing w:val="-4"/>
          <w:sz w:val="32"/>
          <w:szCs w:val="32"/>
        </w:rPr>
        <w:t>1.前期准备</w:t>
      </w:r>
    </w:p>
    <w:p w14:paraId="70FBFC06">
      <w:pPr>
        <w:spacing w:line="540" w:lineRule="exact"/>
        <w:ind w:firstLine="624" w:firstLineChars="200"/>
        <w:rPr>
          <w:rStyle w:val="19"/>
          <w:rFonts w:hint="eastAsia" w:ascii="楷体_GB2312" w:hAnsi="楷体_GB2312" w:eastAsia="楷体_GB2312" w:cs="楷体_GB2312"/>
          <w:b w:val="0"/>
          <w:bCs w:val="0"/>
          <w:spacing w:val="-4"/>
          <w:sz w:val="32"/>
          <w:szCs w:val="32"/>
        </w:rPr>
      </w:pPr>
      <w:r>
        <w:rPr>
          <w:rFonts w:hint="eastAsia" w:ascii="仿宋" w:hAnsi="仿宋" w:eastAsia="仿宋" w:cs="仿宋"/>
          <w:b w:val="0"/>
          <w:bCs w:val="0"/>
          <w:spacing w:val="-4"/>
          <w:sz w:val="32"/>
          <w:szCs w:val="32"/>
          <w:lang w:val="en-US" w:eastAsia="zh-CN"/>
        </w:rPr>
        <w:t>我单位于2025年1月10日，确定绩效评价工作小组，正式开始前期准备工作，通过对评价对象前期调研，确定了评价的目的、方法以及评价的原则，根据项目的内容和特征制定了评价指标体系及评价标准。绩效评价工作小组人员名单及分工如下：</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吴海东（评价小组组长）：主要负责审核并解决项目实施过程所有相关问题，复核绩效评价报告质量;</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吕银德（评价小组组员）：主要负责收集项目绩效相关所有资料，负责报告中数据的核实;</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努尔曼·库尔班（评价小组组员）：主要负责编制绩效评价报告，编制绩效评价附件表格。</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2.组织实施</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2025年2月21日—3月2日，评价工作进入实施阶段。在数据采集方面，评价小组整理单位前期提交的资料，与项目实施负责人沟通，了解资金的内容、操作流程、管理机制、资金使用方向等情况并采集信息，了解项目设置背景及资金使用等情况。</w:t>
      </w:r>
      <w:r>
        <w:rPr>
          <w:rFonts w:hint="eastAsia" w:ascii="方正仿宋_GBK" w:hAnsi="方正仿宋_GBK" w:eastAsia="方正仿宋_GBK" w:cs="方正仿宋_GBK"/>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3.分析评价</w:t>
      </w:r>
      <w:r>
        <w:rPr>
          <w:rFonts w:hint="eastAsia" w:ascii="方正仿宋_GBK" w:hAnsi="方正仿宋_GBK" w:eastAsia="方正仿宋_GBK" w:cs="方正仿宋_GBK"/>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2025年3月10日—3月28日，评价小组按照绩效评价的原则和规范，对取得的资料进行审查核实，对采集的数据进行分析，按照绩效评价指标评分表逐项进行打分、分析、汇总各方评价结果。</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4.撰写与提交评价报告</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2025年4月2日—4月30日评价小组撰写绩效评价报告，按照新疆维吾尔自治区财政绩效管理信息系统绩效评价模块中统一格式和文本框架撰写绩效评价报告并提交审核。</w:t>
      </w:r>
      <w:r>
        <w:rPr>
          <w:rFonts w:hint="eastAsia" w:ascii="方正仿宋_GBK" w:hAnsi="方正仿宋_GBK" w:eastAsia="方正仿宋_GBK" w:cs="方正仿宋_GBK"/>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5.问题整改</w:t>
      </w:r>
    </w:p>
    <w:p w14:paraId="2F54B0C2">
      <w:pPr>
        <w:spacing w:line="540" w:lineRule="exact"/>
        <w:ind w:firstLine="624" w:firstLineChars="200"/>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经审核通过后，由评价小组将报告推送至项目实施人员，由项目实施人员根据报告评价结论、存在的问题以及改进建议落实  问题整改，并形成整改报告，由评价小组负责监督和核查整改落实情况，确保绩效评价落到实处。</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6.档案整理</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建立和落实档案管理制度，将项目相关资料存档，包括但不限于：评价项目基本情况和相关文件、评价实施方案、项目支付资料等相关档案。</w:t>
      </w:r>
    </w:p>
    <w:p w14:paraId="1B50C20E">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eastAsia="zh-CN"/>
        </w:rPr>
        <w:t>四</w:t>
      </w:r>
      <w:r>
        <w:rPr>
          <w:rStyle w:val="19"/>
          <w:rFonts w:hint="eastAsia" w:ascii="黑体" w:hAnsi="黑体" w:eastAsia="黑体" w:cs="黑体"/>
          <w:b w:val="0"/>
          <w:spacing w:val="-4"/>
          <w:sz w:val="32"/>
          <w:szCs w:val="32"/>
        </w:rPr>
        <w:t>、综合评价情况及评价结论</w:t>
      </w:r>
    </w:p>
    <w:p w14:paraId="3C2637EA">
      <w:pPr>
        <w:spacing w:line="540" w:lineRule="exact"/>
        <w:ind w:firstLine="567"/>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（一）综合评价情况</w:t>
      </w:r>
    </w:p>
    <w:p w14:paraId="28A2F11A">
      <w:pPr>
        <w:spacing w:line="540" w:lineRule="exact"/>
        <w:ind w:firstLine="567"/>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经评价，本项目达成年初设立的绩效目标，在实施过程中取得了良好的成效，具体表现在以下三方面：一是按照自治区教育厅《关于印发&lt;新疆维吾尔自治区中小学教学常规管理基本〉的通知》（新教厅〔2021〕32号）文件要求，组织地县两级教研员、一线骨干教师成立教学视导组分东、西2个片区，深入各县市对义务教育阶段学校通过听取校领导汇报、指导教学常规、听课评课、教师座谈、学生现场测评等方式，对教情、学情进行视导，共走访中小学校125所，听评课1219节、查阅教案1840本、指导作业13350本、师生访谈2780人、上示范课51节、现场培训90场，总计受益教师和校领导12130人次。通过1次下县教学视导，视导小组通过听课、查阅教案与作业批改情况、与师生座谈等形式，全面了解学校的教学现状。针对发现的问题，及时与学校领导和教师进行反馈交流，提出具体的改进建议和措施。同时，视导小组还积极挖掘基层学校的优秀教学经验和典型案例，在全地区范围内进行推广，以点带面，推动全地区教育教学质量的整体提升。在视导过程中，注重加强与基层学校的沟通联系，建立了良好的互动机制，为后续的教学研究和指导工作奠定了坚实基础。 二是教研室紧紧围绕提升教育教学质量这一核心目标，在教研经费管理、各类优质课评比活动、下县视导、质量监测与各种考试巡考以及送教助研活动等多方面开展了一系列工作，取得了显著成效。三是合理规划教研经费，确保每一笔资金都用在教研工作上。在优质课评比活动中，经费主要用于评委聘请、证书制作等方面，保障了活动的顺利开展。对于下县视导、送教助研活动，经费则重点支持交通、资料印刷等支出，为活动的有效实施提供了坚实的物质基础。通过严格的经费审批与监管流程，做到了账目清晰、开支合理，使有限的教研经费发挥出最大的效益。</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（二）评价结论</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此次绩效评价通过绩效评价小组论证的评价指标体系及评分标准，采用因素分析法和比较法对本项目绩效进行客观评价，最终评分结果：总分为99.36分，绩效评级为“优”。综合评价结论如下：本项目共设置三级指标数量20个，实现三级指标数量18个，总体完成率为99.36%。</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项目决策类指标共设置6个，满分指标6个，权重分21分，得分21分，得分率100%；</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过程管理类指标共设置5个，满分指标4个，权重分19分，得分18.68分，得分率98.32%；</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项目产出类指标共设置7个，满分指标6个，权重分20分，得分19.68分，得分率98.4%；</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项目效益类指标共设置2个，满分指标2个，权重分40分，得分40分，得分率100%。</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详细情况见“附件2：项目综合得分表”。</w:t>
      </w:r>
    </w:p>
    <w:p w14:paraId="38814D6A">
      <w:pPr>
        <w:spacing w:line="540" w:lineRule="exact"/>
        <w:ind w:firstLine="640"/>
        <w:rPr>
          <w:rStyle w:val="19"/>
          <w:rFonts w:hint="eastAsia" w:ascii="黑体" w:hAnsi="黑体" w:eastAsia="黑体" w:cs="黑体"/>
          <w:sz w:val="32"/>
          <w:szCs w:val="32"/>
        </w:rPr>
      </w:pPr>
      <w:r>
        <w:rPr>
          <w:rStyle w:val="19"/>
          <w:rFonts w:hint="eastAsia" w:ascii="黑体" w:hAnsi="黑体" w:eastAsia="黑体" w:cs="黑体"/>
          <w:b w:val="0"/>
          <w:spacing w:val="-4"/>
          <w:sz w:val="32"/>
          <w:szCs w:val="32"/>
          <w:lang w:eastAsia="zh-CN"/>
        </w:rPr>
        <w:t>五</w:t>
      </w:r>
      <w:r>
        <w:rPr>
          <w:rStyle w:val="19"/>
          <w:rFonts w:hint="eastAsia" w:ascii="黑体" w:hAnsi="黑体" w:eastAsia="黑体" w:cs="黑体"/>
          <w:b w:val="0"/>
          <w:spacing w:val="-4"/>
          <w:sz w:val="32"/>
          <w:szCs w:val="32"/>
        </w:rPr>
        <w:t>、绩效评价指标分析</w:t>
      </w:r>
      <w:r>
        <w:rPr>
          <w:rStyle w:val="19"/>
          <w:rFonts w:hint="eastAsia" w:ascii="黑体" w:hAnsi="黑体" w:eastAsia="黑体" w:cs="黑体"/>
          <w:sz w:val="32"/>
          <w:szCs w:val="32"/>
        </w:rPr>
        <w:t xml:space="preserve"> </w:t>
      </w:r>
    </w:p>
    <w:p w14:paraId="0FE0A9DB">
      <w:pPr>
        <w:spacing w:line="540" w:lineRule="exact"/>
        <w:ind w:firstLine="564" w:firstLineChars="181"/>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（一）</w:t>
      </w:r>
      <w:r>
        <w:rPr>
          <w:rStyle w:val="19"/>
          <w:rFonts w:hint="eastAsia" w:ascii="楷体_GB2312" w:hAnsi="楷体_GB2312" w:eastAsia="楷体_GB2312" w:cs="楷体_GB2312"/>
          <w:b w:val="0"/>
          <w:bCs/>
          <w:spacing w:val="-4"/>
          <w:sz w:val="32"/>
          <w:szCs w:val="32"/>
        </w:rPr>
        <w:t>项目决策情况</w:t>
      </w:r>
    </w:p>
    <w:p w14:paraId="1B28A9E7">
      <w:pPr>
        <w:tabs>
          <w:tab w:val="center" w:pos="4295"/>
        </w:tabs>
        <w:spacing w:line="540" w:lineRule="exact"/>
        <w:ind w:left="319" w:leftChars="152" w:firstLine="530" w:firstLineChars="170"/>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项目决策类指标由3个二级指标和6个三级指标构成，权重分21分，实际得分21分。</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1.项目立项情况分析</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（1）立项依据充分性</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本项目立项符合本项目遵循《关于进一步提升初中学业水平考试及格率的工作方案》《关于提升和田地区义务教育阶段语文课业成绩的工作方案》（和党教组办〔2023〕2号）等相关政策文件与规定，旨在评价教研经费项目实施前期、过程及效果，评价财政预算资金使用的效率及效益。通过该项目的实施，达到提高教研员专业水平、提升教育教学质量效果。本项目立项符合我单位三定方案职责范围中的“负责课程实施及培训与引领、教学研究与研讨”，属于我单位履职所需；根据《财政资金直接支付申请书》，本项目资金性质为“公共财政预算”功能分类为“2050199其他教育管理事务支出”经济分类为“3050299商品和服务支出”属于公共财政支持范围，符合中央、地方事权支出责任划分原则；经检查我单位财政应用平台指标，本项目不存在重复。</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综上所述，本指标满分为5分，根据评分标准得5分，本项目立项依据充分。</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（2）立项程序规范性</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本项目为非基础建设类项目，不涉及发改立项批复流程，由我单位自行编制项目实施方案和项目预算申请计划，经过与党委会研究确定最终预算方案。经查看，该项目申请设立过程产生的相关文件，符合相关要求。本项目为非基础建设类项目，属于专项资金安排项目，不涉及事前绩效评估、可行性研究以及风险评估，由我单位严格按照根据地委委员扩大会议精神及《关于印发和田地区教育局职能配置、内设机构和人员编制规定的通知》(和党办字〔2019〕49号)文件要求实施项目。</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综上所述，本指标满分为3分，根据评分标准得3分，本项目立项程序规范。</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2</w:t>
      </w:r>
      <w:r>
        <w:rPr>
          <w:rStyle w:val="19"/>
          <w:rFonts w:hint="eastAsia" w:ascii="楷体_GB2312" w:hAnsi="楷体_GB2312" w:eastAsia="楷体_GB2312" w:cs="楷体_GB2312"/>
          <w:b w:val="0"/>
          <w:bCs w:val="0"/>
          <w:spacing w:val="-4"/>
          <w:sz w:val="32"/>
          <w:szCs w:val="32"/>
        </w:rPr>
        <w:t>.绩效目标情况分析</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（1）绩效目标合理性</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本项目已设置年度绩效目标，具体内容为“和田地区教学研究室2024年度教研经费项目于2024年1月开始至2024年12月结束。一是设立各种优质课评比活动及奖励。二是努力完成下县视导工作。计划以评估教师课堂教学为核心，以检查教学常规为重点，采取听评课、师生座谈、现场察看、个别交流、集中反馈等形式，对教学组织、教师备课、教学研究、课堂教学、课后辅导等方面进行指导。研究解决各级各类学校教育教学实践中最突出的问题，切实推进有效教学，创建高效课堂。督促与指导各学校教育管理，落实教学常规，深化课程改革，促进全地区中小学教育教学质量的进一步提高。三是加强考试巡考工作。明年预计6次月检测、2次期末考试巡考人员到各县市中小学进行巡考。四是开展送教下乡及教研活动。”；本项目实际工作内容为：截至2024年12月31日，本项目实际支出资金14.05万元，预算执行率为93.67%。实际已完成开展8次优质课评比活动，下县视导工作1次，开展送教下乡及教研活动1次，加强考试巡考工作8次；绩效目标与实际工作内容一致，两者具有相关性;本项目按照绩效目标完成了数量指标、质量指标、时效指标、成本指标，有效提升教师教育教学能力，年度绩效目标完成，预期产出效益和效果符合正常的业绩水平。</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综上所述，本指标满分为4分，根据评分标准得4分，本项目绩效目标设置合理。</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（2）绩效指标明确性</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经检查我单位年初设置的《项目支出绩效目标表》，得出如下结论：本项目已将年度绩效目标进行细化为绩效指标体系，共设置一级指标4个，二级指标6个，三级指标9个，定量指标8个，定性指标1个，指标量化率为88.89%，量化率达70.00%以上。</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综上所述，本指标满分为3分，根据评分标准得3分，本项目所设置绩效指标明确。</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3</w:t>
      </w:r>
      <w:r>
        <w:rPr>
          <w:rStyle w:val="19"/>
          <w:rFonts w:hint="eastAsia" w:ascii="楷体_GB2312" w:hAnsi="楷体_GB2312" w:eastAsia="楷体_GB2312" w:cs="楷体_GB2312"/>
          <w:b w:val="0"/>
          <w:bCs w:val="0"/>
          <w:spacing w:val="-4"/>
          <w:sz w:val="32"/>
          <w:szCs w:val="32"/>
        </w:rPr>
        <w:t>.资金投入情况分析</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（1）预算编制科学性</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本项目根据项目相关政策、法规，通过市场调研及参考类似项目历史数据，编制《关于申请教研经费项目资金的请示》和《教研经费项目实施方案》，即预算编制较科学且经过论证；本项目预算申请资金15.00万元，我单位在预算申请中严格按照单位标准和数量进行核算，其中：差旅费8万元，办公用品采购费用7万元。本项目预算额度测算依据充分，严格按照标准编制，预算确定资金量与实际工作任务相匹配；</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综上所述，本指标满分为4分，根据评分标准4分，本项目预算编制科学。</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（2）资金分配合理性</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本项目实际分配资金以《关于申请教研经费项目资金的请示》和《教研经费项目实施方案》为依据进行资金分配，预算资金分配依据充分。根据《关于下达2024年度部门预算批复的通知》（和地级财预〔2024〕1号）文件显示，本项目实际到位资金15万元，实际分配资金与我单位提交申请的资金额度一致，资金分配额度合理，与我单位实际需求相适应。</w:t>
      </w:r>
    </w:p>
    <w:p w14:paraId="518CE3D7">
      <w:pPr>
        <w:tabs>
          <w:tab w:val="center" w:pos="4295"/>
        </w:tabs>
        <w:spacing w:line="540" w:lineRule="exact"/>
        <w:ind w:left="319" w:leftChars="152" w:firstLine="530" w:firstLineChars="170"/>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综上所述，本指标满分为2分，根据评分标准得2分，本项目资金分配合理。</w:t>
      </w:r>
      <w:r>
        <w:rPr>
          <w:rFonts w:hint="eastAsia" w:ascii="仿宋" w:hAnsi="仿宋" w:eastAsia="仿宋" w:cs="仿宋"/>
          <w:b w:val="0"/>
          <w:bCs w:val="0"/>
          <w:spacing w:val="-4"/>
          <w:sz w:val="32"/>
          <w:szCs w:val="32"/>
          <w:lang w:val="en-US" w:eastAsia="zh-CN"/>
        </w:rPr>
        <w:tab/>
      </w:r>
    </w:p>
    <w:p w14:paraId="44B29AE7">
      <w:pPr>
        <w:numPr>
          <w:ilvl w:val="0"/>
          <w:numId w:val="0"/>
        </w:numPr>
        <w:tabs>
          <w:tab w:val="center" w:pos="4295"/>
        </w:tabs>
        <w:spacing w:line="540" w:lineRule="exact"/>
        <w:ind w:firstLine="624" w:firstLineChars="200"/>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lang w:eastAsia="zh-CN"/>
        </w:rPr>
        <w:t>（二）</w:t>
      </w:r>
      <w:r>
        <w:rPr>
          <w:rStyle w:val="19"/>
          <w:rFonts w:hint="eastAsia" w:ascii="楷体_GB2312" w:hAnsi="楷体_GB2312" w:eastAsia="楷体_GB2312" w:cs="楷体_GB2312"/>
          <w:b w:val="0"/>
          <w:bCs w:val="0"/>
          <w:spacing w:val="-4"/>
          <w:sz w:val="32"/>
          <w:szCs w:val="32"/>
        </w:rPr>
        <w:t>项目过程情况</w:t>
      </w:r>
    </w:p>
    <w:p w14:paraId="1DC99579">
      <w:pPr>
        <w:numPr>
          <w:ilvl w:val="0"/>
          <w:numId w:val="0"/>
        </w:numPr>
        <w:tabs>
          <w:tab w:val="center" w:pos="4295"/>
        </w:tabs>
        <w:spacing w:line="540" w:lineRule="exact"/>
        <w:ind w:firstLine="624" w:firstLineChars="200"/>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项目过程管理类指标由2个二级指标和5个三级指标构成，权重分19分，实际得分18.68分。</w:t>
      </w:r>
      <w:r>
        <w:rPr>
          <w:rFonts w:hint="eastAsia" w:ascii="方正仿宋_GBK" w:hAnsi="方正仿宋_GBK" w:eastAsia="方正仿宋_GBK" w:cs="方正仿宋_GBK"/>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1.资金管理情况分析</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（1）资金到位率</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本项目预算资金为15.00万元，其中：本级财政安排资金15万元，其他资金15万元，实际到位资金15万元，资金到位率=（实际到位资金/预算资金）×100%=（15/15）*100%=100%。得分=资金到位率*分值=100%*4=4分。</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综上所述，本指标满分为4分，根据评分标准得4分，本项目资金分配合理。</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（2）预算执行率</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本项目实际支出资金14.05万元，预算执行率=（实际支出资金/实际到位资金）×100%=（14.05/15）*100%=93.67%。得分=预算执行率*分值=93.67%*5=4.68分。</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综上所述，本指标满分为5分，根据评分标准得4.68分，本项目资金分配合理。</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（3）资金使用合规性</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通过检查本项目签订的合同、资金申请文件、发票等财务付款凭证，得出本项目资金支出符合国家财经法规、《政府会计制度》以及《和田地区教学研究室单位资金管理办法》《和田地区教学研究室专项资金管理办法》，资金的拨付有完整的审批程序和手续，资金实际使用方向与预算批复用途一致，不存在截留、挤占、挪用、虚列支出的情况。</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综上所述，本指标满分为4分，根据评分标准得4分，资金支出符合我单位财务管理制度规定。</w:t>
      </w:r>
    </w:p>
    <w:p w14:paraId="21DA10FB">
      <w:pPr>
        <w:numPr>
          <w:ilvl w:val="0"/>
          <w:numId w:val="0"/>
        </w:numPr>
        <w:tabs>
          <w:tab w:val="center" w:pos="4295"/>
        </w:tabs>
        <w:spacing w:line="540" w:lineRule="exact"/>
        <w:ind w:left="638" w:leftChars="304" w:firstLine="0" w:firstLineChars="0"/>
        <w:rPr>
          <w:rFonts w:hint="eastAsia" w:ascii="仿宋" w:hAnsi="仿宋" w:eastAsia="仿宋" w:cs="仿宋"/>
          <w:b w:val="0"/>
          <w:bCs w:val="0"/>
          <w:spacing w:val="-4"/>
          <w:sz w:val="32"/>
          <w:szCs w:val="32"/>
          <w:lang w:val="en-US" w:eastAsia="zh-CN"/>
        </w:rPr>
      </w:pPr>
      <w:r>
        <w:rPr>
          <w:rStyle w:val="19"/>
          <w:rFonts w:hint="eastAsia" w:ascii="楷体_GB2312" w:hAnsi="楷体_GB2312" w:eastAsia="楷体_GB2312" w:cs="楷体_GB2312"/>
          <w:b w:val="0"/>
          <w:bCs w:val="0"/>
          <w:spacing w:val="-4"/>
          <w:sz w:val="32"/>
          <w:szCs w:val="32"/>
        </w:rPr>
        <w:t>2.组织实施情况分析</w:t>
      </w:r>
      <w:r>
        <w:rPr>
          <w:rFonts w:hint="eastAsia" w:ascii="楷体_GB2312" w:hAnsi="楷体_GB2312" w:eastAsia="楷体_GB2312" w:cs="楷体_GB2312"/>
          <w:b w:val="0"/>
          <w:bCs w:val="0"/>
          <w:spacing w:val="-4"/>
          <w:sz w:val="32"/>
          <w:szCs w:val="32"/>
        </w:rPr>
        <w:br w:type="textWrapping"/>
      </w:r>
      <w:r>
        <w:rPr>
          <w:rFonts w:hint="eastAsia" w:ascii="仿宋" w:hAnsi="仿宋" w:eastAsia="仿宋" w:cs="仿宋"/>
          <w:b w:val="0"/>
          <w:bCs w:val="0"/>
          <w:spacing w:val="-4"/>
          <w:sz w:val="32"/>
          <w:szCs w:val="32"/>
          <w:lang w:val="en-US" w:eastAsia="zh-CN"/>
        </w:rPr>
        <w:t>（1）管理制度健全性</w:t>
      </w:r>
    </w:p>
    <w:p w14:paraId="07E46D6D">
      <w:pPr>
        <w:numPr>
          <w:ilvl w:val="0"/>
          <w:numId w:val="0"/>
        </w:numPr>
        <w:tabs>
          <w:tab w:val="center" w:pos="4295"/>
        </w:tabs>
        <w:spacing w:line="540" w:lineRule="exact"/>
        <w:ind w:firstLine="624" w:firstLineChars="200"/>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我单位已制定《财务管理办法》《财务收支业务管理制度》《财务政府采购业务管理制度》《购买合同管理制度》，上述已建立的制度均符合行政事业单位内控管理要求，财务和业务管理制度合法、合规、完整，本项目执行符合上述制度规定。</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综上所述，本指标满分为2.00分，根据评分标准得2.00分，项目制度建设健全。</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（2）制度执行有效性</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经对比分析本项目实际执行过程资料和已建立的项目管理制度和财务管理制度，得出本项目严格按照本单位已建立制度执行。项目资金支出严格按照自治区、地区以及本单位资金管理办法执行，项目启动实施后，为了加快本项目的实施，成立了教研经费项目工作领导小组，由艾斯卡尔任组长，负责项目的组织工作；马新良任副组长，负责项目的实施工作；组员包括：帕提古丽·阿布都艾尼，主要负责项目监督管理、验收以及资金核拨等工作。</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综上所述，本指标满分为4.00分，根据评分标准得4.00分，本项目所建立制度执行有效。</w:t>
      </w:r>
    </w:p>
    <w:p w14:paraId="2D7A4A23">
      <w:pPr>
        <w:spacing w:line="540" w:lineRule="exact"/>
        <w:ind w:firstLine="564" w:firstLineChars="181"/>
        <w:rPr>
          <w:rFonts w:hint="eastAsia" w:ascii="楷体_GB2312" w:hAnsi="楷体_GB2312" w:eastAsia="楷体_GB2312" w:cs="楷体_GB2312"/>
          <w:b w:val="0"/>
          <w:bCs/>
          <w:spacing w:val="-4"/>
          <w:sz w:val="32"/>
          <w:szCs w:val="32"/>
        </w:rPr>
      </w:pPr>
      <w:r>
        <w:rPr>
          <w:rFonts w:hint="eastAsia" w:ascii="楷体_GB2312" w:hAnsi="楷体_GB2312" w:eastAsia="楷体_GB2312" w:cs="楷体_GB2312"/>
          <w:b w:val="0"/>
          <w:bCs/>
          <w:spacing w:val="-4"/>
          <w:sz w:val="32"/>
          <w:szCs w:val="32"/>
        </w:rPr>
        <w:t>（</w:t>
      </w:r>
      <w:r>
        <w:rPr>
          <w:rFonts w:hint="eastAsia" w:ascii="楷体_GB2312" w:hAnsi="楷体_GB2312" w:eastAsia="楷体_GB2312" w:cs="楷体_GB2312"/>
          <w:b w:val="0"/>
          <w:bCs/>
          <w:spacing w:val="-4"/>
          <w:sz w:val="32"/>
          <w:szCs w:val="32"/>
          <w:lang w:eastAsia="zh-CN"/>
        </w:rPr>
        <w:t>三</w:t>
      </w:r>
      <w:r>
        <w:rPr>
          <w:rFonts w:hint="eastAsia" w:ascii="楷体_GB2312" w:hAnsi="楷体_GB2312" w:eastAsia="楷体_GB2312" w:cs="楷体_GB2312"/>
          <w:b w:val="0"/>
          <w:bCs/>
          <w:spacing w:val="-4"/>
          <w:sz w:val="32"/>
          <w:szCs w:val="32"/>
        </w:rPr>
        <w:t>）</w:t>
      </w:r>
      <w:r>
        <w:rPr>
          <w:rStyle w:val="19"/>
          <w:rFonts w:hint="eastAsia" w:ascii="楷体_GB2312" w:hAnsi="楷体_GB2312" w:eastAsia="楷体_GB2312" w:cs="楷体_GB2312"/>
          <w:b w:val="0"/>
          <w:bCs/>
          <w:spacing w:val="-4"/>
          <w:sz w:val="32"/>
          <w:szCs w:val="32"/>
        </w:rPr>
        <w:t>项目产出情况</w:t>
      </w:r>
    </w:p>
    <w:p w14:paraId="681150C6">
      <w:pPr>
        <w:numPr>
          <w:ilvl w:val="0"/>
          <w:numId w:val="0"/>
        </w:numPr>
        <w:tabs>
          <w:tab w:val="center" w:pos="4295"/>
        </w:tabs>
        <w:spacing w:line="540" w:lineRule="exact"/>
        <w:ind w:firstLine="624" w:firstLineChars="200"/>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项目产出类指标由4个二级指标和7个三级指标构成，权重分20分，实际得分19.68分。</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1.数量指标完成情况分析</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各种优质课评比活动指标：预期指标值为≥8次，实际完成指标值为8次，指标完成率为100%。</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下县视导工作指标：预期指标值为≥1次，实际完成指标值为1次，指标完成率为100%。</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开展送教下乡及教研活动指标：预期指标值为≥1次，实际完成指标值为1次，指标完成率为100%。</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加强考试巡考工作指标：预期指标值为≥8次，实际完成指标值为8次，指标完成率为100%。</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2.质量指标完成情况分析</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活动组织开展率指标：预期指标值为≥90%，实际完成指标值为100%，指标完成率为100%。</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3.时效指标完成情况分析</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活动组织开展率指标：预期指标值为＝100%，实际完成指标值为100%，指标完成率为100%。</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4.成本指标完成情况分析</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项目总成本指标：预期指标值为＝15万元，实际完成指标值为14.05万元，指标完成率为93.67%。</w:t>
      </w:r>
    </w:p>
    <w:p w14:paraId="0C8D81FB">
      <w:pPr>
        <w:numPr>
          <w:ilvl w:val="0"/>
          <w:numId w:val="0"/>
        </w:numPr>
        <w:tabs>
          <w:tab w:val="center" w:pos="4295"/>
        </w:tabs>
        <w:spacing w:line="540" w:lineRule="exact"/>
        <w:ind w:firstLine="624" w:firstLineChars="200"/>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（四）项目效益情况</w:t>
      </w:r>
    </w:p>
    <w:p w14:paraId="14F04486">
      <w:pPr>
        <w:numPr>
          <w:ilvl w:val="0"/>
          <w:numId w:val="0"/>
        </w:numPr>
        <w:tabs>
          <w:tab w:val="center" w:pos="4295"/>
        </w:tabs>
        <w:spacing w:line="540" w:lineRule="exact"/>
        <w:ind w:firstLine="624" w:firstLineChars="200"/>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项目效益类指标由5个二级指标和2个三级指标构成，权重分40分，实际得分40分。</w:t>
      </w:r>
      <w:r>
        <w:rPr>
          <w:rFonts w:hint="eastAsia" w:ascii="仿宋" w:hAnsi="仿宋" w:eastAsia="仿宋" w:cs="仿宋"/>
          <w:b w:val="0"/>
          <w:bCs w:val="0"/>
          <w:spacing w:val="-4"/>
          <w:sz w:val="32"/>
          <w:szCs w:val="32"/>
          <w:lang w:val="en-US" w:eastAsia="zh-CN"/>
        </w:rPr>
        <w:br w:type="textWrapping"/>
      </w:r>
      <w:r>
        <w:rPr>
          <w:rFonts w:hint="default" w:ascii="仿宋" w:hAnsi="仿宋" w:eastAsia="仿宋" w:cs="仿宋"/>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1.经济效益完成情况分析</w:t>
      </w:r>
      <w:r>
        <w:rPr>
          <w:rFonts w:hint="eastAsia" w:ascii="仿宋" w:hAnsi="仿宋" w:eastAsia="仿宋" w:cs="仿宋"/>
          <w:b w:val="0"/>
          <w:bCs w:val="0"/>
          <w:spacing w:val="-4"/>
          <w:sz w:val="32"/>
          <w:szCs w:val="32"/>
          <w:lang w:val="en-US" w:eastAsia="zh-CN"/>
        </w:rPr>
        <w:br w:type="textWrapping"/>
      </w:r>
      <w:r>
        <w:rPr>
          <w:rFonts w:hint="default" w:ascii="仿宋" w:hAnsi="仿宋" w:eastAsia="仿宋" w:cs="仿宋"/>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无</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w:t>
      </w:r>
      <w:r>
        <w:rPr>
          <w:rFonts w:hint="default" w:ascii="仿宋" w:hAnsi="仿宋" w:eastAsia="仿宋" w:cs="仿宋"/>
          <w:b w:val="0"/>
          <w:bCs w:val="0"/>
          <w:spacing w:val="-4"/>
          <w:sz w:val="32"/>
          <w:szCs w:val="32"/>
          <w:lang w:val="en-US" w:eastAsia="zh-CN"/>
        </w:rPr>
        <w:t>2</w:t>
      </w:r>
      <w:r>
        <w:rPr>
          <w:rFonts w:hint="eastAsia" w:ascii="仿宋" w:hAnsi="仿宋" w:eastAsia="仿宋" w:cs="仿宋"/>
          <w:b w:val="0"/>
          <w:bCs w:val="0"/>
          <w:spacing w:val="-4"/>
          <w:sz w:val="32"/>
          <w:szCs w:val="32"/>
          <w:lang w:val="en-US" w:eastAsia="zh-CN"/>
        </w:rPr>
        <w:t>.社会效益完成情况分析</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提升教师教育教学能力指标：预期指标值为有所提升，实际完成指标值为基本达成目标，指标完成率为100%。</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w:t>
      </w:r>
      <w:r>
        <w:rPr>
          <w:rFonts w:hint="default" w:ascii="仿宋" w:hAnsi="仿宋" w:eastAsia="仿宋" w:cs="仿宋"/>
          <w:b w:val="0"/>
          <w:bCs w:val="0"/>
          <w:spacing w:val="-4"/>
          <w:sz w:val="32"/>
          <w:szCs w:val="32"/>
          <w:lang w:val="en-US" w:eastAsia="zh-CN"/>
        </w:rPr>
        <w:t>3</w:t>
      </w:r>
      <w:r>
        <w:rPr>
          <w:rFonts w:hint="eastAsia" w:ascii="仿宋" w:hAnsi="仿宋" w:eastAsia="仿宋" w:cs="仿宋"/>
          <w:b w:val="0"/>
          <w:bCs w:val="0"/>
          <w:spacing w:val="-4"/>
          <w:sz w:val="32"/>
          <w:szCs w:val="32"/>
          <w:lang w:val="en-US" w:eastAsia="zh-CN"/>
        </w:rPr>
        <w:t>.生态效益完成情况分析</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w:t>
      </w:r>
      <w:r>
        <w:rPr>
          <w:rFonts w:hint="default" w:ascii="仿宋" w:hAnsi="仿宋" w:eastAsia="仿宋" w:cs="仿宋"/>
          <w:b w:val="0"/>
          <w:bCs w:val="0"/>
          <w:spacing w:val="-4"/>
          <w:sz w:val="32"/>
          <w:szCs w:val="32"/>
          <w:lang w:val="en-US" w:eastAsia="zh-CN"/>
        </w:rPr>
        <w:t xml:space="preserve"> </w:t>
      </w:r>
      <w:bookmarkStart w:id="0" w:name="_GoBack"/>
      <w:bookmarkEnd w:id="0"/>
      <w:r>
        <w:rPr>
          <w:rFonts w:hint="eastAsia" w:ascii="仿宋" w:hAnsi="仿宋" w:eastAsia="仿宋" w:cs="仿宋"/>
          <w:b w:val="0"/>
          <w:bCs w:val="0"/>
          <w:spacing w:val="-4"/>
          <w:sz w:val="32"/>
          <w:szCs w:val="32"/>
          <w:lang w:val="en-US" w:eastAsia="zh-CN"/>
        </w:rPr>
        <w:t>无</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w:t>
      </w:r>
      <w:r>
        <w:rPr>
          <w:rFonts w:hint="default" w:ascii="仿宋" w:hAnsi="仿宋" w:eastAsia="仿宋" w:cs="仿宋"/>
          <w:b w:val="0"/>
          <w:bCs w:val="0"/>
          <w:spacing w:val="-4"/>
          <w:sz w:val="32"/>
          <w:szCs w:val="32"/>
          <w:lang w:val="en-US" w:eastAsia="zh-CN"/>
        </w:rPr>
        <w:t>4</w:t>
      </w:r>
      <w:r>
        <w:rPr>
          <w:rFonts w:hint="eastAsia" w:ascii="仿宋" w:hAnsi="仿宋" w:eastAsia="仿宋" w:cs="仿宋"/>
          <w:b w:val="0"/>
          <w:bCs w:val="0"/>
          <w:spacing w:val="-4"/>
          <w:sz w:val="32"/>
          <w:szCs w:val="32"/>
          <w:lang w:val="en-US" w:eastAsia="zh-CN"/>
        </w:rPr>
        <w:t>.可持续影响完成情况分析</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无</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w:t>
      </w:r>
      <w:r>
        <w:rPr>
          <w:rFonts w:hint="default" w:ascii="仿宋" w:hAnsi="仿宋" w:eastAsia="仿宋" w:cs="仿宋"/>
          <w:b w:val="0"/>
          <w:bCs w:val="0"/>
          <w:spacing w:val="-4"/>
          <w:sz w:val="32"/>
          <w:szCs w:val="32"/>
          <w:lang w:val="en-US" w:eastAsia="zh-CN"/>
        </w:rPr>
        <w:t>5</w:t>
      </w:r>
      <w:r>
        <w:rPr>
          <w:rFonts w:hint="eastAsia" w:ascii="仿宋" w:hAnsi="仿宋" w:eastAsia="仿宋" w:cs="仿宋"/>
          <w:b w:val="0"/>
          <w:bCs w:val="0"/>
          <w:spacing w:val="-4"/>
          <w:sz w:val="32"/>
          <w:szCs w:val="32"/>
          <w:lang w:val="en-US" w:eastAsia="zh-CN"/>
        </w:rPr>
        <w:t>.满意度指标完成情况分析</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“教育机构满意度”指标：预期指标值为90%，实际完成指标值为99.15%，指标完成率为100%。</w:t>
      </w:r>
    </w:p>
    <w:p w14:paraId="55A52E09">
      <w:pPr>
        <w:spacing w:line="540" w:lineRule="exact"/>
        <w:ind w:firstLine="640"/>
        <w:rPr>
          <w:rStyle w:val="19"/>
          <w:rFonts w:hint="eastAsia" w:ascii="黑体" w:hAnsi="黑体" w:eastAsia="黑体" w:cs="黑体"/>
          <w:b w:val="0"/>
          <w:spacing w:val="-4"/>
          <w:sz w:val="32"/>
          <w:szCs w:val="32"/>
          <w:lang w:val="en-US" w:eastAsia="zh-CN"/>
        </w:rPr>
      </w:pPr>
      <w:r>
        <w:rPr>
          <w:rStyle w:val="19"/>
          <w:rFonts w:hint="eastAsia" w:ascii="黑体" w:hAnsi="黑体" w:eastAsia="黑体" w:cs="黑体"/>
          <w:b w:val="0"/>
          <w:spacing w:val="-4"/>
          <w:sz w:val="32"/>
          <w:szCs w:val="32"/>
          <w:lang w:val="en-US" w:eastAsia="zh-CN"/>
        </w:rPr>
        <w:t>六、预算执行进度与绩效指标偏差</w:t>
      </w:r>
    </w:p>
    <w:p w14:paraId="02ABE0C2">
      <w:pPr>
        <w:numPr>
          <w:ilvl w:val="0"/>
          <w:numId w:val="0"/>
        </w:numPr>
        <w:tabs>
          <w:tab w:val="center" w:pos="4295"/>
        </w:tabs>
        <w:spacing w:line="540" w:lineRule="exact"/>
        <w:ind w:firstLine="624" w:firstLineChars="200"/>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本项目年初预算资金总额为15万元，全年预算数为15万元，全年执行数为14.05万元，预算执行率为93.67%。</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本项目共设置三级指标数量9个，满分指标数量8个，扣分指标数量1个，经分析计算所有三级指标完成率得出，本项目总体完成率为99.3%。</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综上所述本项目预算执行率与总体完成率之间的偏差为5.63%。</w:t>
      </w:r>
    </w:p>
    <w:p w14:paraId="0D1BCF7C">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eastAsia="zh-CN"/>
        </w:rPr>
        <w:t>七</w:t>
      </w:r>
      <w:r>
        <w:rPr>
          <w:rStyle w:val="19"/>
          <w:rFonts w:hint="eastAsia" w:ascii="黑体" w:hAnsi="黑体" w:eastAsia="黑体" w:cs="黑体"/>
          <w:b w:val="0"/>
          <w:spacing w:val="-4"/>
          <w:sz w:val="32"/>
          <w:szCs w:val="32"/>
        </w:rPr>
        <w:t>、主要经验及做法、存在的问题及原因分析</w:t>
      </w:r>
    </w:p>
    <w:p w14:paraId="0A6878C1">
      <w:pPr>
        <w:spacing w:line="540" w:lineRule="exact"/>
        <w:ind w:firstLine="567"/>
        <w:rPr>
          <w:rStyle w:val="19"/>
          <w:rFonts w:hint="eastAsia" w:ascii="楷体_GB2312" w:hAnsi="楷体_GB2312" w:eastAsia="楷体_GB2312" w:cs="楷体_GB2312"/>
          <w:b w:val="0"/>
          <w:bCs w:val="0"/>
          <w:spacing w:val="-4"/>
          <w:sz w:val="32"/>
          <w:szCs w:val="32"/>
        </w:rPr>
      </w:pPr>
      <w:r>
        <w:rPr>
          <w:rStyle w:val="19"/>
          <w:rFonts w:hint="eastAsia" w:ascii="楷体_GB2312" w:hAnsi="楷体_GB2312" w:eastAsia="楷体_GB2312" w:cs="楷体_GB2312"/>
          <w:b w:val="0"/>
          <w:bCs w:val="0"/>
          <w:spacing w:val="-4"/>
          <w:sz w:val="32"/>
          <w:szCs w:val="32"/>
        </w:rPr>
        <w:t>（一）主要经验及做法</w:t>
      </w:r>
    </w:p>
    <w:p w14:paraId="4D1CF242">
      <w:pPr>
        <w:spacing w:line="540" w:lineRule="exact"/>
        <w:ind w:firstLine="567"/>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1.我单位以本次绩效评价为契机，建立健全预算项目管理制度，合理设置内部管理机构和岗位，明确职责权限，明确业务各个环节流程、时间要求、审批权限等，领导分工明确，事事有人管，件件有人抓，明确单位内部各个业务归口管理责任，加强对政府采购业务预算与计划管理，建立预算编制，提升编制预算的计划性、科学性和规范性，强化预算绩效意识。</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 xml:space="preserve"> 2.根据本单位年度工作计划，做好项目预算安排，编制项目工作计划与工作总结，建立预算编制，提升编制预算的计划性、科学性和规范性。提前撰写可执行报告，规范专项资金操作，严格控制开支范围，节约成本，提高效率。领导分工明确，明确单位内部各个业务归口管理责任，强化预算绩效意识。</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3.项目所设定的绩效目标符合国家相关法律法规，与部门职责紧密相关，合理设置内部管理机构和岗位，在项目指标设置等方面细化了绩效指标，指标内容清晰合理。明确职责权限，安排专人分别负责确定项目、总体协调沟通、全盘统筹、总体质量把关等工作，负责提供技术指导与支持，收集整理资料、审核数据、填报绩效目标内容等工作，明确业务各环节流程、时间要求、审批权限等，领导分工明确，建立预算编制，提升编制预算的计划性、科学性和规范性。</w:t>
      </w:r>
      <w:r>
        <w:rPr>
          <w:rFonts w:hint="eastAsia" w:ascii="仿宋" w:hAnsi="仿宋" w:eastAsia="仿宋" w:cs="仿宋"/>
          <w:b w:val="0"/>
          <w:bCs w:val="0"/>
          <w:spacing w:val="-4"/>
          <w:sz w:val="32"/>
          <w:szCs w:val="32"/>
          <w:lang w:val="en-US" w:eastAsia="zh-CN"/>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楷体_GB2312" w:hAnsi="楷体_GB2312" w:eastAsia="楷体_GB2312" w:cs="楷体_GB2312"/>
          <w:b w:val="0"/>
          <w:bCs w:val="0"/>
          <w:spacing w:val="-4"/>
          <w:sz w:val="32"/>
          <w:szCs w:val="32"/>
          <w:lang w:val="en-US" w:eastAsia="zh-CN"/>
        </w:rPr>
        <w:t xml:space="preserve"> </w:t>
      </w:r>
      <w:r>
        <w:rPr>
          <w:rStyle w:val="19"/>
          <w:rFonts w:hint="eastAsia" w:ascii="楷体_GB2312" w:hAnsi="楷体_GB2312" w:eastAsia="楷体_GB2312" w:cs="楷体_GB2312"/>
          <w:b w:val="0"/>
          <w:bCs w:val="0"/>
          <w:spacing w:val="-4"/>
          <w:sz w:val="32"/>
          <w:szCs w:val="32"/>
        </w:rPr>
        <w:t>（二）存在的问题及原因分析</w:t>
      </w:r>
      <w:r>
        <w:rPr>
          <w:rFonts w:hint="eastAsia" w:ascii="楷体_GB2312" w:hAnsi="楷体_GB2312" w:eastAsia="楷体_GB2312" w:cs="楷体_GB2312"/>
          <w:b w:val="0"/>
          <w:bCs w:val="0"/>
          <w:spacing w:val="-4"/>
          <w:sz w:val="32"/>
          <w:szCs w:val="32"/>
        </w:rPr>
        <w:br w:type="textWrapping"/>
      </w:r>
      <w:r>
        <w:rPr>
          <w:rFonts w:hint="eastAsia" w:ascii="方正仿宋_GBK" w:hAnsi="方正仿宋_GBK" w:eastAsia="方正仿宋_GBK" w:cs="方正仿宋_GBK"/>
          <w:b w:val="0"/>
          <w:bCs w:val="0"/>
          <w:spacing w:val="-4"/>
          <w:sz w:val="32"/>
          <w:szCs w:val="32"/>
          <w:lang w:val="en-US" w:eastAsia="zh-CN"/>
        </w:rPr>
        <w:t xml:space="preserve">    </w:t>
      </w:r>
      <w:r>
        <w:rPr>
          <w:rFonts w:hint="eastAsia" w:ascii="仿宋" w:hAnsi="仿宋" w:eastAsia="仿宋" w:cs="仿宋"/>
          <w:b w:val="0"/>
          <w:bCs w:val="0"/>
          <w:spacing w:val="-4"/>
          <w:sz w:val="32"/>
          <w:szCs w:val="32"/>
          <w:lang w:val="en-US" w:eastAsia="zh-CN"/>
        </w:rPr>
        <w:t>1.资金、监管方面：各科室部门沟通协调不足，监督责任不明确。项目资金监督和管理需进一步完善。工作措施不够细化，职责划分不够清晰。部分指标评估衡量方式比较简单，评价内容不够全面。</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2.缺乏预算绩效管理基础数据库建设，相关原始资料整理、信息汇总及研究利用效率不高。指标体系设计的质量和层次尚需提高。部门职责划分存在重合，项目实施效率不高。</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3.缺乏风险识别机制，项目实施稳健性存在风险，反馈信息的收集和处理不够及时，项目相关人员专业水平有待加强。</w:t>
      </w:r>
    </w:p>
    <w:p w14:paraId="3681712E">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eastAsia="zh-CN"/>
        </w:rPr>
        <w:t>八</w:t>
      </w:r>
      <w:r>
        <w:rPr>
          <w:rStyle w:val="19"/>
          <w:rFonts w:hint="eastAsia" w:ascii="黑体" w:hAnsi="黑体" w:eastAsia="黑体" w:cs="黑体"/>
          <w:b w:val="0"/>
          <w:spacing w:val="-4"/>
          <w:sz w:val="32"/>
          <w:szCs w:val="32"/>
        </w:rPr>
        <w:t>、有关建议</w:t>
      </w:r>
    </w:p>
    <w:p w14:paraId="78291EEA">
      <w:pPr>
        <w:spacing w:line="540" w:lineRule="exact"/>
        <w:ind w:firstLine="567"/>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一）建立跨部门协调机制，定期召开资金管理联席会议，明确各部门职责，细化各环节责任主体及协作要求；完善资金监督制度，对资金使用进行动态监控，增强透明度；优化绩效评价体系，设计多维评估指标，结合定量与定性分析，减少人为误差。</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（二）整合历史项目数据、成本明细、成果产出等，建立标准化数据库，参考行业标准或上级部门要求，分层设计指标，通过流程图或岗位说明书界定部门权限，建立“首问责任制”，避免推诿。</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三）建立风险防控体系，制定应急预案，优化反馈机制，对高频问题归类分析，纳入风险库避免重复发生，组织预算管理、绩效评价、风险管理专题培训，考核合格后上岗，系统性提升资金监管效率、优化绩效管理并降低风险。</w:t>
      </w:r>
    </w:p>
    <w:p w14:paraId="722EEFD3">
      <w:pPr>
        <w:spacing w:line="540" w:lineRule="exact"/>
        <w:ind w:firstLine="640"/>
        <w:rPr>
          <w:rStyle w:val="19"/>
          <w:rFonts w:hint="eastAsia" w:ascii="黑体" w:hAnsi="黑体" w:eastAsia="黑体" w:cs="黑体"/>
          <w:b w:val="0"/>
          <w:spacing w:val="-4"/>
          <w:sz w:val="32"/>
          <w:szCs w:val="32"/>
        </w:rPr>
      </w:pPr>
      <w:r>
        <w:rPr>
          <w:rStyle w:val="19"/>
          <w:rFonts w:hint="eastAsia" w:ascii="黑体" w:hAnsi="黑体" w:eastAsia="黑体" w:cs="黑体"/>
          <w:b w:val="0"/>
          <w:spacing w:val="-4"/>
          <w:sz w:val="32"/>
          <w:szCs w:val="32"/>
          <w:lang w:eastAsia="zh-CN"/>
        </w:rPr>
        <w:t>九</w:t>
      </w:r>
      <w:r>
        <w:rPr>
          <w:rStyle w:val="19"/>
          <w:rFonts w:hint="eastAsia" w:ascii="黑体" w:hAnsi="黑体" w:eastAsia="黑体" w:cs="黑体"/>
          <w:b w:val="0"/>
          <w:spacing w:val="-4"/>
          <w:sz w:val="32"/>
          <w:szCs w:val="32"/>
        </w:rPr>
        <w:t>、其他需要说明的问题</w:t>
      </w:r>
    </w:p>
    <w:p w14:paraId="42C360A4">
      <w:pPr>
        <w:spacing w:line="540" w:lineRule="exact"/>
        <w:ind w:firstLine="567"/>
        <w:rPr>
          <w:rFonts w:hint="eastAsia" w:ascii="仿宋" w:hAnsi="仿宋" w:eastAsia="仿宋" w:cs="仿宋"/>
          <w:b w:val="0"/>
          <w:bCs w:val="0"/>
          <w:spacing w:val="-4"/>
          <w:sz w:val="32"/>
          <w:szCs w:val="32"/>
          <w:lang w:val="en-US" w:eastAsia="zh-CN"/>
        </w:rPr>
      </w:pPr>
      <w:r>
        <w:rPr>
          <w:rFonts w:hint="eastAsia" w:ascii="仿宋" w:hAnsi="仿宋" w:eastAsia="仿宋" w:cs="仿宋"/>
          <w:b w:val="0"/>
          <w:bCs w:val="0"/>
          <w:spacing w:val="-4"/>
          <w:sz w:val="32"/>
          <w:szCs w:val="32"/>
          <w:lang w:val="en-US" w:eastAsia="zh-CN"/>
        </w:rPr>
        <w:t>（一）本项目部分间接产生的效果无法准确在短期内衡量，因此很难认定项目产生的全部效果。通过指标来反映绩效，指标的科学性和全面性需要不断地完善和研究。</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（二）评价结果作为安排政府预算、完善政策和改进管理的重要依据。原则上，对评价等级为优、良的，根据情况予以支持；对评价等级为中、差的，要完善政策、改进管理，根据情况核减预算。</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（三）评价结果分别编入政府决算和部门预算，报送本级人民代表大会常务委员会，并依法予以公开。</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r>
        <w:rPr>
          <w:rFonts w:hint="eastAsia" w:ascii="仿宋" w:hAnsi="仿宋" w:eastAsia="仿宋" w:cs="仿宋"/>
          <w:b w:val="0"/>
          <w:bCs w:val="0"/>
          <w:spacing w:val="-4"/>
          <w:sz w:val="32"/>
          <w:szCs w:val="32"/>
          <w:lang w:val="en-US" w:eastAsia="zh-CN"/>
        </w:rPr>
        <w:br w:type="textWrapping"/>
      </w:r>
      <w:r>
        <w:rPr>
          <w:rFonts w:hint="eastAsia" w:ascii="仿宋" w:hAnsi="仿宋" w:eastAsia="仿宋" w:cs="仿宋"/>
          <w:b w:val="0"/>
          <w:bCs w:val="0"/>
          <w:spacing w:val="-4"/>
          <w:sz w:val="32"/>
          <w:szCs w:val="32"/>
          <w:lang w:val="en-US" w:eastAsia="zh-CN"/>
        </w:rPr>
        <w:t xml:space="preserve">    （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14:paraId="60ED902D">
      <w:pPr>
        <w:spacing w:line="540" w:lineRule="exact"/>
        <w:ind w:firstLine="567"/>
        <w:rPr>
          <w:rStyle w:val="19"/>
          <w:rFonts w:hint="eastAsia" w:ascii="方正仿宋_GBK" w:hAnsi="方正仿宋_GBK" w:eastAsia="方正仿宋_GBK" w:cs="方正仿宋_GBK"/>
          <w:b w:val="0"/>
          <w:spacing w:val="-4"/>
          <w:sz w:val="32"/>
          <w:szCs w:val="32"/>
        </w:rPr>
      </w:pPr>
    </w:p>
    <w:sectPr>
      <w:footerReference r:id="rId3" w:type="default"/>
      <w:pgSz w:w="11906" w:h="16838"/>
      <w:pgMar w:top="1440" w:right="1558" w:bottom="1440" w:left="175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Nimbus Roman No9 L">
    <w:panose1 w:val="00000000000000000000"/>
    <w:charset w:val="00"/>
    <w:family w:val="auto"/>
    <w:pitch w:val="default"/>
    <w:sig w:usb0="00000000" w:usb1="00000000" w:usb2="00000000" w:usb3="00000000" w:csb0="00000000" w:csb1="00000000"/>
  </w:font>
  <w:font w:name="Calibri">
    <w:altName w:val="DejaVu Sans"/>
    <w:panose1 w:val="020F0502020204030204"/>
    <w:charset w:val="00"/>
    <w:family w:val="swiss"/>
    <w:pitch w:val="default"/>
    <w:sig w:usb0="00000000" w:usb1="00000000" w:usb2="00000001" w:usb3="00000000" w:csb0="0000019F" w:csb1="00000000"/>
  </w:font>
  <w:font w:name="DejaVu Sans">
    <w:panose1 w:val="020B0603030804020204"/>
    <w:charset w:val="00"/>
    <w:family w:val="auto"/>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Cambria">
    <w:altName w:val="FreeSerif"/>
    <w:panose1 w:val="02040503050406030204"/>
    <w:charset w:val="00"/>
    <w:family w:val="roman"/>
    <w:pitch w:val="default"/>
    <w:sig w:usb0="00000000" w:usb1="00000000" w:usb2="02000000" w:usb3="00000000" w:csb0="2000019F" w:csb1="00000000"/>
  </w:font>
  <w:font w:name="FreeSerif">
    <w:panose1 w:val="02020603050405020304"/>
    <w:charset w:val="00"/>
    <w:family w:val="auto"/>
    <w:pitch w:val="default"/>
    <w:sig w:usb0="E59FAFFF" w:usb1="C200FDFF" w:usb2="43501B29" w:usb3="04000043" w:csb0="600101FF" w:csb1="FFFF0000"/>
  </w:font>
  <w:font w:name="仿宋">
    <w:panose1 w:val="02010609060101010101"/>
    <w:charset w:val="86"/>
    <w:family w:val="modern"/>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docPartObj>
        <w:docPartGallery w:val="autotext"/>
      </w:docPartObj>
    </w:sdtPr>
    <w:sdtContent>
      <w:p w14:paraId="484768BC">
        <w:pPr>
          <w:pStyle w:val="12"/>
          <w:jc w:val="center"/>
        </w:pPr>
        <w:r>
          <w:fldChar w:fldCharType="begin"/>
        </w:r>
        <w:r>
          <w:instrText xml:space="preserve">PAGE   \* MERGEFORMAT</w:instrText>
        </w:r>
        <w:r>
          <w:fldChar w:fldCharType="separate"/>
        </w:r>
        <w:r>
          <w:rPr>
            <w:lang w:val="zh-CN"/>
          </w:rPr>
          <w:t>1</w:t>
        </w:r>
        <w:r>
          <w:fldChar w:fldCharType="end"/>
        </w:r>
      </w:p>
    </w:sdtContent>
  </w:sdt>
  <w:p w14:paraId="4D27544E">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CA500E"/>
    <w:rsid w:val="051F457C"/>
    <w:rsid w:val="0B7C44F3"/>
    <w:rsid w:val="0BFE6612"/>
    <w:rsid w:val="0DC87289"/>
    <w:rsid w:val="1A2E74A6"/>
    <w:rsid w:val="1A826A8E"/>
    <w:rsid w:val="24791B67"/>
    <w:rsid w:val="2A743136"/>
    <w:rsid w:val="2EE62010"/>
    <w:rsid w:val="30C74D94"/>
    <w:rsid w:val="3421711A"/>
    <w:rsid w:val="34D00132"/>
    <w:rsid w:val="3C5462DE"/>
    <w:rsid w:val="3FEE07F8"/>
    <w:rsid w:val="40551718"/>
    <w:rsid w:val="421D4587"/>
    <w:rsid w:val="44D100BA"/>
    <w:rsid w:val="44D35D7A"/>
    <w:rsid w:val="4627799C"/>
    <w:rsid w:val="49755AE6"/>
    <w:rsid w:val="5126537C"/>
    <w:rsid w:val="51C24D5E"/>
    <w:rsid w:val="52EA30A1"/>
    <w:rsid w:val="532C1DCC"/>
    <w:rsid w:val="59785C59"/>
    <w:rsid w:val="5C4C0928"/>
    <w:rsid w:val="604030F9"/>
    <w:rsid w:val="627D5100"/>
    <w:rsid w:val="63DD455C"/>
    <w:rsid w:val="6A3E5B5D"/>
    <w:rsid w:val="6CFD43DC"/>
    <w:rsid w:val="6DC016EA"/>
    <w:rsid w:val="7038712D"/>
    <w:rsid w:val="76B6511F"/>
    <w:rsid w:val="799D7414"/>
    <w:rsid w:val="7C964B73"/>
    <w:rsid w:val="7DC81A6D"/>
    <w:rsid w:val="D16DBADE"/>
  </w:rsids>
  <m:mathPr>
    <m:mathFont m:val="Cambria Math"/>
    <m:brkBin m:val="before"/>
    <m:brkBinSub m:val="--"/>
    <m:smallFrac m:val="0"/>
    <m:dispDef/>
    <m:lMargin m:val="0"/>
    <m:rMargin m:val="0"/>
    <m:defJc m:val="centerGroup"/>
    <m:preSp m:val="0"/>
    <m:postSp m:val="0"/>
    <m:interSp m:val="0"/>
    <m:intraSp m:val="0"/>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0"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semiHidden/>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6"/>
    <w:semiHidden/>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table" w:styleId="17">
    <w:name w:val="Table Grid"/>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字符"/>
    <w:basedOn w:val="18"/>
    <w:link w:val="2"/>
    <w:qFormat/>
    <w:uiPriority w:val="9"/>
    <w:rPr>
      <w:rFonts w:asciiTheme="majorHAnsi" w:hAnsiTheme="majorHAnsi" w:eastAsiaTheme="majorEastAsia"/>
      <w:b/>
      <w:bCs/>
      <w:kern w:val="32"/>
      <w:sz w:val="32"/>
      <w:szCs w:val="32"/>
    </w:rPr>
  </w:style>
  <w:style w:type="character" w:customStyle="1" w:styleId="22">
    <w:name w:val="标题 2 字符"/>
    <w:basedOn w:val="18"/>
    <w:link w:val="3"/>
    <w:semiHidden/>
    <w:qFormat/>
    <w:uiPriority w:val="9"/>
    <w:rPr>
      <w:rFonts w:asciiTheme="majorHAnsi" w:hAnsiTheme="majorHAnsi" w:eastAsiaTheme="majorEastAsia"/>
      <w:b/>
      <w:bCs/>
      <w:i/>
      <w:iCs/>
      <w:sz w:val="28"/>
      <w:szCs w:val="28"/>
    </w:rPr>
  </w:style>
  <w:style w:type="character" w:customStyle="1" w:styleId="23">
    <w:name w:val="标题 3 字符"/>
    <w:basedOn w:val="18"/>
    <w:link w:val="4"/>
    <w:semiHidden/>
    <w:qFormat/>
    <w:uiPriority w:val="9"/>
    <w:rPr>
      <w:rFonts w:asciiTheme="majorHAnsi" w:hAnsiTheme="majorHAnsi" w:eastAsiaTheme="majorEastAsia"/>
      <w:b/>
      <w:bCs/>
      <w:sz w:val="26"/>
      <w:szCs w:val="26"/>
    </w:rPr>
  </w:style>
  <w:style w:type="character" w:customStyle="1" w:styleId="24">
    <w:name w:val="标题 4 字符"/>
    <w:basedOn w:val="18"/>
    <w:link w:val="5"/>
    <w:semiHidden/>
    <w:qFormat/>
    <w:uiPriority w:val="9"/>
    <w:rPr>
      <w:b/>
      <w:bCs/>
      <w:sz w:val="28"/>
      <w:szCs w:val="28"/>
    </w:rPr>
  </w:style>
  <w:style w:type="character" w:customStyle="1" w:styleId="25">
    <w:name w:val="标题 5 字符"/>
    <w:basedOn w:val="18"/>
    <w:link w:val="6"/>
    <w:semiHidden/>
    <w:qFormat/>
    <w:uiPriority w:val="9"/>
    <w:rPr>
      <w:b/>
      <w:bCs/>
      <w:i/>
      <w:iCs/>
      <w:sz w:val="26"/>
      <w:szCs w:val="26"/>
    </w:rPr>
  </w:style>
  <w:style w:type="character" w:customStyle="1" w:styleId="26">
    <w:name w:val="标题 6 字符"/>
    <w:basedOn w:val="18"/>
    <w:link w:val="7"/>
    <w:semiHidden/>
    <w:qFormat/>
    <w:uiPriority w:val="9"/>
    <w:rPr>
      <w:b/>
      <w:bCs/>
    </w:rPr>
  </w:style>
  <w:style w:type="character" w:customStyle="1" w:styleId="27">
    <w:name w:val="标题 7 字符"/>
    <w:basedOn w:val="18"/>
    <w:link w:val="8"/>
    <w:semiHidden/>
    <w:qFormat/>
    <w:uiPriority w:val="9"/>
    <w:rPr>
      <w:sz w:val="24"/>
      <w:szCs w:val="24"/>
    </w:rPr>
  </w:style>
  <w:style w:type="character" w:customStyle="1" w:styleId="28">
    <w:name w:val="标题 8 字符"/>
    <w:basedOn w:val="18"/>
    <w:link w:val="9"/>
    <w:semiHidden/>
    <w:qFormat/>
    <w:uiPriority w:val="9"/>
    <w:rPr>
      <w:i/>
      <w:iCs/>
      <w:sz w:val="24"/>
      <w:szCs w:val="24"/>
    </w:rPr>
  </w:style>
  <w:style w:type="character" w:customStyle="1" w:styleId="29">
    <w:name w:val="标题 9 字符"/>
    <w:basedOn w:val="18"/>
    <w:link w:val="10"/>
    <w:semiHidden/>
    <w:qFormat/>
    <w:uiPriority w:val="9"/>
    <w:rPr>
      <w:rFonts w:asciiTheme="majorHAnsi" w:hAnsiTheme="majorHAnsi" w:eastAsiaTheme="majorEastAsia"/>
    </w:rPr>
  </w:style>
  <w:style w:type="character" w:customStyle="1" w:styleId="30">
    <w:name w:val="标题 字符"/>
    <w:basedOn w:val="18"/>
    <w:link w:val="15"/>
    <w:qFormat/>
    <w:uiPriority w:val="10"/>
    <w:rPr>
      <w:rFonts w:asciiTheme="majorHAnsi" w:hAnsiTheme="majorHAnsi" w:eastAsiaTheme="majorEastAsia"/>
      <w:b/>
      <w:bCs/>
      <w:kern w:val="28"/>
      <w:sz w:val="32"/>
      <w:szCs w:val="32"/>
    </w:rPr>
  </w:style>
  <w:style w:type="character" w:customStyle="1" w:styleId="31">
    <w:name w:val="副标题 字符"/>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字符"/>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字符"/>
    <w:basedOn w:val="18"/>
    <w:link w:val="36"/>
    <w:qFormat/>
    <w:uiPriority w:val="30"/>
    <w:rPr>
      <w:b/>
      <w:i/>
      <w:sz w:val="24"/>
    </w:rPr>
  </w:style>
  <w:style w:type="character" w:customStyle="1" w:styleId="38">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semiHidden/>
    <w:unhideWhenUsed/>
    <w:qFormat/>
    <w:uiPriority w:val="39"/>
    <w:pPr>
      <w:outlineLvl w:val="9"/>
    </w:pPr>
    <w:rPr>
      <w:lang w:eastAsia="en-US" w:bidi="en-US"/>
    </w:rPr>
  </w:style>
  <w:style w:type="character" w:customStyle="1" w:styleId="44">
    <w:name w:val="页眉 字符"/>
    <w:basedOn w:val="18"/>
    <w:link w:val="13"/>
    <w:qFormat/>
    <w:uiPriority w:val="99"/>
    <w:rPr>
      <w:rFonts w:ascii="Calibri" w:hAnsi="Calibri" w:eastAsia="宋体"/>
      <w:kern w:val="2"/>
      <w:sz w:val="18"/>
      <w:szCs w:val="18"/>
    </w:rPr>
  </w:style>
  <w:style w:type="character" w:customStyle="1" w:styleId="45">
    <w:name w:val="页脚 字符"/>
    <w:basedOn w:val="18"/>
    <w:link w:val="12"/>
    <w:qFormat/>
    <w:uiPriority w:val="99"/>
    <w:rPr>
      <w:rFonts w:ascii="Calibri" w:hAnsi="Calibri" w:eastAsia="宋体"/>
      <w:kern w:val="2"/>
      <w:sz w:val="18"/>
      <w:szCs w:val="18"/>
    </w:rPr>
  </w:style>
  <w:style w:type="character" w:customStyle="1" w:styleId="46">
    <w:name w:val="批注框文本 字符"/>
    <w:basedOn w:val="18"/>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Properties xmlns="http://schemas.openxmlformats.org/officeDocument/2006/custom-properties" xmlns:vt="http://schemas.openxmlformats.org/officeDocument/2006/docPropsVTypes">
  <property xmlns="http://schemas.openxmlformats.org/officeDocument/2006/custom-properties" fmtid="{D5CDD505-2E9C-101B-9397-08002B2CF9AE}" pid="2" name="KSOProductBuildVer">
    <vt:lpwstr xmlns:vt="http://schemas.openxmlformats.org/officeDocument/2006/docPropsVTypes">2052-11.1.0.11365</vt:lpwstr>
  </property>
  <property xmlns="http://schemas.openxmlformats.org/officeDocument/2006/custom-properties" fmtid="{D5CDD505-2E9C-101B-9397-08002B2CF9AE}" pid="3" name="ICV">
    <vt:lpwstr xmlns:vt="http://schemas.openxmlformats.org/officeDocument/2006/docPropsVTypes">C734C92AAAF24344A0E4232D8EB3359B</vt:lpwstr>
  </property>
</Properties>
</file>

<file path=customXml/itemProps1.xml><?xml version="1.0" encoding="utf-8"?>
<ds:datastoreItem xmlns:ds="http://schemas.openxmlformats.org/officeDocument/2006/customXml" ds:itemID="{fe2bc7d1-a0ad-4478-9650-8303dfeeb451}">
  <ds:schemaRefs/>
</ds:datastoreItem>
</file>

<file path=docProps/app.xml><?xml version="1.0" encoding="utf-8"?>
<Properties xmlns="http://schemas.openxmlformats.org/officeDocument/2006/extended-properties" xmlns:vt="http://schemas.openxmlformats.org/officeDocument/2006/docPropsVTypes">
  <Template>Normal.dotm</Template>
  <Pages>26</Pages>
  <Words>13685</Words>
  <Characters>14279</Characters>
  <Lines>5</Lines>
  <Paragraphs>1</Paragraphs>
  <TotalTime>89</TotalTime>
  <ScaleCrop>false</ScaleCrop>
  <LinksUpToDate>false</LinksUpToDate>
  <CharactersWithSpaces>14808</CharactersWithSpaces>
  <Application>WPS Office_12.8.2.17863_F1E327BC-269C-435d-A152-05C5408002CA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2018-08-15T10:06:00Z</dcterms:created>
  <dc:creator>赵 恺_xFF08_预算处_xFF09_</dc:creator>
  <cp:lastModifiedBy>sugon</cp:lastModifiedBy>
  <cp:lastPrinted>2025-10-22T10:55:15Z</cp:lastPrinted>
  <dcterms:modified xsi:type="dcterms:W3CDTF">2025-10-22T10:55:39Z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2052-12.8.2.17863</vt:lpwstr>
  </property>
  <property fmtid="{D5CDD505-2E9C-101B-9397-08002B2CF9AE}" pid="3" name="ICV">
    <vt:lpwstr>C734C92AAAF24344A0E4232D8EB3359B</vt:lpwstr>
  </property>
  <property fmtid="{D5CDD505-2E9C-101B-9397-08002B2CF9AE}" pid="4" name="KSOTemplateDocerSaveRecord">
    <vt:lpwstr>eyJoZGlkIjoiODViY2JkMjU3NGYzZTEwMzZmMGFkZWViYmNkYWU3NDIiLCJ1c2VySWQiOiIxNDk3NDgwNzgwIn0=</vt:lpwstr>
  </property>
</Properties>
</file>