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和田地区教师培训服务中心2024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404924">
      <w:r>
        <w:br w:type="page"/>
      </w:r>
    </w:p>
    <w:p w14:paraId="56DAE9BC">
      <w:pPr>
        <w:spacing w:line="640" w:lineRule="exact"/>
        <w:jc w:val="center"/>
        <w:outlineLvl w:val="1"/>
      </w:pPr>
      <w:r>
        <w:rPr>
          <w:rFonts w:ascii="黑体" w:hAnsi="黑体" w:eastAsia="黑体"/>
          <w:sz w:val="32"/>
        </w:rPr>
        <w:t>第一部分 单位概况</w:t>
      </w:r>
    </w:p>
    <w:p w14:paraId="19E99DBE">
      <w:pPr>
        <w:spacing w:line="640" w:lineRule="exact"/>
        <w:ind w:firstLine="640"/>
        <w:jc w:val="both"/>
        <w:outlineLvl w:val="2"/>
      </w:pPr>
      <w:r>
        <w:rPr>
          <w:rFonts w:ascii="黑体" w:hAnsi="黑体" w:eastAsia="黑体"/>
          <w:sz w:val="32"/>
        </w:rPr>
        <w:t>一、主要职能</w:t>
      </w:r>
    </w:p>
    <w:p w14:paraId="6C483330">
      <w:pPr>
        <w:spacing w:line="580" w:lineRule="exact"/>
        <w:ind w:firstLine="640"/>
        <w:jc w:val="both"/>
      </w:pPr>
      <w:r>
        <w:rPr>
          <w:rFonts w:ascii="仿宋_GB2312" w:hAnsi="仿宋_GB2312" w:eastAsia="仿宋_GB2312"/>
          <w:sz w:val="32"/>
        </w:rPr>
        <w:t>和田地区教师培训服务中心是和田地区教育局下属的副县级部门，是和田地区财政全额拨款事业单位。承担全地区学前和中小学教师岗前培训和继续教育，国培计划及自治区和地区的各类教师培训工作；负责全地区学前和中小学电化教育，以及远程教育资源在教育教学中的应用、观摩、评比、经验交流、设备的维护、技术指导服务及培训等；围绕待遇保障、衣食住行、身心健康等方面做好各类教师服务保障工作、承担各类支教教师、实习大学生的统筹协调服务工作。</w:t>
      </w:r>
    </w:p>
    <w:p w14:paraId="1EE4CAE3">
      <w:pPr>
        <w:spacing w:line="640" w:lineRule="exact"/>
        <w:ind w:firstLine="640"/>
        <w:jc w:val="both"/>
        <w:outlineLvl w:val="2"/>
      </w:pPr>
      <w:r>
        <w:rPr>
          <w:rFonts w:ascii="黑体" w:hAnsi="黑体" w:eastAsia="黑体"/>
          <w:sz w:val="32"/>
        </w:rPr>
        <w:t>二、机构设置及人员情况</w:t>
      </w:r>
    </w:p>
    <w:p w14:paraId="1DBE1CF4">
      <w:pPr>
        <w:spacing w:line="580" w:lineRule="exact"/>
        <w:ind w:firstLine="640"/>
        <w:jc w:val="both"/>
      </w:pPr>
      <w:r>
        <w:rPr>
          <w:rFonts w:ascii="仿宋_GB2312" w:hAnsi="仿宋_GB2312" w:eastAsia="仿宋_GB2312"/>
          <w:sz w:val="32"/>
        </w:rPr>
        <w:t>和田地区教师培训服务中心2024年度，实有人数12人，其中：在职人员9人，增加0人；离休人员0人，增加0人；退休人员3人,增加0人。</w:t>
      </w:r>
    </w:p>
    <w:p w14:paraId="47C74BF0">
      <w:pPr>
        <w:spacing w:line="580" w:lineRule="exact"/>
        <w:ind w:firstLine="640"/>
        <w:jc w:val="both"/>
      </w:pPr>
      <w:r>
        <w:rPr>
          <w:rFonts w:ascii="仿宋_GB2312" w:hAnsi="仿宋_GB2312" w:eastAsia="仿宋_GB2312"/>
          <w:sz w:val="32"/>
        </w:rPr>
        <w:t>和田地区教师培训服务中心无下属预算单位，下设2个科室，分别是：培训科、综合科。</w:t>
      </w:r>
    </w:p>
    <w:p w14:paraId="38910398">
      <w:r>
        <w:br w:type="page"/>
      </w:r>
    </w:p>
    <w:p w14:paraId="3D28AD48">
      <w:pPr>
        <w:spacing w:line="240" w:lineRule="auto"/>
        <w:jc w:val="center"/>
        <w:outlineLvl w:val="1"/>
      </w:pPr>
      <w:r>
        <w:rPr>
          <w:rFonts w:ascii="黑体" w:hAnsi="黑体" w:eastAsia="黑体"/>
          <w:sz w:val="32"/>
        </w:rPr>
        <w:t>第二部分 部门决算情况说明</w:t>
      </w:r>
    </w:p>
    <w:p w14:paraId="2B380F97">
      <w:pPr>
        <w:spacing w:line="640" w:lineRule="exact"/>
        <w:ind w:firstLine="640"/>
        <w:jc w:val="both"/>
        <w:outlineLvl w:val="2"/>
      </w:pPr>
      <w:r>
        <w:rPr>
          <w:rFonts w:ascii="黑体" w:hAnsi="黑体" w:eastAsia="黑体"/>
          <w:sz w:val="32"/>
        </w:rPr>
        <w:t>一、收入支出决算总体情况说明</w:t>
      </w:r>
    </w:p>
    <w:p w14:paraId="6F7EB5E1">
      <w:pPr>
        <w:spacing w:line="580" w:lineRule="exact"/>
        <w:ind w:firstLine="640"/>
        <w:jc w:val="both"/>
      </w:pPr>
      <w:r>
        <w:rPr>
          <w:rFonts w:ascii="仿宋_GB2312" w:hAnsi="仿宋_GB2312" w:eastAsia="仿宋_GB2312"/>
          <w:b/>
          <w:sz w:val="32"/>
        </w:rPr>
        <w:t>2024年度收入总计373.40万元，</w:t>
      </w:r>
      <w:r>
        <w:rPr>
          <w:rFonts w:ascii="仿宋_GB2312" w:hAnsi="仿宋_GB2312" w:eastAsia="仿宋_GB2312"/>
          <w:b w:val="0"/>
          <w:sz w:val="32"/>
        </w:rPr>
        <w:t>其中：本年收入合计283.10万元，使用非财政拨款结余（含专用结余）0.00万元，年初结转和结余90.31万元。</w:t>
      </w:r>
    </w:p>
    <w:p w14:paraId="79D86567">
      <w:pPr>
        <w:spacing w:line="580" w:lineRule="exact"/>
        <w:ind w:firstLine="640"/>
        <w:jc w:val="both"/>
      </w:pPr>
      <w:r>
        <w:rPr>
          <w:rFonts w:ascii="仿宋_GB2312" w:hAnsi="仿宋_GB2312" w:eastAsia="仿宋_GB2312"/>
          <w:b/>
          <w:sz w:val="32"/>
        </w:rPr>
        <w:t>2024年度支出总计373.40万元，</w:t>
      </w:r>
      <w:r>
        <w:rPr>
          <w:rFonts w:ascii="仿宋_GB2312" w:hAnsi="仿宋_GB2312" w:eastAsia="仿宋_GB2312"/>
          <w:b w:val="0"/>
          <w:sz w:val="32"/>
        </w:rPr>
        <w:t>其中：本年支出合计320.74万元，结余分配0.00万元，年末结转和结余52.66万元。</w:t>
      </w:r>
    </w:p>
    <w:p w14:paraId="6648AE78">
      <w:pPr>
        <w:spacing w:line="580" w:lineRule="exact"/>
        <w:ind w:firstLine="640"/>
        <w:jc w:val="both"/>
      </w:pPr>
      <w:r>
        <w:rPr>
          <w:rFonts w:ascii="仿宋_GB2312" w:hAnsi="仿宋_GB2312" w:eastAsia="仿宋_GB2312"/>
          <w:b w:val="0"/>
          <w:sz w:val="32"/>
        </w:rPr>
        <w:t>收入支出总体与上年相比，减少50.11万元，下降11.83%，主要原因是：本年减少中小学老师培训费项目，导致经费较上年减少。</w:t>
      </w:r>
    </w:p>
    <w:p w14:paraId="72036933">
      <w:pPr>
        <w:spacing w:line="640" w:lineRule="exact"/>
        <w:ind w:firstLine="640"/>
        <w:jc w:val="both"/>
        <w:outlineLvl w:val="2"/>
      </w:pPr>
      <w:r>
        <w:rPr>
          <w:rFonts w:ascii="黑体" w:hAnsi="黑体" w:eastAsia="黑体"/>
          <w:sz w:val="32"/>
        </w:rPr>
        <w:t>二、收入决算情况说明</w:t>
      </w:r>
    </w:p>
    <w:p w14:paraId="6F279379">
      <w:pPr>
        <w:spacing w:line="580" w:lineRule="exact"/>
        <w:ind w:firstLine="640"/>
        <w:jc w:val="both"/>
      </w:pPr>
      <w:r>
        <w:rPr>
          <w:rFonts w:ascii="仿宋_GB2312" w:hAnsi="仿宋_GB2312" w:eastAsia="仿宋_GB2312"/>
          <w:b/>
          <w:sz w:val="32"/>
        </w:rPr>
        <w:t>本年收入283.10万元，</w:t>
      </w:r>
      <w:r>
        <w:rPr>
          <w:rFonts w:ascii="仿宋_GB2312" w:hAnsi="仿宋_GB2312" w:eastAsia="仿宋_GB2312"/>
          <w:b w:val="0"/>
          <w:sz w:val="32"/>
        </w:rPr>
        <w:t>其中：财政拨款收入282.97万元，占99.95%；上级补助收入0.00万元，占0.00%；事业收入0.00万元，占0.00%；经营收入0.00万元，占0.00%；附属单位上缴收入0.00万元，占0.00%；其他收入0.13万元，占0.05%。</w:t>
      </w:r>
    </w:p>
    <w:p w14:paraId="10183D4D">
      <w:pPr>
        <w:spacing w:line="640" w:lineRule="exact"/>
        <w:ind w:firstLine="640"/>
        <w:jc w:val="both"/>
        <w:outlineLvl w:val="2"/>
      </w:pPr>
      <w:r>
        <w:rPr>
          <w:rFonts w:ascii="黑体" w:hAnsi="黑体" w:eastAsia="黑体"/>
          <w:sz w:val="32"/>
        </w:rPr>
        <w:t>三、支出决算情况说明</w:t>
      </w:r>
    </w:p>
    <w:p w14:paraId="4AC38A1E">
      <w:pPr>
        <w:spacing w:line="580" w:lineRule="exact"/>
        <w:ind w:firstLine="640"/>
        <w:jc w:val="both"/>
      </w:pPr>
      <w:r>
        <w:rPr>
          <w:rFonts w:ascii="仿宋_GB2312" w:hAnsi="仿宋_GB2312" w:eastAsia="仿宋_GB2312"/>
          <w:b/>
          <w:sz w:val="32"/>
        </w:rPr>
        <w:t>本年支出320.74万元，</w:t>
      </w:r>
      <w:r>
        <w:rPr>
          <w:rFonts w:ascii="仿宋_GB2312" w:hAnsi="仿宋_GB2312" w:eastAsia="仿宋_GB2312"/>
          <w:b w:val="0"/>
          <w:sz w:val="32"/>
        </w:rPr>
        <w:t>其中：基本支出291.24万元，占90.80%；项目支出29.50万元，占9.20%；上缴上级支出0.00万元，占0.00%；经营支出0.00万元，占0.00%；对附属单位补助支出0.00万元，占0.00%。</w:t>
      </w:r>
    </w:p>
    <w:p w14:paraId="043932B5">
      <w:pPr>
        <w:spacing w:line="640" w:lineRule="exact"/>
        <w:ind w:firstLine="640"/>
        <w:jc w:val="both"/>
        <w:outlineLvl w:val="2"/>
      </w:pPr>
      <w:r>
        <w:rPr>
          <w:rFonts w:ascii="黑体" w:hAnsi="黑体" w:eastAsia="黑体"/>
          <w:sz w:val="32"/>
        </w:rPr>
        <w:t>四、财政拨款收入支出决算总体情况说明</w:t>
      </w:r>
    </w:p>
    <w:p w14:paraId="2359000B">
      <w:pPr>
        <w:spacing w:line="580" w:lineRule="exact"/>
        <w:ind w:firstLine="640"/>
        <w:jc w:val="both"/>
      </w:pPr>
      <w:r>
        <w:rPr>
          <w:rFonts w:ascii="仿宋_GB2312" w:hAnsi="仿宋_GB2312" w:eastAsia="仿宋_GB2312"/>
          <w:b/>
          <w:sz w:val="32"/>
        </w:rPr>
        <w:t>2024年度财政拨款收入总计282.97万元，</w:t>
      </w:r>
      <w:r>
        <w:rPr>
          <w:rFonts w:ascii="仿宋_GB2312" w:hAnsi="仿宋_GB2312" w:eastAsia="仿宋_GB2312"/>
          <w:b w:val="0"/>
          <w:sz w:val="32"/>
        </w:rPr>
        <w:t>其中：年初财政拨款结转和结余0.00万元，本年财政拨款收入282.97万元。</w:t>
      </w:r>
      <w:r>
        <w:rPr>
          <w:rFonts w:ascii="仿宋_GB2312" w:hAnsi="仿宋_GB2312" w:eastAsia="仿宋_GB2312"/>
          <w:b/>
          <w:sz w:val="32"/>
        </w:rPr>
        <w:t>财政拨款支出总计282.97万元，</w:t>
      </w:r>
      <w:r>
        <w:rPr>
          <w:rFonts w:ascii="仿宋_GB2312" w:hAnsi="仿宋_GB2312" w:eastAsia="仿宋_GB2312"/>
          <w:b w:val="0"/>
          <w:sz w:val="32"/>
        </w:rPr>
        <w:t>其中：年末财政拨款结转和结余0.00万元，本年财政拨款支出282.97万元。</w:t>
      </w:r>
    </w:p>
    <w:p w14:paraId="7521344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增加15.77万元，增长5.90%，主要原因是：本年在职人员工资调增，社保，住房公积金等相关人员经费增加；新增中小学和幼儿园教师继续教育培训项目经费，导致经费比上年增加。</w:t>
      </w:r>
      <w:r>
        <w:rPr>
          <w:rFonts w:ascii="仿宋_GB2312" w:hAnsi="仿宋_GB2312" w:eastAsia="仿宋_GB2312"/>
          <w:b/>
          <w:sz w:val="32"/>
        </w:rPr>
        <w:t>与年初预算相比，</w:t>
      </w:r>
      <w:r>
        <w:rPr>
          <w:rFonts w:ascii="仿宋_GB2312" w:hAnsi="仿宋_GB2312" w:eastAsia="仿宋_GB2312"/>
          <w:b w:val="0"/>
          <w:sz w:val="32"/>
        </w:rPr>
        <w:t>年初预算数275.35万元，决算数282.97万元，预决算差异率2.77%，主要原因是：年中追加人员工资、社保、公积金基数调增部分资金，导致预决算存在差异。</w:t>
      </w:r>
    </w:p>
    <w:p w14:paraId="6E55388A">
      <w:pPr>
        <w:spacing w:line="640" w:lineRule="exact"/>
        <w:ind w:firstLine="640"/>
        <w:jc w:val="both"/>
        <w:outlineLvl w:val="2"/>
      </w:pPr>
      <w:r>
        <w:rPr>
          <w:rFonts w:ascii="黑体" w:hAnsi="黑体" w:eastAsia="黑体"/>
          <w:sz w:val="32"/>
        </w:rPr>
        <w:t>五、一般公共预算财政拨款支出决算情况说明</w:t>
      </w:r>
    </w:p>
    <w:p w14:paraId="2220AB4C">
      <w:pPr>
        <w:spacing w:line="640" w:lineRule="exact"/>
        <w:ind w:firstLine="640"/>
        <w:jc w:val="both"/>
        <w:outlineLvl w:val="3"/>
      </w:pPr>
      <w:r>
        <w:rPr>
          <w:rFonts w:ascii="楷体_GB2312" w:hAnsi="楷体_GB2312" w:eastAsia="楷体_GB2312"/>
          <w:b/>
          <w:sz w:val="32"/>
        </w:rPr>
        <w:t>（一）一般公共预算财政拨款支出决算总体情况</w:t>
      </w:r>
    </w:p>
    <w:p w14:paraId="37EBDD1E">
      <w:pPr>
        <w:spacing w:line="580" w:lineRule="exact"/>
        <w:ind w:firstLine="640"/>
        <w:jc w:val="both"/>
      </w:pPr>
      <w:r>
        <w:rPr>
          <w:rFonts w:ascii="仿宋_GB2312" w:hAnsi="仿宋_GB2312" w:eastAsia="仿宋_GB2312"/>
          <w:b/>
          <w:sz w:val="32"/>
        </w:rPr>
        <w:t>2024年度一般公共预算财政拨款支出282.97万元，</w:t>
      </w:r>
      <w:r>
        <w:rPr>
          <w:rFonts w:ascii="仿宋_GB2312" w:hAnsi="仿宋_GB2312" w:eastAsia="仿宋_GB2312"/>
          <w:b w:val="0"/>
          <w:sz w:val="32"/>
        </w:rPr>
        <w:t>占本年支出合计的88.22%。</w:t>
      </w:r>
      <w:r>
        <w:rPr>
          <w:rFonts w:ascii="仿宋_GB2312" w:hAnsi="仿宋_GB2312" w:eastAsia="仿宋_GB2312"/>
          <w:b/>
          <w:sz w:val="32"/>
        </w:rPr>
        <w:t>与上年相比，</w:t>
      </w:r>
      <w:r>
        <w:rPr>
          <w:rFonts w:ascii="仿宋_GB2312" w:hAnsi="仿宋_GB2312" w:eastAsia="仿宋_GB2312"/>
          <w:b w:val="0"/>
          <w:sz w:val="32"/>
        </w:rPr>
        <w:t>增加15.77万元，增长5.90%，主要原因是：本年在职人员工资调增，社保，住房公积金等相关人员经费增加；新增中小学和幼儿园教师继续教育培训项目经费，导致经费比上年增加。</w:t>
      </w:r>
      <w:r>
        <w:rPr>
          <w:rFonts w:ascii="仿宋_GB2312" w:hAnsi="仿宋_GB2312" w:eastAsia="仿宋_GB2312"/>
          <w:b/>
          <w:sz w:val="32"/>
        </w:rPr>
        <w:t>与年初预算相比,</w:t>
      </w:r>
      <w:r>
        <w:rPr>
          <w:rFonts w:ascii="仿宋_GB2312" w:hAnsi="仿宋_GB2312" w:eastAsia="仿宋_GB2312"/>
          <w:b w:val="0"/>
          <w:sz w:val="32"/>
        </w:rPr>
        <w:t>年初预算数275.35万元，决算数282.97万元，预决算差异率2.77%，主要原因是：年中追加人员工资、社保、公积金基数调增部分资金，导致预决算存在差异。</w:t>
      </w:r>
    </w:p>
    <w:p w14:paraId="0C98AAA3">
      <w:pPr>
        <w:spacing w:line="640" w:lineRule="exact"/>
        <w:ind w:firstLine="640"/>
        <w:jc w:val="both"/>
        <w:outlineLvl w:val="3"/>
      </w:pPr>
      <w:r>
        <w:rPr>
          <w:rFonts w:ascii="楷体_GB2312" w:hAnsi="楷体_GB2312" w:eastAsia="楷体_GB2312"/>
          <w:b/>
          <w:sz w:val="32"/>
        </w:rPr>
        <w:t>（二）一般公共预算财政拨款支出决算结构情况</w:t>
      </w:r>
    </w:p>
    <w:p w14:paraId="6AB449D8">
      <w:pPr>
        <w:spacing w:line="580" w:lineRule="exact"/>
        <w:ind w:firstLine="640"/>
        <w:jc w:val="both"/>
      </w:pPr>
      <w:r>
        <w:rPr>
          <w:rFonts w:ascii="仿宋_GB2312" w:hAnsi="仿宋_GB2312" w:eastAsia="仿宋_GB2312"/>
          <w:b w:val="0"/>
          <w:sz w:val="32"/>
        </w:rPr>
        <w:t>1.教育支出(类)282.97万元,占100.00%。</w:t>
      </w:r>
    </w:p>
    <w:p w14:paraId="233F5093">
      <w:pPr>
        <w:spacing w:line="640" w:lineRule="exact"/>
        <w:ind w:firstLine="640"/>
        <w:jc w:val="both"/>
        <w:outlineLvl w:val="3"/>
      </w:pPr>
      <w:r>
        <w:rPr>
          <w:rFonts w:ascii="楷体_GB2312" w:hAnsi="楷体_GB2312" w:eastAsia="楷体_GB2312"/>
          <w:b/>
          <w:sz w:val="32"/>
        </w:rPr>
        <w:t>（三）一般公共预算财政拨款支出决算具体情况</w:t>
      </w:r>
    </w:p>
    <w:p w14:paraId="7318167B">
      <w:pPr>
        <w:spacing w:line="580" w:lineRule="exact"/>
        <w:ind w:firstLine="640"/>
        <w:jc w:val="both"/>
      </w:pPr>
      <w:r>
        <w:rPr>
          <w:rFonts w:ascii="仿宋_GB2312" w:hAnsi="仿宋_GB2312" w:eastAsia="仿宋_GB2312"/>
          <w:b w:val="0"/>
          <w:sz w:val="32"/>
        </w:rPr>
        <w:t>1.教育支出(类)教育管理事务(款)行政运行(项):支出决算数为253.47万元，比上年决算减少13.73万元，下降5.14%,主要原因是：本年业务量减少，办公费及电费减少，导致公用经费比上年减少。</w:t>
      </w:r>
    </w:p>
    <w:p w14:paraId="7BE96DA3">
      <w:pPr>
        <w:spacing w:line="580" w:lineRule="exact"/>
        <w:ind w:firstLine="640"/>
        <w:jc w:val="both"/>
      </w:pPr>
      <w:r>
        <w:rPr>
          <w:rFonts w:ascii="仿宋_GB2312" w:hAnsi="仿宋_GB2312" w:eastAsia="仿宋_GB2312"/>
          <w:b w:val="0"/>
          <w:sz w:val="32"/>
        </w:rPr>
        <w:t>2.教育支出(类)教育管理事务(款)其他教育管理事务支出(项):支出决算数为29.50万元，比上年决算增加29.50万元，增长100.00%,主要原因是：本年度新增中小学和幼儿园教师继续教育培训项目经费，导致经费比上年增加。</w:t>
      </w:r>
    </w:p>
    <w:p w14:paraId="4C4FE8AB">
      <w:pPr>
        <w:spacing w:line="640" w:lineRule="exact"/>
        <w:ind w:firstLine="640"/>
        <w:jc w:val="both"/>
        <w:outlineLvl w:val="2"/>
      </w:pPr>
      <w:r>
        <w:rPr>
          <w:rFonts w:ascii="黑体" w:hAnsi="黑体" w:eastAsia="黑体"/>
          <w:sz w:val="32"/>
        </w:rPr>
        <w:t>六、一般公共预算财政拨款基本支出决算情况说明</w:t>
      </w:r>
    </w:p>
    <w:p w14:paraId="51FCFD89">
      <w:pPr>
        <w:spacing w:line="580" w:lineRule="exact"/>
        <w:ind w:firstLine="640"/>
        <w:jc w:val="both"/>
      </w:pPr>
      <w:r>
        <w:rPr>
          <w:rFonts w:ascii="仿宋_GB2312" w:hAnsi="仿宋_GB2312" w:eastAsia="仿宋_GB2312"/>
          <w:b w:val="0"/>
          <w:sz w:val="32"/>
        </w:rPr>
        <w:t>2024年度一般公共预算财政拨款基本支出253.47万元，其中：</w:t>
      </w:r>
      <w:r>
        <w:rPr>
          <w:rFonts w:ascii="仿宋_GB2312" w:hAnsi="仿宋_GB2312" w:eastAsia="仿宋_GB2312"/>
          <w:b/>
          <w:sz w:val="32"/>
        </w:rPr>
        <w:t>人员经费241.67万元，</w:t>
      </w:r>
      <w:r>
        <w:rPr>
          <w:rFonts w:ascii="仿宋_GB2312" w:hAnsi="仿宋_GB2312" w:eastAsia="仿宋_GB2312"/>
          <w:b w:val="0"/>
          <w:sz w:val="32"/>
        </w:rPr>
        <w:t>包括：基本工资、津贴补贴、绩效工资、机关事业单位基本养老保险缴费、职工基本医疗保险缴费、其他社会保障缴费、住房公积金、其他工资福利支出、退休费、奖励金。</w:t>
      </w:r>
    </w:p>
    <w:p w14:paraId="72D4776D">
      <w:pPr>
        <w:spacing w:line="580" w:lineRule="exact"/>
        <w:ind w:firstLine="640"/>
        <w:jc w:val="both"/>
      </w:pPr>
      <w:r>
        <w:rPr>
          <w:rFonts w:ascii="仿宋_GB2312" w:hAnsi="仿宋_GB2312" w:eastAsia="仿宋_GB2312"/>
          <w:b/>
          <w:sz w:val="32"/>
        </w:rPr>
        <w:t>公用经费11.80万元，</w:t>
      </w:r>
      <w:r>
        <w:rPr>
          <w:rFonts w:ascii="仿宋_GB2312" w:hAnsi="仿宋_GB2312" w:eastAsia="仿宋_GB2312"/>
          <w:b w:val="0"/>
          <w:sz w:val="32"/>
        </w:rPr>
        <w:t>包括：办公费、水费、电费、差旅费、工会经费、福利费、公务用车运行维护费。</w:t>
      </w:r>
    </w:p>
    <w:p w14:paraId="67ABC707">
      <w:pPr>
        <w:spacing w:line="640" w:lineRule="exact"/>
        <w:ind w:firstLine="640"/>
        <w:jc w:val="both"/>
        <w:outlineLvl w:val="2"/>
      </w:pPr>
      <w:r>
        <w:rPr>
          <w:rFonts w:ascii="黑体" w:hAnsi="黑体" w:eastAsia="黑体"/>
          <w:sz w:val="32"/>
        </w:rPr>
        <w:t>七、政府性基金预算财政拨款收入支出决算情况说明</w:t>
      </w:r>
    </w:p>
    <w:p w14:paraId="19AA713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FE2F3CD">
      <w:pPr>
        <w:spacing w:line="640" w:lineRule="exact"/>
        <w:ind w:firstLine="640"/>
        <w:jc w:val="both"/>
        <w:outlineLvl w:val="2"/>
      </w:pPr>
      <w:r>
        <w:rPr>
          <w:rFonts w:ascii="黑体" w:hAnsi="黑体" w:eastAsia="黑体"/>
          <w:sz w:val="32"/>
        </w:rPr>
        <w:t>八、国有资本经营预算财政拨款收入支出决算情况说明</w:t>
      </w:r>
    </w:p>
    <w:p w14:paraId="34913B6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756716B">
      <w:pPr>
        <w:spacing w:line="640" w:lineRule="exact"/>
        <w:ind w:firstLine="640"/>
        <w:jc w:val="both"/>
        <w:outlineLvl w:val="2"/>
      </w:pPr>
      <w:r>
        <w:rPr>
          <w:rFonts w:ascii="黑体" w:hAnsi="黑体" w:eastAsia="黑体"/>
          <w:sz w:val="32"/>
        </w:rPr>
        <w:t>九、财政拨款“三公”经费支出决算情况说明</w:t>
      </w:r>
    </w:p>
    <w:p w14:paraId="422446B7">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2.00万元，占100.00%，比上年增加0.00万元，增长0.00%，主要原因是：本单位“三公”经费与上年一致无变化。公务接待费支出0.00万元，占0.00%，比上年增加0.00万元，增长0.00%，主要原因是：2023年与2024年均未安排公务接待费支出。</w:t>
      </w:r>
    </w:p>
    <w:p w14:paraId="6DD5187A">
      <w:pPr>
        <w:spacing w:line="580" w:lineRule="exact"/>
        <w:ind w:firstLine="640"/>
        <w:jc w:val="both"/>
      </w:pPr>
      <w:r>
        <w:rPr>
          <w:rFonts w:ascii="仿宋_GB2312" w:hAnsi="仿宋_GB2312" w:eastAsia="仿宋_GB2312"/>
          <w:b/>
          <w:sz w:val="32"/>
        </w:rPr>
        <w:t>具体情况如下：</w:t>
      </w:r>
    </w:p>
    <w:p w14:paraId="55D6377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BEE3B44">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793DD7D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A63E10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2DA1B181">
      <w:pPr>
        <w:spacing w:line="640" w:lineRule="exact"/>
        <w:ind w:firstLine="640"/>
        <w:jc w:val="both"/>
        <w:outlineLvl w:val="2"/>
      </w:pPr>
      <w:r>
        <w:rPr>
          <w:rFonts w:ascii="黑体" w:hAnsi="黑体" w:eastAsia="黑体"/>
          <w:sz w:val="32"/>
        </w:rPr>
        <w:t>十、其他重要事项的情况说明</w:t>
      </w:r>
    </w:p>
    <w:p w14:paraId="09238A86">
      <w:pPr>
        <w:spacing w:line="640" w:lineRule="exact"/>
        <w:ind w:firstLine="640"/>
        <w:jc w:val="both"/>
        <w:outlineLvl w:val="3"/>
      </w:pPr>
      <w:r>
        <w:rPr>
          <w:rFonts w:ascii="楷体_GB2312" w:hAnsi="楷体_GB2312" w:eastAsia="楷体_GB2312"/>
          <w:b/>
          <w:sz w:val="32"/>
        </w:rPr>
        <w:t>（一）机关运行经费及公用经费支出情况</w:t>
      </w:r>
    </w:p>
    <w:p w14:paraId="0830BFCC">
      <w:pPr>
        <w:spacing w:line="580" w:lineRule="exact"/>
        <w:ind w:firstLine="640"/>
        <w:jc w:val="both"/>
      </w:pPr>
      <w:r>
        <w:rPr>
          <w:rFonts w:ascii="仿宋_GB2312" w:hAnsi="仿宋_GB2312" w:eastAsia="仿宋_GB2312"/>
          <w:b w:val="0"/>
          <w:sz w:val="32"/>
        </w:rPr>
        <w:t>2024年度和田地区教师培训服务中心（事业单位）公用经费支出11.80万元，比上年减少11.15万元，下降48.58%，主要原因是：本年业务量减少，办公费及电费减少，导致公用经费比上年减少。</w:t>
      </w:r>
    </w:p>
    <w:p w14:paraId="6376ADFD">
      <w:pPr>
        <w:spacing w:line="640" w:lineRule="exact"/>
        <w:ind w:firstLine="640"/>
        <w:jc w:val="both"/>
        <w:outlineLvl w:val="3"/>
      </w:pPr>
      <w:r>
        <w:rPr>
          <w:rFonts w:ascii="楷体_GB2312" w:hAnsi="楷体_GB2312" w:eastAsia="楷体_GB2312"/>
          <w:b/>
          <w:sz w:val="32"/>
        </w:rPr>
        <w:t>（二）政府采购情况</w:t>
      </w:r>
    </w:p>
    <w:p w14:paraId="7A02E76B">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14E38F2F">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0C0E6304">
      <w:pPr>
        <w:spacing w:line="640" w:lineRule="exact"/>
        <w:ind w:firstLine="640"/>
        <w:jc w:val="both"/>
        <w:outlineLvl w:val="3"/>
      </w:pPr>
      <w:r>
        <w:rPr>
          <w:rFonts w:ascii="楷体_GB2312" w:hAnsi="楷体_GB2312" w:eastAsia="楷体_GB2312"/>
          <w:b/>
          <w:sz w:val="32"/>
        </w:rPr>
        <w:t>（三）国有资产占用情况说明</w:t>
      </w:r>
    </w:p>
    <w:p w14:paraId="316494CB">
      <w:pPr>
        <w:spacing w:line="580" w:lineRule="exact"/>
        <w:ind w:firstLine="640"/>
        <w:jc w:val="both"/>
      </w:pPr>
      <w:r>
        <w:rPr>
          <w:rFonts w:ascii="仿宋_GB2312" w:hAnsi="仿宋_GB2312" w:eastAsia="仿宋_GB2312"/>
          <w:b w:val="0"/>
          <w:sz w:val="32"/>
        </w:rPr>
        <w:t>截至2024年12月31日，房屋0.00平方米，价值0.00万元。车辆1辆，价值13.38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4118CDAC">
      <w:pPr>
        <w:spacing w:line="640" w:lineRule="exact"/>
        <w:ind w:firstLine="640"/>
        <w:jc w:val="both"/>
        <w:outlineLvl w:val="2"/>
      </w:pPr>
      <w:r>
        <w:rPr>
          <w:rFonts w:ascii="黑体" w:hAnsi="黑体" w:eastAsia="黑体"/>
          <w:sz w:val="32"/>
        </w:rPr>
        <w:t>十一、预算绩效的情况说明</w:t>
      </w:r>
    </w:p>
    <w:p w14:paraId="045C0E7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373.40万元，实际执行总额320.74万元；预算绩效评价项目1个，全年预算数30.00万元，全年执行数29.50万元。预算绩效管理取得的成效：一是和田地区教师培训中心全面贯彻习近平新时代中国特色社会主义思想和党的二十大精神，深入贯彻习近平总书记关于教育的重要论述，贯彻落实习近平总书记在听取自治区和兵团工作汇报时的重要讲话精神，完整准确全面贯彻新时代党的治疆方略，贯彻落实自治区党委十届七次、八次、九次全会和自治区、地区教育高质量发展大会的部署要求，以推进和田教育高质量发展为主题，以铸牢中华民族共同体意识为主线，促进教育事业呈现出积极向好的发展态势。二是全地区中小学校的国家认同感、国通语水平和教育教学质量明显提升。发现的问题及原因：一是预算执行力度有待加强。预算编制的合理性需要提高，预算执行力度还要进一步加强。二是公用经费控制有一定难度，基本为刚性支出。三是“三公”经费的管理有待加强，合理压缩“三公”经费支出。四是绩效评价指标体系有待完善。下一步改进措施：一是细化预算编制工作，认真做好预算的编制。进一步加强单位的预算管理意识，严格按照预算编制的相关制度和要求进行预算编制，进一步提高预算编制的科学性、严谨性和可控性。二是加强财务管理，严格财务审核。加强单位财务管理，健全单位财务管理制度体系，规范单位财务行为。在费用报账支付时，按照预算规定的费用项目和用途进行资金使用审核、列报支付、财务核算，杜绝超支现象的发生。三是扎好“三公”经费控制。严格控制“三公”经费的规模和比例，把关“三公”经费支出的审核、审批，杜绝挪用和挤占其他预算资金行为；进一步细化“三公”经费的管理，合理压缩“三公”经费支出。四是科学执行绩效预算管理制度。进一步优化绩效评价指标体系，加强对绩效评价结果的运用，逐步建立以绩效为导向的预算编制模式，把绩效考评的结果作为编制部门预算的重要依据。具体附整体支出绩效自评表，项目支出绩效自评表和评价报告。</w:t>
      </w:r>
    </w:p>
    <w:p w14:paraId="13F15CF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749314">
        <w:tblPrEx>
          <w:tblCellMar>
            <w:top w:w="0" w:type="dxa"/>
            <w:left w:w="108" w:type="dxa"/>
            <w:bottom w:w="0" w:type="dxa"/>
            <w:right w:w="108" w:type="dxa"/>
          </w:tblCellMar>
        </w:tblPrEx>
        <w:tc>
          <w:tcPr>
            <w:tcW w:w="8847" w:type="dxa"/>
            <w:gridSpan w:val="9"/>
            <w:vAlign w:val="center"/>
          </w:tcPr>
          <w:p w14:paraId="0F022CE5">
            <w:pPr>
              <w:jc w:val="center"/>
            </w:pPr>
            <w:r>
              <w:rPr>
                <w:rFonts w:ascii="宋体" w:hAnsi="宋体" w:eastAsia="宋体"/>
                <w:sz w:val="24"/>
              </w:rPr>
              <w:t>单位整体支出绩效自评表</w:t>
            </w:r>
          </w:p>
        </w:tc>
      </w:tr>
      <w:tr w14:paraId="1AD00699">
        <w:tblPrEx>
          <w:tblCellMar>
            <w:top w:w="0" w:type="dxa"/>
            <w:left w:w="108" w:type="dxa"/>
            <w:bottom w:w="0" w:type="dxa"/>
            <w:right w:w="108" w:type="dxa"/>
          </w:tblCellMar>
        </w:tblPrEx>
        <w:tc>
          <w:tcPr>
            <w:tcW w:w="8847" w:type="dxa"/>
            <w:gridSpan w:val="9"/>
            <w:vAlign w:val="center"/>
          </w:tcPr>
          <w:p w14:paraId="16DE63D2">
            <w:pPr>
              <w:jc w:val="center"/>
            </w:pPr>
            <w:r>
              <w:rPr>
                <w:rFonts w:ascii="宋体" w:hAnsi="宋体" w:eastAsia="宋体"/>
                <w:sz w:val="24"/>
              </w:rPr>
              <w:t>（2024年度）</w:t>
            </w:r>
          </w:p>
        </w:tc>
      </w:tr>
      <w:tr w14:paraId="1B9288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60F1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9FD118">
            <w:pPr>
              <w:jc w:val="center"/>
            </w:pPr>
            <w:r>
              <w:rPr>
                <w:rFonts w:ascii="宋体" w:hAnsi="宋体" w:eastAsia="宋体"/>
                <w:sz w:val="16"/>
              </w:rPr>
              <w:t>和田地区教师培训服务中心</w:t>
            </w:r>
          </w:p>
        </w:tc>
      </w:tr>
      <w:tr w14:paraId="1F6DD5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8E6A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60C7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97EA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09C8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F452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E9D0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FFA9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7D0B0">
            <w:pPr>
              <w:jc w:val="center"/>
            </w:pPr>
            <w:r>
              <w:rPr>
                <w:rFonts w:ascii="宋体" w:hAnsi="宋体" w:eastAsia="宋体"/>
                <w:sz w:val="16"/>
              </w:rPr>
              <w:t>得分</w:t>
            </w:r>
          </w:p>
        </w:tc>
      </w:tr>
      <w:tr w14:paraId="75E057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7B04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DB8B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A98F0">
            <w:pPr>
              <w:jc w:val="center"/>
            </w:pPr>
            <w:r>
              <w:rPr>
                <w:rFonts w:ascii="宋体" w:hAnsi="宋体" w:eastAsia="宋体"/>
                <w:sz w:val="16"/>
              </w:rPr>
              <w:t>342.45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CFA95">
            <w:pPr>
              <w:jc w:val="center"/>
            </w:pPr>
            <w:r>
              <w:rPr>
                <w:rFonts w:ascii="宋体" w:hAnsi="宋体" w:eastAsia="宋体"/>
                <w:sz w:val="16"/>
              </w:rPr>
              <w:t>373.40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A7B49">
            <w:pPr>
              <w:jc w:val="center"/>
            </w:pPr>
            <w:r>
              <w:rPr>
                <w:rFonts w:ascii="宋体" w:hAnsi="宋体" w:eastAsia="宋体"/>
                <w:sz w:val="16"/>
              </w:rPr>
              <w:t>320.74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5A1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82590">
            <w:pPr>
              <w:jc w:val="center"/>
            </w:pPr>
            <w:r>
              <w:rPr>
                <w:rFonts w:ascii="宋体" w:hAnsi="宋体" w:eastAsia="宋体"/>
                <w:sz w:val="16"/>
              </w:rPr>
              <w:t>85.90%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71505">
            <w:pPr>
              <w:jc w:val="center"/>
            </w:pPr>
            <w:r>
              <w:rPr>
                <w:rFonts w:ascii="宋体" w:hAnsi="宋体" w:eastAsia="宋体"/>
                <w:sz w:val="16"/>
              </w:rPr>
              <w:t>8.59</w:t>
            </w:r>
          </w:p>
        </w:tc>
      </w:tr>
      <w:tr w14:paraId="47F117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93D3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655B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BED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5F0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373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93C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EA6A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7A59F">
            <w:pPr>
              <w:jc w:val="center"/>
            </w:pPr>
            <w:r>
              <w:rPr>
                <w:rFonts w:ascii="宋体" w:hAnsi="宋体" w:eastAsia="宋体"/>
                <w:sz w:val="16"/>
              </w:rPr>
              <w:t>—</w:t>
            </w:r>
          </w:p>
        </w:tc>
      </w:tr>
      <w:tr w14:paraId="43CDF6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EF0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03A4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7F1B4">
            <w:pPr>
              <w:jc w:val="center"/>
            </w:pPr>
            <w:r>
              <w:rPr>
                <w:rFonts w:ascii="宋体" w:hAnsi="宋体" w:eastAsia="宋体"/>
                <w:sz w:val="16"/>
              </w:rPr>
              <w:t>275.35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E87A3">
            <w:pPr>
              <w:jc w:val="center"/>
            </w:pPr>
            <w:r>
              <w:rPr>
                <w:rFonts w:ascii="宋体" w:hAnsi="宋体" w:eastAsia="宋体"/>
                <w:sz w:val="16"/>
              </w:rPr>
              <w:t>373.40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5967B">
            <w:pPr>
              <w:jc w:val="center"/>
            </w:pPr>
            <w:r>
              <w:rPr>
                <w:rFonts w:ascii="宋体" w:hAnsi="宋体" w:eastAsia="宋体"/>
                <w:sz w:val="16"/>
              </w:rPr>
              <w:t>320.74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8DC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6B40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8588F">
            <w:pPr>
              <w:jc w:val="center"/>
            </w:pPr>
            <w:r>
              <w:rPr>
                <w:rFonts w:ascii="宋体" w:hAnsi="宋体" w:eastAsia="宋体"/>
                <w:sz w:val="16"/>
              </w:rPr>
              <w:t>—</w:t>
            </w:r>
          </w:p>
        </w:tc>
      </w:tr>
      <w:tr w14:paraId="71F19D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108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176D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ABB51">
            <w:pPr>
              <w:jc w:val="center"/>
            </w:pPr>
            <w:r>
              <w:rPr>
                <w:rFonts w:ascii="宋体" w:hAnsi="宋体" w:eastAsia="宋体"/>
                <w:sz w:val="16"/>
              </w:rPr>
              <w:t>67.10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E09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E18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77E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1504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CA246">
            <w:pPr>
              <w:jc w:val="center"/>
            </w:pPr>
            <w:r>
              <w:rPr>
                <w:rFonts w:ascii="宋体" w:hAnsi="宋体" w:eastAsia="宋体"/>
                <w:sz w:val="16"/>
              </w:rPr>
              <w:t>—</w:t>
            </w:r>
          </w:p>
        </w:tc>
      </w:tr>
      <w:tr w14:paraId="0B904E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0182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6E573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05D9C9">
            <w:pPr>
              <w:jc w:val="center"/>
            </w:pPr>
            <w:r>
              <w:rPr>
                <w:rFonts w:ascii="宋体" w:hAnsi="宋体" w:eastAsia="宋体"/>
                <w:sz w:val="16"/>
              </w:rPr>
              <w:t>实际完成目标</w:t>
            </w:r>
          </w:p>
        </w:tc>
      </w:tr>
      <w:tr w14:paraId="2E1BD9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1686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BEC9B2">
            <w:pPr>
              <w:keepNext w:val="0"/>
              <w:keepLines w:val="0"/>
              <w:pageBreakBefore w:val="0"/>
              <w:widowControl w:val="0"/>
              <w:kinsoku/>
              <w:wordWrap/>
              <w:overflowPunct/>
              <w:topLinePunct w:val="0"/>
              <w:autoSpaceDE/>
              <w:autoSpaceDN/>
              <w:bidi w:val="0"/>
              <w:adjustRightInd/>
              <w:snapToGrid/>
              <w:spacing w:line="180" w:lineRule="exact"/>
              <w:jc w:val="both"/>
              <w:textAlignment w:val="auto"/>
            </w:pPr>
            <w:r>
              <w:rPr>
                <w:rFonts w:hint="eastAsia" w:ascii="仿宋" w:hAnsi="仿宋" w:eastAsia="仿宋" w:cs="仿宋"/>
                <w:sz w:val="15"/>
                <w:szCs w:val="22"/>
              </w:rPr>
              <w:t>目标1.确保单位在职的全体教职工9人工资发放、五险一金及时缴纳、保障公务用车正常运行以及教职工正常工作学习。</w:t>
            </w:r>
            <w:r>
              <w:rPr>
                <w:rFonts w:hint="eastAsia" w:ascii="仿宋" w:hAnsi="仿宋" w:eastAsia="仿宋" w:cs="仿宋"/>
                <w:sz w:val="15"/>
                <w:szCs w:val="22"/>
              </w:rPr>
              <w:br w:type="textWrapping"/>
            </w:r>
            <w:r>
              <w:rPr>
                <w:rFonts w:hint="eastAsia" w:ascii="仿宋" w:hAnsi="仿宋" w:eastAsia="仿宋" w:cs="仿宋"/>
                <w:sz w:val="15"/>
                <w:szCs w:val="22"/>
              </w:rPr>
              <w:t>目标2：加大教师培训培养力度，完善教师培训管理考核制度，促进提升全地区教师专业能力，加快教师队伍发展，结合教师能力发展状况，统筹“国培”“区培”“援疆”项目开展多层次、多维度开展教师培训，提高培训质效，培养学科骨干教师队伍。 目标3：通过培训引导教师树立报国理想、培养家国情怀，推动教师成为先进思想文化的传播者、党执政的坚定支持者、学生健康成长的指导者，增强职业信仰，坚定从教信念，提高师德修养。</w:t>
            </w:r>
            <w:r>
              <w:rPr>
                <w:rFonts w:hint="eastAsia" w:ascii="仿宋" w:hAnsi="仿宋" w:eastAsia="仿宋" w:cs="仿宋"/>
                <w:sz w:val="15"/>
                <w:szCs w:val="22"/>
              </w:rPr>
              <w:br w:type="textWrapping"/>
            </w:r>
            <w:r>
              <w:rPr>
                <w:rFonts w:hint="eastAsia" w:ascii="仿宋" w:hAnsi="仿宋" w:eastAsia="仿宋" w:cs="仿宋"/>
                <w:sz w:val="15"/>
                <w:szCs w:val="22"/>
              </w:rPr>
              <w:t>目标4：通过培训更新教师教育教学理念，拓宽知识视野，丰富教学技能，规范教学行为，提高课堂教育教学能力，满足教师专业化发展个性化、多元化的需求，不断提升教师国家通用语言文字教学水平和学科专业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03DACF">
            <w:pPr>
              <w:jc w:val="both"/>
            </w:pPr>
            <w:r>
              <w:rPr>
                <w:rFonts w:hint="eastAsia" w:ascii="宋体" w:hAnsi="宋体"/>
                <w:sz w:val="16"/>
                <w:lang w:eastAsia="zh-CN"/>
              </w:rPr>
              <w:t>截至</w:t>
            </w:r>
            <w:r>
              <w:rPr>
                <w:rFonts w:ascii="宋体" w:hAnsi="宋体" w:eastAsia="宋体"/>
                <w:sz w:val="16"/>
              </w:rPr>
              <w:t>2024年12月31日，本单位已完成单位在职的全体教职工9人工资发放、五险一金及时缴纳、保障公务用车正常运行以及教职工正常工作学习，参加培训教师达到2000人次，每期培训天数5天等任务。本项目实际形成支出320.74万元，通过完成以上工作，实现了拓宽知识视野，丰富教学技能，规范教学行为，提高课堂教育教学能力，满足教师专业化发展个性化、多元化的需求，不断提升教师国家通用语言文字教学水平和学科专业水平的效益，受益参加培训学员满意度达到95%。</w:t>
            </w:r>
          </w:p>
        </w:tc>
      </w:tr>
      <w:tr w14:paraId="09E45E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4EB1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8045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EFF2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C214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CD33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31AB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9C4B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F1DC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73588">
            <w:pPr>
              <w:jc w:val="center"/>
            </w:pPr>
            <w:r>
              <w:rPr>
                <w:rFonts w:ascii="宋体" w:hAnsi="宋体" w:eastAsia="宋体"/>
                <w:sz w:val="16"/>
              </w:rPr>
              <w:t>得分</w:t>
            </w:r>
          </w:p>
        </w:tc>
      </w:tr>
      <w:tr w14:paraId="45FCA0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9D177">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2FD7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87EA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980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D8B6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0"/>
                <w:szCs w:val="18"/>
              </w:rPr>
              <w:t>《关于加强“三公”经费管理严控一般性支出的通知》财预（2022）126号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C2F1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E55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E6EE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E540F">
            <w:pPr>
              <w:jc w:val="center"/>
            </w:pPr>
            <w:r>
              <w:rPr>
                <w:rFonts w:ascii="宋体" w:hAnsi="宋体" w:eastAsia="宋体"/>
                <w:sz w:val="16"/>
              </w:rPr>
              <w:t>15</w:t>
            </w:r>
          </w:p>
        </w:tc>
      </w:tr>
      <w:tr w14:paraId="307826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CD154">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EA7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61EC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业务流程提升率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A6F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4810F">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AEB2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9C5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5ECF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6D42A">
            <w:pPr>
              <w:jc w:val="center"/>
            </w:pPr>
            <w:r>
              <w:rPr>
                <w:rFonts w:ascii="宋体" w:hAnsi="宋体" w:eastAsia="宋体"/>
                <w:sz w:val="16"/>
              </w:rPr>
              <w:t>15</w:t>
            </w:r>
          </w:p>
        </w:tc>
      </w:tr>
      <w:tr w14:paraId="081F8B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DCD40">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3588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00F7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5"/>
                <w:szCs w:val="22"/>
              </w:rPr>
              <w:t>参加培训教师水平平均提升率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387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D69E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5D13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C48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99BB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88513">
            <w:pPr>
              <w:jc w:val="center"/>
            </w:pPr>
            <w:r>
              <w:rPr>
                <w:rFonts w:ascii="宋体" w:hAnsi="宋体" w:eastAsia="宋体"/>
                <w:sz w:val="16"/>
              </w:rPr>
              <w:t>15</w:t>
            </w:r>
          </w:p>
        </w:tc>
      </w:tr>
      <w:tr w14:paraId="243FA281">
        <w:tblPrEx>
          <w:tblCellMar>
            <w:top w:w="0" w:type="dxa"/>
            <w:left w:w="108" w:type="dxa"/>
            <w:bottom w:w="0" w:type="dxa"/>
            <w:right w:w="108" w:type="dxa"/>
          </w:tblCellMar>
        </w:tblPrEx>
        <w:trPr>
          <w:trHeight w:val="23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A5B7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E4F8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F3A4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人员考核合格率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9DEFE">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9F6A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66A1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D7628">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3CAD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0ACA9">
            <w:pPr>
              <w:jc w:val="center"/>
            </w:pPr>
            <w:r>
              <w:rPr>
                <w:rFonts w:ascii="宋体" w:hAnsi="宋体" w:eastAsia="宋体"/>
                <w:sz w:val="16"/>
              </w:rPr>
              <w:t>15</w:t>
            </w:r>
          </w:p>
        </w:tc>
      </w:tr>
      <w:tr w14:paraId="6D357A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DDB9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607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5C1DA">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参训培训教师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03E28">
            <w:pPr>
              <w:jc w:val="center"/>
            </w:pPr>
            <w:r>
              <w:rPr>
                <w:rFonts w:ascii="宋体" w:hAnsi="宋体" w:eastAsia="宋体"/>
                <w:sz w:val="16"/>
              </w:rPr>
              <w:t>≥2000人次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61B18">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57D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31F1B">
            <w:pPr>
              <w:jc w:val="center"/>
            </w:pPr>
            <w:r>
              <w:rPr>
                <w:rFonts w:ascii="宋体" w:hAnsi="宋体" w:eastAsia="宋体"/>
                <w:sz w:val="16"/>
              </w:rPr>
              <w:t>2000人次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AD6E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88A65">
            <w:pPr>
              <w:jc w:val="center"/>
            </w:pPr>
            <w:r>
              <w:rPr>
                <w:rFonts w:ascii="宋体" w:hAnsi="宋体" w:eastAsia="宋体"/>
                <w:sz w:val="16"/>
              </w:rPr>
              <w:t>10</w:t>
            </w:r>
          </w:p>
        </w:tc>
      </w:tr>
      <w:tr w14:paraId="1BC14B3A">
        <w:tblPrEx>
          <w:tblCellMar>
            <w:top w:w="0" w:type="dxa"/>
            <w:left w:w="108" w:type="dxa"/>
            <w:bottom w:w="0" w:type="dxa"/>
            <w:right w:w="108" w:type="dxa"/>
          </w:tblCellMar>
        </w:tblPrEx>
        <w:trPr>
          <w:trHeight w:val="32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B825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A91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0E662">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每期培训天数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1400F">
            <w:pPr>
              <w:jc w:val="center"/>
            </w:pPr>
            <w:r>
              <w:rPr>
                <w:rFonts w:ascii="宋体" w:hAnsi="宋体" w:eastAsia="宋体"/>
                <w:sz w:val="16"/>
              </w:rPr>
              <w:t>≥5天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52EC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CD3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F7E41">
            <w:pPr>
              <w:jc w:val="center"/>
            </w:pPr>
            <w:r>
              <w:rPr>
                <w:rFonts w:ascii="宋体" w:hAnsi="宋体" w:eastAsia="宋体"/>
                <w:sz w:val="16"/>
              </w:rPr>
              <w:t>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3E7C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EF0C2">
            <w:pPr>
              <w:jc w:val="center"/>
            </w:pPr>
            <w:r>
              <w:rPr>
                <w:rFonts w:ascii="宋体" w:hAnsi="宋体" w:eastAsia="宋体"/>
                <w:sz w:val="16"/>
              </w:rPr>
              <w:t>10</w:t>
            </w:r>
          </w:p>
        </w:tc>
      </w:tr>
      <w:tr w14:paraId="4011C2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60EFE">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8A8D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C0D5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参加培训学员满意度（%）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C305D">
            <w:pPr>
              <w:jc w:val="center"/>
            </w:pPr>
            <w:r>
              <w:rPr>
                <w:rFonts w:ascii="宋体" w:hAnsi="宋体" w:eastAsia="宋体"/>
                <w:sz w:val="16"/>
              </w:rPr>
              <w:t>≥</w:t>
            </w:r>
            <w:bookmarkStart w:id="0" w:name="_GoBack"/>
            <w:bookmarkEnd w:id="0"/>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B427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363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1F3E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568E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E028C">
            <w:pPr>
              <w:jc w:val="center"/>
            </w:pPr>
            <w:r>
              <w:rPr>
                <w:rFonts w:ascii="宋体" w:hAnsi="宋体" w:eastAsia="宋体"/>
                <w:sz w:val="16"/>
              </w:rPr>
              <w:t>10</w:t>
            </w:r>
          </w:p>
        </w:tc>
      </w:tr>
    </w:tbl>
    <w:p w14:paraId="01C7250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D1EC991">
        <w:tblPrEx>
          <w:tblCellMar>
            <w:top w:w="0" w:type="dxa"/>
            <w:left w:w="108" w:type="dxa"/>
            <w:bottom w:w="0" w:type="dxa"/>
            <w:right w:w="108" w:type="dxa"/>
          </w:tblCellMar>
        </w:tblPrEx>
        <w:tc>
          <w:tcPr>
            <w:tcW w:w="8847" w:type="dxa"/>
            <w:gridSpan w:val="9"/>
            <w:vAlign w:val="center"/>
          </w:tcPr>
          <w:p w14:paraId="018F06E7">
            <w:pPr>
              <w:jc w:val="center"/>
            </w:pPr>
            <w:r>
              <w:rPr>
                <w:rFonts w:ascii="宋体" w:hAnsi="宋体" w:eastAsia="宋体"/>
                <w:sz w:val="24"/>
              </w:rPr>
              <w:t>项目支出绩效自评表</w:t>
            </w:r>
          </w:p>
        </w:tc>
      </w:tr>
      <w:tr w14:paraId="16ED069C">
        <w:tblPrEx>
          <w:tblCellMar>
            <w:top w:w="0" w:type="dxa"/>
            <w:left w:w="108" w:type="dxa"/>
            <w:bottom w:w="0" w:type="dxa"/>
            <w:right w:w="108" w:type="dxa"/>
          </w:tblCellMar>
        </w:tblPrEx>
        <w:tc>
          <w:tcPr>
            <w:tcW w:w="8847" w:type="dxa"/>
            <w:gridSpan w:val="9"/>
            <w:vAlign w:val="center"/>
          </w:tcPr>
          <w:p w14:paraId="1292589C">
            <w:pPr>
              <w:jc w:val="center"/>
            </w:pPr>
            <w:r>
              <w:rPr>
                <w:rFonts w:ascii="宋体" w:hAnsi="宋体" w:eastAsia="宋体"/>
                <w:sz w:val="24"/>
              </w:rPr>
              <w:t>(2024年度)</w:t>
            </w:r>
          </w:p>
        </w:tc>
      </w:tr>
      <w:tr w14:paraId="7E887F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2D76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98D7707">
            <w:pPr>
              <w:jc w:val="center"/>
            </w:pPr>
            <w:r>
              <w:rPr>
                <w:rFonts w:ascii="宋体" w:hAnsi="宋体" w:eastAsia="宋体"/>
                <w:sz w:val="16"/>
              </w:rPr>
              <w:t>和田地区中小学和幼儿园教师继续教育培训项目</w:t>
            </w:r>
          </w:p>
        </w:tc>
      </w:tr>
      <w:tr w14:paraId="1AB5A1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48FA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FD2D22">
            <w:pPr>
              <w:jc w:val="center"/>
            </w:pPr>
            <w:r>
              <w:rPr>
                <w:rFonts w:ascii="宋体" w:hAnsi="宋体" w:eastAsia="宋体"/>
                <w:sz w:val="16"/>
              </w:rPr>
              <w:t>和田地区教师培训服务中心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B104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575FDC">
            <w:pPr>
              <w:jc w:val="center"/>
            </w:pPr>
            <w:r>
              <w:rPr>
                <w:rFonts w:ascii="宋体" w:hAnsi="宋体" w:eastAsia="宋体"/>
                <w:sz w:val="16"/>
              </w:rPr>
              <w:t>和田地区教师培训服务中心</w:t>
            </w:r>
          </w:p>
        </w:tc>
      </w:tr>
      <w:tr w14:paraId="69366806">
        <w:tblPrEx>
          <w:tblCellMar>
            <w:top w:w="0" w:type="dxa"/>
            <w:left w:w="108" w:type="dxa"/>
            <w:bottom w:w="0" w:type="dxa"/>
            <w:right w:w="108" w:type="dxa"/>
          </w:tblCellMar>
        </w:tblPrEx>
        <w:trPr>
          <w:trHeight w:val="389"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B121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DD63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7C38D">
            <w:pPr>
              <w:jc w:val="both"/>
              <w:rPr>
                <w:sz w:val="28"/>
                <w:szCs w:val="22"/>
              </w:rPr>
            </w:pPr>
            <w:r>
              <w:rPr>
                <w:rFonts w:ascii="宋体" w:hAnsi="宋体" w:eastAsia="宋体"/>
                <w:sz w:val="15"/>
                <w:szCs w:val="22"/>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51E37">
            <w:pPr>
              <w:jc w:val="center"/>
              <w:rPr>
                <w:sz w:val="28"/>
                <w:szCs w:val="22"/>
              </w:rPr>
            </w:pPr>
            <w:r>
              <w:rPr>
                <w:rFonts w:ascii="宋体" w:hAnsi="宋体" w:eastAsia="宋体"/>
                <w:sz w:val="15"/>
                <w:szCs w:val="22"/>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AC7D3">
            <w:pPr>
              <w:jc w:val="center"/>
              <w:rPr>
                <w:sz w:val="28"/>
                <w:szCs w:val="22"/>
              </w:rPr>
            </w:pPr>
            <w:r>
              <w:rPr>
                <w:rFonts w:ascii="宋体" w:hAnsi="宋体" w:eastAsia="宋体"/>
                <w:sz w:val="15"/>
                <w:szCs w:val="22"/>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3CC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5DE8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50E84">
            <w:pPr>
              <w:jc w:val="center"/>
            </w:pPr>
            <w:r>
              <w:rPr>
                <w:rFonts w:ascii="宋体" w:hAnsi="宋体" w:eastAsia="宋体"/>
                <w:sz w:val="16"/>
              </w:rPr>
              <w:t>得分</w:t>
            </w:r>
          </w:p>
        </w:tc>
      </w:tr>
      <w:tr w14:paraId="2ECD8B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ECA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8BCF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C5FA9">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D262A">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3B200">
            <w:pPr>
              <w:jc w:val="center"/>
            </w:pPr>
            <w:r>
              <w:rPr>
                <w:rFonts w:ascii="宋体" w:hAnsi="宋体" w:eastAsia="宋体"/>
                <w:sz w:val="16"/>
              </w:rPr>
              <w:t>29.50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023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0BBDF">
            <w:pPr>
              <w:jc w:val="center"/>
            </w:pPr>
            <w:r>
              <w:rPr>
                <w:rFonts w:ascii="宋体" w:hAnsi="宋体" w:eastAsia="宋体"/>
                <w:sz w:val="16"/>
              </w:rPr>
              <w:t xml:space="preserve">98.33%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0CF96">
            <w:pPr>
              <w:jc w:val="center"/>
            </w:pPr>
            <w:r>
              <w:rPr>
                <w:rFonts w:ascii="宋体" w:hAnsi="宋体" w:eastAsia="宋体"/>
                <w:sz w:val="16"/>
              </w:rPr>
              <w:t>10.00分</w:t>
            </w:r>
          </w:p>
        </w:tc>
      </w:tr>
      <w:tr w14:paraId="6DA5EB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592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E4F0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4AE44">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EEB3F">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28938">
            <w:pPr>
              <w:jc w:val="center"/>
            </w:pPr>
            <w:r>
              <w:rPr>
                <w:rFonts w:ascii="宋体" w:hAnsi="宋体" w:eastAsia="宋体"/>
                <w:sz w:val="16"/>
              </w:rPr>
              <w:t>29.50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D77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F02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4903C">
            <w:pPr>
              <w:jc w:val="center"/>
            </w:pPr>
            <w:r>
              <w:rPr>
                <w:rFonts w:ascii="宋体" w:hAnsi="宋体" w:eastAsia="宋体"/>
                <w:sz w:val="16"/>
              </w:rPr>
              <w:t>—</w:t>
            </w:r>
          </w:p>
        </w:tc>
      </w:tr>
      <w:tr w14:paraId="2D3513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8A6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C834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24C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2D3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EFA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BD3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AB0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974B9">
            <w:pPr>
              <w:jc w:val="center"/>
            </w:pPr>
            <w:r>
              <w:rPr>
                <w:rFonts w:ascii="宋体" w:hAnsi="宋体" w:eastAsia="宋体"/>
                <w:sz w:val="16"/>
              </w:rPr>
              <w:t>—</w:t>
            </w:r>
          </w:p>
        </w:tc>
      </w:tr>
      <w:tr w14:paraId="1B2EEA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CD0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2D14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43C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E80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5F7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8ED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DFA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FDEDD">
            <w:pPr>
              <w:jc w:val="center"/>
            </w:pPr>
            <w:r>
              <w:rPr>
                <w:rFonts w:ascii="宋体" w:hAnsi="宋体" w:eastAsia="宋体"/>
                <w:sz w:val="16"/>
              </w:rPr>
              <w:t>—</w:t>
            </w:r>
          </w:p>
        </w:tc>
      </w:tr>
      <w:tr w14:paraId="217620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C354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0E600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5A0209">
            <w:pPr>
              <w:jc w:val="center"/>
            </w:pPr>
            <w:r>
              <w:rPr>
                <w:rFonts w:ascii="宋体" w:hAnsi="宋体" w:eastAsia="宋体"/>
                <w:sz w:val="16"/>
              </w:rPr>
              <w:t>实际完成情况</w:t>
            </w:r>
          </w:p>
        </w:tc>
      </w:tr>
      <w:tr w14:paraId="1C1FE0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6D85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8DCEA1">
            <w:pPr>
              <w:keepNext w:val="0"/>
              <w:keepLines w:val="0"/>
              <w:pageBreakBefore w:val="0"/>
              <w:widowControl w:val="0"/>
              <w:kinsoku/>
              <w:wordWrap/>
              <w:overflowPunct/>
              <w:topLinePunct w:val="0"/>
              <w:autoSpaceDE/>
              <w:autoSpaceDN/>
              <w:bidi w:val="0"/>
              <w:adjustRightInd/>
              <w:snapToGrid/>
              <w:spacing w:line="180" w:lineRule="exact"/>
              <w:jc w:val="both"/>
              <w:textAlignment w:val="auto"/>
            </w:pPr>
            <w:r>
              <w:rPr>
                <w:rFonts w:ascii="宋体" w:hAnsi="宋体" w:eastAsia="宋体"/>
                <w:sz w:val="16"/>
              </w:rPr>
              <w:t>1.通过培训引导教师树立报国理想、培养家国情怀，推动教师成为先进思想文化的传播者、党执政的坚定支持者、学生健康成长的指导者，增强职业信仰，坚定从教信念，提高师德修养。2.通过培训更新教师教育教学理念，拓宽知识视野，丰富教学技能，规范教学行为，提高课堂教育教学能力，满足教师专业化发展个性化、多元化的需求，不断提升教师国家通用语言文字教学水平和学科专业水平。3.共计划培训2000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07F703">
            <w:pPr>
              <w:jc w:val="both"/>
            </w:pPr>
            <w:r>
              <w:rPr>
                <w:rFonts w:hint="eastAsia" w:ascii="宋体" w:hAnsi="宋体"/>
                <w:sz w:val="16"/>
                <w:lang w:eastAsia="zh-CN"/>
              </w:rPr>
              <w:t>截至</w:t>
            </w:r>
            <w:r>
              <w:rPr>
                <w:rFonts w:ascii="宋体" w:hAnsi="宋体" w:eastAsia="宋体"/>
                <w:sz w:val="16"/>
              </w:rPr>
              <w:t>2024年12月31日，本项目实际形成支出29.5万元，已完成培训人员2438人等任务，达到了推动教师成为先进思想文化的传播者、党执政的坚定支持者、学生健康成长的指导者，增强职业信仰，坚定从教信念，提高师德修养，不断提升教师国家通用语言文字教学水平和学科专业水平的效益，参训人员满意度达到95%。</w:t>
            </w:r>
          </w:p>
        </w:tc>
      </w:tr>
      <w:tr w14:paraId="55F927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6147A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B722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4941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C938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718C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21E7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1C25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1395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96658">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4"/>
                <w:szCs w:val="21"/>
              </w:rPr>
            </w:pPr>
            <w:r>
              <w:rPr>
                <w:rFonts w:ascii="宋体" w:hAnsi="宋体" w:eastAsia="宋体"/>
                <w:sz w:val="13"/>
                <w:szCs w:val="21"/>
              </w:rPr>
              <w:t>偏差原因分析及改进措施</w:t>
            </w:r>
          </w:p>
        </w:tc>
      </w:tr>
      <w:tr w14:paraId="66A81D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EB21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4876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9EC4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B816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参训培训教师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9D04E">
            <w:pPr>
              <w:jc w:val="center"/>
            </w:pPr>
            <w:r>
              <w:rPr>
                <w:rFonts w:ascii="宋体" w:hAnsi="宋体" w:eastAsia="宋体"/>
                <w:sz w:val="16"/>
              </w:rPr>
              <w: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73F6D">
            <w:pPr>
              <w:jc w:val="center"/>
            </w:pPr>
            <w:r>
              <w:rPr>
                <w:rFonts w:ascii="宋体" w:hAnsi="宋体" w:eastAsia="宋体"/>
                <w:sz w:val="16"/>
              </w:rPr>
              <w:t>=2438人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C37B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BD729">
            <w:pPr>
              <w:jc w:val="center"/>
            </w:pPr>
            <w:r>
              <w:rPr>
                <w:rFonts w:ascii="宋体" w:hAnsi="宋体" w:eastAsia="宋体"/>
                <w:sz w:val="16"/>
              </w:rPr>
              <w:t>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68948">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4"/>
                <w:szCs w:val="21"/>
              </w:rPr>
            </w:pPr>
            <w:r>
              <w:rPr>
                <w:rFonts w:ascii="宋体" w:hAnsi="宋体" w:eastAsia="宋体"/>
                <w:sz w:val="13"/>
                <w:szCs w:val="21"/>
              </w:rPr>
              <w:t>偏差原因：年初测算不精准导致偏差，改进措施：提高测算能力。</w:t>
            </w:r>
          </w:p>
        </w:tc>
      </w:tr>
      <w:tr w14:paraId="512B60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7D3D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972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A0C1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878B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培训天数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40557">
            <w:pPr>
              <w:jc w:val="center"/>
            </w:pPr>
            <w:r>
              <w:rPr>
                <w:rFonts w:ascii="宋体" w:hAnsi="宋体" w:eastAsia="宋体"/>
                <w:sz w:val="16"/>
              </w:rPr>
              <w:t>≥5天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F0F22">
            <w:pPr>
              <w:jc w:val="center"/>
            </w:pPr>
            <w:r>
              <w:rPr>
                <w:rFonts w:ascii="宋体" w:hAnsi="宋体" w:eastAsia="宋体"/>
                <w:sz w:val="16"/>
              </w:rPr>
              <w:t>=7天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CF6C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EC2C2">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F9072">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4"/>
                <w:szCs w:val="21"/>
              </w:rPr>
            </w:pPr>
            <w:r>
              <w:rPr>
                <w:rFonts w:ascii="宋体" w:hAnsi="宋体" w:eastAsia="宋体"/>
                <w:sz w:val="13"/>
                <w:szCs w:val="21"/>
              </w:rPr>
              <w:t>偏差原因：年初测算不精准导致偏差，改进措施：提高测算能力。</w:t>
            </w:r>
          </w:p>
        </w:tc>
      </w:tr>
      <w:tr w14:paraId="7A3C16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304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5BBD0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C3C0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A800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教师培训合格率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5B85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BED0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5B1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BCF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64E59">
            <w:pPr>
              <w:jc w:val="center"/>
              <w:rPr>
                <w:sz w:val="24"/>
                <w:szCs w:val="21"/>
              </w:rPr>
            </w:pPr>
          </w:p>
        </w:tc>
      </w:tr>
      <w:tr w14:paraId="3FDF5C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6A5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A23C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027A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5108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培训计划完成率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2C1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79A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47F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EDF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21CF9">
            <w:pPr>
              <w:jc w:val="center"/>
              <w:rPr>
                <w:sz w:val="24"/>
                <w:szCs w:val="21"/>
              </w:rPr>
            </w:pPr>
          </w:p>
        </w:tc>
      </w:tr>
      <w:tr w14:paraId="55D9AC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B0E6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A4D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F57A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1B7F6">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培训完成及时率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DA9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B3D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279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7B1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98E2B">
            <w:pPr>
              <w:jc w:val="center"/>
              <w:rPr>
                <w:sz w:val="24"/>
                <w:szCs w:val="21"/>
              </w:rPr>
            </w:pPr>
          </w:p>
        </w:tc>
      </w:tr>
      <w:tr w14:paraId="668631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B92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7761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598B1">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D15E9">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项目总金额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D70B7">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5921B">
            <w:pPr>
              <w:jc w:val="center"/>
            </w:pPr>
            <w:r>
              <w:rPr>
                <w:rFonts w:ascii="宋体" w:hAnsi="宋体" w:eastAsia="宋体"/>
                <w:sz w:val="16"/>
              </w:rPr>
              <w:t>=29.5万元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51C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10883">
            <w:pPr>
              <w:jc w:val="center"/>
            </w:pPr>
            <w:r>
              <w:rPr>
                <w:rFonts w:ascii="宋体" w:hAnsi="宋体" w:eastAsia="宋体"/>
                <w:sz w:val="16"/>
              </w:rPr>
              <w:t>19.16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1E344">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4"/>
                <w:szCs w:val="21"/>
              </w:rPr>
            </w:pPr>
            <w:r>
              <w:rPr>
                <w:rFonts w:ascii="宋体" w:hAnsi="宋体" w:eastAsia="宋体"/>
                <w:sz w:val="13"/>
                <w:szCs w:val="21"/>
              </w:rPr>
              <w:t>偏差原因：正在走支付审批流程，改进措施：待过会后及时支付。</w:t>
            </w:r>
          </w:p>
        </w:tc>
      </w:tr>
      <w:tr w14:paraId="7AAA82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20D3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590E8">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9B000">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15926">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8"/>
                <w:szCs w:val="22"/>
              </w:rPr>
            </w:pPr>
            <w:r>
              <w:rPr>
                <w:rFonts w:ascii="宋体" w:hAnsi="宋体" w:eastAsia="宋体"/>
                <w:sz w:val="15"/>
                <w:szCs w:val="22"/>
              </w:rPr>
              <w:t>教育教学质量提高情况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8AAC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144DC">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B79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9E3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3C598">
            <w:pPr>
              <w:jc w:val="center"/>
            </w:pPr>
          </w:p>
        </w:tc>
      </w:tr>
      <w:tr w14:paraId="00A673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799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9F26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530D3">
            <w:pPr>
              <w:keepNext w:val="0"/>
              <w:keepLines w:val="0"/>
              <w:pageBreakBefore w:val="0"/>
              <w:widowControl w:val="0"/>
              <w:kinsoku/>
              <w:wordWrap/>
              <w:overflowPunct/>
              <w:topLinePunct w:val="0"/>
              <w:autoSpaceDE/>
              <w:autoSpaceDN/>
              <w:bidi w:val="0"/>
              <w:adjustRightInd/>
              <w:snapToGrid/>
              <w:spacing w:line="18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1F700">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8"/>
                <w:szCs w:val="22"/>
              </w:rPr>
            </w:pPr>
            <w:r>
              <w:rPr>
                <w:rFonts w:ascii="宋体" w:hAnsi="宋体" w:eastAsia="宋体"/>
                <w:sz w:val="15"/>
                <w:szCs w:val="22"/>
              </w:rPr>
              <w:t>推动学校教育、教学、思政和管理的科学发展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6B103">
            <w:pPr>
              <w:jc w:val="center"/>
            </w:pPr>
            <w:r>
              <w:rPr>
                <w:rFonts w:ascii="宋体" w:hAnsi="宋体" w:eastAsia="宋体"/>
                <w:sz w:val="16"/>
              </w:rPr>
              <w:t>长期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BA0C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FE1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E63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8AA3D">
            <w:pPr>
              <w:jc w:val="center"/>
            </w:pPr>
          </w:p>
        </w:tc>
      </w:tr>
      <w:tr w14:paraId="0BE4B2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AD7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D2F1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4D7BD">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9F903">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参训人员满意度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4308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8946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0CA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0F6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7BD33">
            <w:pPr>
              <w:jc w:val="center"/>
            </w:pPr>
          </w:p>
        </w:tc>
      </w:tr>
      <w:tr w14:paraId="417EC5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0D33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19DC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69EF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D58ACE">
            <w:pPr>
              <w:jc w:val="center"/>
            </w:pPr>
            <w:r>
              <w:rPr>
                <w:rFonts w:ascii="宋体" w:hAnsi="宋体" w:eastAsia="宋体"/>
                <w:sz w:val="16"/>
              </w:rPr>
              <w:t>96.06分</w:t>
            </w:r>
          </w:p>
        </w:tc>
      </w:tr>
    </w:tbl>
    <w:p w14:paraId="6770253B">
      <w:r>
        <w:br w:type="page"/>
      </w:r>
    </w:p>
    <w:p w14:paraId="4CC5EB00">
      <w:pPr>
        <w:spacing w:line="640" w:lineRule="exact"/>
        <w:ind w:firstLine="640"/>
        <w:jc w:val="both"/>
        <w:outlineLvl w:val="2"/>
      </w:pPr>
      <w:r>
        <w:rPr>
          <w:rFonts w:ascii="黑体" w:hAnsi="黑体" w:eastAsia="黑体"/>
          <w:sz w:val="32"/>
        </w:rPr>
        <w:t>十二、其他需说明的事项</w:t>
      </w:r>
    </w:p>
    <w:p w14:paraId="0E6CA437">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064B6A8E">
      <w:r>
        <w:br w:type="page"/>
      </w:r>
    </w:p>
    <w:p w14:paraId="16384AB9">
      <w:pPr>
        <w:spacing w:line="240" w:lineRule="auto"/>
        <w:jc w:val="center"/>
        <w:outlineLvl w:val="1"/>
      </w:pPr>
      <w:r>
        <w:rPr>
          <w:rFonts w:ascii="黑体" w:hAnsi="黑体" w:eastAsia="黑体"/>
          <w:sz w:val="32"/>
        </w:rPr>
        <w:t>第三部分 专业名词解释</w:t>
      </w:r>
    </w:p>
    <w:p w14:paraId="02A0673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05EE3E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33FBD7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DD081C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B29757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4C4D49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4B74E9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E3659F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8152B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5523DB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141E89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35127C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A806B9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76DDC5">
      <w:pPr>
        <w:spacing w:line="240" w:lineRule="auto"/>
        <w:ind w:firstLine="640"/>
        <w:jc w:val="both"/>
        <w:rPr>
          <w:rFonts w:hint="eastAsia" w:eastAsia="仿宋_GB2312"/>
          <w:lang w:val="en-US" w:eastAsia="zh-CN"/>
        </w:rPr>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6425B25">
      <w:r>
        <w:br w:type="page"/>
      </w:r>
    </w:p>
    <w:p w14:paraId="4E8B0B8C">
      <w:pPr>
        <w:spacing w:line="240" w:lineRule="auto"/>
        <w:jc w:val="center"/>
        <w:outlineLvl w:val="1"/>
      </w:pPr>
      <w:r>
        <w:rPr>
          <w:rFonts w:ascii="黑体" w:hAnsi="黑体" w:eastAsia="黑体"/>
          <w:sz w:val="32"/>
        </w:rPr>
        <w:t>第四部分 部门决算报表（见附表）</w:t>
      </w:r>
    </w:p>
    <w:p w14:paraId="674D5961">
      <w:pPr>
        <w:spacing w:line="240" w:lineRule="auto"/>
        <w:ind w:firstLine="640"/>
        <w:jc w:val="both"/>
      </w:pPr>
      <w:r>
        <w:rPr>
          <w:rFonts w:ascii="仿宋_GB2312" w:hAnsi="仿宋_GB2312" w:eastAsia="仿宋_GB2312"/>
          <w:b w:val="0"/>
          <w:sz w:val="32"/>
        </w:rPr>
        <w:t>一、《收入支出决算总表》</w:t>
      </w:r>
    </w:p>
    <w:p w14:paraId="27511414">
      <w:pPr>
        <w:spacing w:line="240" w:lineRule="auto"/>
        <w:ind w:firstLine="640"/>
        <w:jc w:val="both"/>
      </w:pPr>
      <w:r>
        <w:rPr>
          <w:rFonts w:ascii="仿宋_GB2312" w:hAnsi="仿宋_GB2312" w:eastAsia="仿宋_GB2312"/>
          <w:b w:val="0"/>
          <w:sz w:val="32"/>
        </w:rPr>
        <w:t>二、《收入决算表》</w:t>
      </w:r>
    </w:p>
    <w:p w14:paraId="1042970F">
      <w:pPr>
        <w:spacing w:line="240" w:lineRule="auto"/>
        <w:ind w:firstLine="640"/>
        <w:jc w:val="both"/>
      </w:pPr>
      <w:r>
        <w:rPr>
          <w:rFonts w:ascii="仿宋_GB2312" w:hAnsi="仿宋_GB2312" w:eastAsia="仿宋_GB2312"/>
          <w:b w:val="0"/>
          <w:sz w:val="32"/>
        </w:rPr>
        <w:t>三、《支出决算表》</w:t>
      </w:r>
    </w:p>
    <w:p w14:paraId="24F3CEB6">
      <w:pPr>
        <w:spacing w:line="240" w:lineRule="auto"/>
        <w:ind w:firstLine="640"/>
        <w:jc w:val="both"/>
      </w:pPr>
      <w:r>
        <w:rPr>
          <w:rFonts w:ascii="仿宋_GB2312" w:hAnsi="仿宋_GB2312" w:eastAsia="仿宋_GB2312"/>
          <w:b w:val="0"/>
          <w:sz w:val="32"/>
        </w:rPr>
        <w:t>四、《财政拨款收入支出决算总表》</w:t>
      </w:r>
    </w:p>
    <w:p w14:paraId="2F61257F">
      <w:pPr>
        <w:spacing w:line="240" w:lineRule="auto"/>
        <w:ind w:firstLine="640"/>
        <w:jc w:val="both"/>
      </w:pPr>
      <w:r>
        <w:rPr>
          <w:rFonts w:ascii="仿宋_GB2312" w:hAnsi="仿宋_GB2312" w:eastAsia="仿宋_GB2312"/>
          <w:b w:val="0"/>
          <w:sz w:val="32"/>
        </w:rPr>
        <w:t>五、《一般公共预算财政拨款支出决算表》</w:t>
      </w:r>
    </w:p>
    <w:p w14:paraId="395799AC">
      <w:pPr>
        <w:spacing w:line="240" w:lineRule="auto"/>
        <w:ind w:firstLine="640"/>
        <w:jc w:val="both"/>
      </w:pPr>
      <w:r>
        <w:rPr>
          <w:rFonts w:ascii="仿宋_GB2312" w:hAnsi="仿宋_GB2312" w:eastAsia="仿宋_GB2312"/>
          <w:b w:val="0"/>
          <w:sz w:val="32"/>
        </w:rPr>
        <w:t>六、《一般公共预算财政拨款基本支出决算表》</w:t>
      </w:r>
    </w:p>
    <w:p w14:paraId="0B1E3B12">
      <w:pPr>
        <w:spacing w:line="240" w:lineRule="auto"/>
        <w:ind w:firstLine="640"/>
        <w:jc w:val="both"/>
      </w:pPr>
      <w:r>
        <w:rPr>
          <w:rFonts w:ascii="仿宋_GB2312" w:hAnsi="仿宋_GB2312" w:eastAsia="仿宋_GB2312"/>
          <w:b w:val="0"/>
          <w:sz w:val="32"/>
        </w:rPr>
        <w:t>七、《政府性基金预算财政拨款收入支出决算表》</w:t>
      </w:r>
    </w:p>
    <w:p w14:paraId="2ABEF72D">
      <w:pPr>
        <w:spacing w:line="240" w:lineRule="auto"/>
        <w:ind w:firstLine="640"/>
        <w:jc w:val="both"/>
      </w:pPr>
      <w:r>
        <w:rPr>
          <w:rFonts w:ascii="仿宋_GB2312" w:hAnsi="仿宋_GB2312" w:eastAsia="仿宋_GB2312"/>
          <w:b w:val="0"/>
          <w:sz w:val="32"/>
        </w:rPr>
        <w:t>八、《国有资本经营预算财政拨款收入支出决算表》</w:t>
      </w:r>
    </w:p>
    <w:p w14:paraId="20DB97AC">
      <w:pPr>
        <w:spacing w:line="240" w:lineRule="auto"/>
        <w:ind w:firstLine="640"/>
        <w:jc w:val="both"/>
      </w:pPr>
      <w:r>
        <w:rPr>
          <w:rFonts w:ascii="仿宋_GB2312" w:hAnsi="仿宋_GB2312" w:eastAsia="仿宋_GB2312"/>
          <w:b w:val="0"/>
          <w:sz w:val="32"/>
        </w:rPr>
        <w:t>九、《财政拨款“三公”经费支出决算表》</w:t>
      </w:r>
    </w:p>
    <w:p w14:paraId="5E6C7C7F">
      <w:pPr>
        <w:spacing w:line="240" w:lineRule="auto"/>
        <w:ind w:firstLine="640"/>
        <w:jc w:val="both"/>
      </w:pPr>
    </w:p>
    <w:p w14:paraId="632749D3">
      <w:pPr>
        <w:spacing w:line="240" w:lineRule="auto"/>
        <w:ind w:firstLine="640"/>
        <w:jc w:val="both"/>
      </w:pPr>
    </w:p>
    <w:p w14:paraId="091F59EE">
      <w:pPr>
        <w:spacing w:line="240" w:lineRule="auto"/>
        <w:ind w:firstLine="640"/>
        <w:jc w:val="both"/>
      </w:pPr>
    </w:p>
    <w:p w14:paraId="0C8AF66B">
      <w:pPr>
        <w:spacing w:line="240" w:lineRule="auto"/>
        <w:ind w:firstLine="640"/>
        <w:jc w:val="both"/>
      </w:pPr>
    </w:p>
    <w:p w14:paraId="16611B7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EF06D04"/>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1AA395D"/>
    <w:rsid w:val="423A32B2"/>
    <w:rsid w:val="423C0CB4"/>
    <w:rsid w:val="427B5743"/>
    <w:rsid w:val="42E64542"/>
    <w:rsid w:val="464B7E04"/>
    <w:rsid w:val="464F7E64"/>
    <w:rsid w:val="46901EEE"/>
    <w:rsid w:val="469C74D2"/>
    <w:rsid w:val="47445515"/>
    <w:rsid w:val="4B4C0111"/>
    <w:rsid w:val="4BB23021"/>
    <w:rsid w:val="4F3F074E"/>
    <w:rsid w:val="50DB5F45"/>
    <w:rsid w:val="512D64F7"/>
    <w:rsid w:val="52F92565"/>
    <w:rsid w:val="543D17CB"/>
    <w:rsid w:val="55DA564E"/>
    <w:rsid w:val="56E07045"/>
    <w:rsid w:val="583059FA"/>
    <w:rsid w:val="587E6212"/>
    <w:rsid w:val="5AFC6609"/>
    <w:rsid w:val="5FA17648"/>
    <w:rsid w:val="5FD320BD"/>
    <w:rsid w:val="60DE4D57"/>
    <w:rsid w:val="613409CB"/>
    <w:rsid w:val="61A46A97"/>
    <w:rsid w:val="62DD7D21"/>
    <w:rsid w:val="65D97752"/>
    <w:rsid w:val="660202AA"/>
    <w:rsid w:val="664C500C"/>
    <w:rsid w:val="67D111AB"/>
    <w:rsid w:val="68D15B85"/>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07052"/>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4323</Words>
  <Characters>4842</Characters>
  <Lines>0</Lines>
  <Paragraphs>0</Paragraphs>
  <TotalTime>1</TotalTime>
  <ScaleCrop>false</ScaleCrop>
  <LinksUpToDate>false</LinksUpToDate>
  <CharactersWithSpaces>4850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杨柳</cp:lastModifiedBy>
  <cp:lastPrinted>2024-07-22T11:58:00Z</cp:lastPrinted>
  <dcterms:modified xsi:type="dcterms:W3CDTF">2025-09-23T03:58:30Z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eyJoZGlkIjoiODViY2JkMjU3NGYzZTEwMzZmMGFkZWViYmNkYWU3NDIiLCJ1c2VySWQiOiIxNDk3NDgwNzgwIn0=</vt:lpwstr>
  </property>
</Properties>
</file>