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20E941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和田地区交通运输综合行政执法局</w:t>
      </w: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90E0E7">
      <w:r>
        <w:br w:type="page"/>
      </w:r>
    </w:p>
    <w:p w14:paraId="297FE64F">
      <w:pPr>
        <w:spacing w:line="640" w:lineRule="exact"/>
        <w:jc w:val="center"/>
        <w:outlineLvl w:val="1"/>
      </w:pPr>
      <w:r>
        <w:rPr>
          <w:rFonts w:ascii="黑体" w:hAnsi="黑体" w:eastAsia="黑体"/>
          <w:sz w:val="32"/>
        </w:rPr>
        <w:t>第一部分 单位概况</w:t>
      </w:r>
    </w:p>
    <w:p w14:paraId="3762522D">
      <w:pPr>
        <w:spacing w:line="640" w:lineRule="exact"/>
        <w:ind w:firstLine="640"/>
        <w:jc w:val="both"/>
        <w:outlineLvl w:val="2"/>
      </w:pPr>
      <w:r>
        <w:rPr>
          <w:rFonts w:ascii="黑体" w:hAnsi="黑体" w:eastAsia="黑体"/>
          <w:sz w:val="32"/>
        </w:rPr>
        <w:t>一、主要职能</w:t>
      </w:r>
    </w:p>
    <w:p w14:paraId="75E39882">
      <w:pPr>
        <w:spacing w:line="580" w:lineRule="exact"/>
        <w:ind w:firstLine="640"/>
        <w:jc w:val="both"/>
      </w:pPr>
      <w:r>
        <w:rPr>
          <w:rFonts w:ascii="仿宋_GB2312" w:hAnsi="仿宋_GB2312" w:eastAsia="仿宋_GB2312"/>
          <w:sz w:val="32"/>
        </w:rPr>
        <w:t>（1）负责指导各县市交通运输综合行政执法工作；负责拟定执法局年度执法目标和阶段性任务；承担执法队伍的法治建设、人员资格、证件管理、教育培训、考核、监督和行风建设工作；负责交通运输行政执法统筹协调、重大案件查处和跨区域执法的组织工作；负责局机关执法安全管理工作；统筹协调各执法单位及时处理各类投诉、举报和上级批办的案件。</w:t>
      </w:r>
    </w:p>
    <w:p w14:paraId="4309ED80">
      <w:pPr>
        <w:spacing w:line="580" w:lineRule="exact"/>
        <w:ind w:firstLine="640"/>
        <w:jc w:val="both"/>
      </w:pPr>
      <w:r>
        <w:rPr>
          <w:rFonts w:ascii="仿宋_GB2312" w:hAnsi="仿宋_GB2312" w:eastAsia="仿宋_GB2312"/>
          <w:sz w:val="32"/>
        </w:rPr>
        <w:t>（2）负责拟定全地区道路运输综合行政执法业务规范和制度；负责地区本级道路客货运输、城市客运、危险品运输、客货站场、机动车驾驶培训、机动车维修、机动车综合性能监测站、汽车租赁、货运代理（代办）企业等道路运输行政执法，运输行业安全生产行政检查等工作；指导各县市交通运输综合行政执法大队开展道路运输执法工作。</w:t>
      </w:r>
    </w:p>
    <w:p w14:paraId="68AFB84B">
      <w:pPr>
        <w:spacing w:line="580" w:lineRule="exact"/>
        <w:ind w:firstLine="640"/>
        <w:jc w:val="both"/>
      </w:pPr>
      <w:r>
        <w:rPr>
          <w:rFonts w:ascii="仿宋_GB2312" w:hAnsi="仿宋_GB2312" w:eastAsia="仿宋_GB2312"/>
          <w:sz w:val="32"/>
        </w:rPr>
        <w:t>（3）负责拟定全地区县乡公路路政、地方海事综合行政执法业务规范和制度，指导地区农村公路、管辖专用公路的超限超载治理工作，承担地区治理超限超载领导小组办公室日常工作；承担渔业船舶及相关水上设施检验和监督管理工作；负责农村公路路政、水路运输行业安全生产的行政检查工作；指导各县市交通运输综合行政执法大队开展农村公路、地方海事行政执法工作。</w:t>
      </w:r>
    </w:p>
    <w:p w14:paraId="767B7EAC">
      <w:pPr>
        <w:spacing w:line="580" w:lineRule="exact"/>
        <w:ind w:firstLine="640"/>
        <w:jc w:val="both"/>
      </w:pPr>
      <w:r>
        <w:rPr>
          <w:rFonts w:ascii="仿宋_GB2312" w:hAnsi="仿宋_GB2312" w:eastAsia="仿宋_GB2312"/>
          <w:sz w:val="32"/>
        </w:rPr>
        <w:t>（4）</w:t>
      </w:r>
      <w:r>
        <w:rPr>
          <w:rFonts w:hint="eastAsia" w:ascii="仿宋_GB2312" w:hAnsi="仿宋_GB2312" w:eastAsia="仿宋_GB2312"/>
          <w:sz w:val="32"/>
          <w:lang w:eastAsia="zh-CN"/>
        </w:rPr>
        <w:t>负责</w:t>
      </w:r>
      <w:r>
        <w:rPr>
          <w:rFonts w:ascii="仿宋_GB2312" w:hAnsi="仿宋_GB2312" w:eastAsia="仿宋_GB2312"/>
          <w:sz w:val="32"/>
        </w:rPr>
        <w:t>拟定全地区交通建设工程质量监督业务规范和制度；负责交通建设工程质量监督执法工作；负</w:t>
      </w:r>
      <w:r>
        <w:rPr>
          <w:rFonts w:hint="eastAsia" w:ascii="仿宋_GB2312" w:hAnsi="仿宋_GB2312" w:eastAsia="仿宋_GB2312"/>
          <w:sz w:val="32"/>
          <w:lang w:eastAsia="zh-CN"/>
        </w:rPr>
        <w:t>责对</w:t>
      </w:r>
      <w:r>
        <w:rPr>
          <w:rFonts w:ascii="仿宋_GB2312" w:hAnsi="仿宋_GB2312" w:eastAsia="仿宋_GB2312"/>
          <w:sz w:val="32"/>
        </w:rPr>
        <w:t>管辖范围的交通建设项目从业单位的安全生产管理行为实施监督执法；指导各县市交通运输综合行政执法大队开展工程质量执法工作。</w:t>
      </w:r>
    </w:p>
    <w:p w14:paraId="67115624">
      <w:pPr>
        <w:spacing w:line="580" w:lineRule="exact"/>
        <w:ind w:firstLine="640"/>
        <w:jc w:val="both"/>
      </w:pPr>
      <w:r>
        <w:rPr>
          <w:rFonts w:ascii="仿宋_GB2312" w:hAnsi="仿宋_GB2312" w:eastAsia="仿宋_GB2312"/>
          <w:sz w:val="32"/>
        </w:rPr>
        <w:t>（5）负责职责范围内交通运输综合行政执法信息化建设及科技应用工作。</w:t>
      </w:r>
    </w:p>
    <w:p w14:paraId="0539502B">
      <w:pPr>
        <w:spacing w:line="580" w:lineRule="exact"/>
        <w:ind w:firstLine="640"/>
        <w:jc w:val="both"/>
      </w:pPr>
      <w:r>
        <w:rPr>
          <w:rFonts w:ascii="仿宋_GB2312" w:hAnsi="仿宋_GB2312" w:eastAsia="仿宋_GB2312"/>
          <w:sz w:val="32"/>
        </w:rPr>
        <w:t>（6）完成和田地区交通运输局交办的其他任务。</w:t>
      </w:r>
    </w:p>
    <w:p w14:paraId="7E759060">
      <w:pPr>
        <w:spacing w:line="640" w:lineRule="exact"/>
        <w:ind w:firstLine="640"/>
        <w:jc w:val="both"/>
        <w:outlineLvl w:val="2"/>
      </w:pPr>
      <w:r>
        <w:rPr>
          <w:rFonts w:ascii="黑体" w:hAnsi="黑体" w:eastAsia="黑体"/>
          <w:sz w:val="32"/>
        </w:rPr>
        <w:t>二、机构设置及人员情况</w:t>
      </w:r>
    </w:p>
    <w:p w14:paraId="6602AB87">
      <w:pPr>
        <w:spacing w:line="580" w:lineRule="exact"/>
        <w:ind w:firstLine="640"/>
        <w:jc w:val="both"/>
      </w:pPr>
      <w:r>
        <w:rPr>
          <w:rFonts w:ascii="仿宋_GB2312" w:hAnsi="仿宋_GB2312" w:eastAsia="仿宋_GB2312"/>
          <w:sz w:val="32"/>
        </w:rPr>
        <w:t>和田地区交通运输综合行政执法局2024年度，实有人数28人，其中：在职人员28人，增加1人；离休人员0人，增加0人；退休人员0人,增加0人。</w:t>
      </w:r>
    </w:p>
    <w:p w14:paraId="1857718D">
      <w:pPr>
        <w:spacing w:line="580" w:lineRule="exact"/>
        <w:ind w:firstLine="640"/>
        <w:jc w:val="both"/>
      </w:pPr>
      <w:r>
        <w:rPr>
          <w:rFonts w:ascii="仿宋_GB2312" w:hAnsi="仿宋_GB2312" w:eastAsia="仿宋_GB2312"/>
          <w:sz w:val="32"/>
        </w:rPr>
        <w:t>和田地区交通运输综合行政执法局无下属预算单位，下设5个科室，分别是：办公室、执法管理科、运政执法科、路政（海事）执法科、工程质量监督科。</w:t>
      </w:r>
    </w:p>
    <w:p w14:paraId="1E578F59">
      <w:r>
        <w:br w:type="page"/>
      </w:r>
    </w:p>
    <w:p w14:paraId="0261D941">
      <w:pPr>
        <w:spacing w:line="240" w:lineRule="auto"/>
        <w:jc w:val="center"/>
        <w:outlineLvl w:val="1"/>
      </w:pPr>
      <w:r>
        <w:rPr>
          <w:rFonts w:ascii="黑体" w:hAnsi="黑体" w:eastAsia="黑体"/>
          <w:sz w:val="32"/>
        </w:rPr>
        <w:t>第二部分 部门决算情况说明</w:t>
      </w:r>
    </w:p>
    <w:p w14:paraId="6E884BEC">
      <w:pPr>
        <w:spacing w:line="640" w:lineRule="exact"/>
        <w:ind w:firstLine="640"/>
        <w:jc w:val="both"/>
        <w:outlineLvl w:val="2"/>
      </w:pPr>
      <w:r>
        <w:rPr>
          <w:rFonts w:ascii="黑体" w:hAnsi="黑体" w:eastAsia="黑体"/>
          <w:sz w:val="32"/>
        </w:rPr>
        <w:t>一、收入支出决算总体情况说明</w:t>
      </w:r>
    </w:p>
    <w:p w14:paraId="3CDF302E">
      <w:pPr>
        <w:spacing w:line="580" w:lineRule="exact"/>
        <w:ind w:firstLine="640"/>
        <w:jc w:val="both"/>
      </w:pPr>
      <w:r>
        <w:rPr>
          <w:rFonts w:ascii="仿宋_GB2312" w:hAnsi="仿宋_GB2312" w:eastAsia="仿宋_GB2312"/>
          <w:b/>
          <w:sz w:val="32"/>
        </w:rPr>
        <w:t>2024年度收入总计818.01万元，</w:t>
      </w:r>
      <w:r>
        <w:rPr>
          <w:rFonts w:ascii="仿宋_GB2312" w:hAnsi="仿宋_GB2312" w:eastAsia="仿宋_GB2312"/>
          <w:b w:val="0"/>
          <w:sz w:val="32"/>
        </w:rPr>
        <w:t>其中：本年收入合计817.60万元，使用非财政拨款结余（含专用结余）0.00万元，年初结转和结余0.42万元。</w:t>
      </w:r>
    </w:p>
    <w:p w14:paraId="0119E753">
      <w:pPr>
        <w:spacing w:line="580" w:lineRule="exact"/>
        <w:ind w:firstLine="640"/>
        <w:jc w:val="both"/>
      </w:pPr>
      <w:r>
        <w:rPr>
          <w:rFonts w:ascii="仿宋_GB2312" w:hAnsi="仿宋_GB2312" w:eastAsia="仿宋_GB2312"/>
          <w:b/>
          <w:sz w:val="32"/>
        </w:rPr>
        <w:t>2024年度支出总计818.01万元，</w:t>
      </w:r>
      <w:r>
        <w:rPr>
          <w:rFonts w:ascii="仿宋_GB2312" w:hAnsi="仿宋_GB2312" w:eastAsia="仿宋_GB2312"/>
          <w:b w:val="0"/>
          <w:sz w:val="32"/>
        </w:rPr>
        <w:t>其中：本年支出合计817.99万元，结余分配0.00万元，年末结转和结余0.02万元。</w:t>
      </w:r>
    </w:p>
    <w:p w14:paraId="5D328FBB">
      <w:pPr>
        <w:spacing w:line="580" w:lineRule="exact"/>
        <w:ind w:firstLine="640"/>
        <w:jc w:val="both"/>
      </w:pPr>
      <w:r>
        <w:rPr>
          <w:rFonts w:ascii="仿宋_GB2312" w:hAnsi="仿宋_GB2312" w:eastAsia="仿宋_GB2312"/>
          <w:b w:val="0"/>
          <w:sz w:val="32"/>
        </w:rPr>
        <w:t>收入支出总体与上年相比，增加29.89万元，增长3.79%，主要原因是：1.本年在职人员增加，在职人员工资调增，社保、公积金基数调增，人员经费增加；2.本年增加补充办公用房</w:t>
      </w:r>
      <w:r>
        <w:rPr>
          <w:rFonts w:hint="eastAsia" w:ascii="仿宋_GB2312" w:hAnsi="仿宋_GB2312" w:eastAsia="仿宋_GB2312"/>
          <w:b w:val="0"/>
          <w:sz w:val="32"/>
          <w:lang w:eastAsia="zh-CN"/>
        </w:rPr>
        <w:t>购买</w:t>
      </w:r>
      <w:r>
        <w:rPr>
          <w:rFonts w:ascii="仿宋_GB2312" w:hAnsi="仿宋_GB2312" w:eastAsia="仿宋_GB2312"/>
          <w:b w:val="0"/>
          <w:sz w:val="32"/>
        </w:rPr>
        <w:t>及装修改造项目。</w:t>
      </w:r>
    </w:p>
    <w:p w14:paraId="437A8975">
      <w:pPr>
        <w:spacing w:line="640" w:lineRule="exact"/>
        <w:ind w:firstLine="640"/>
        <w:jc w:val="both"/>
        <w:outlineLvl w:val="2"/>
      </w:pPr>
      <w:r>
        <w:rPr>
          <w:rFonts w:ascii="黑体" w:hAnsi="黑体" w:eastAsia="黑体"/>
          <w:sz w:val="32"/>
        </w:rPr>
        <w:t>二、收入决算情况说明</w:t>
      </w:r>
    </w:p>
    <w:p w14:paraId="3856BADE">
      <w:pPr>
        <w:spacing w:line="580" w:lineRule="exact"/>
        <w:ind w:firstLine="640"/>
        <w:jc w:val="both"/>
      </w:pPr>
      <w:r>
        <w:rPr>
          <w:rFonts w:ascii="仿宋_GB2312" w:hAnsi="仿宋_GB2312" w:eastAsia="仿宋_GB2312"/>
          <w:b/>
          <w:sz w:val="32"/>
        </w:rPr>
        <w:t>本年收入817.60万元，</w:t>
      </w:r>
      <w:r>
        <w:rPr>
          <w:rFonts w:ascii="仿宋_GB2312" w:hAnsi="仿宋_GB2312" w:eastAsia="仿宋_GB2312"/>
          <w:b w:val="0"/>
          <w:sz w:val="32"/>
        </w:rPr>
        <w:t>其中：财政拨款收入687.41万元，占84.08%；上级补助收入0.00万元，占0.00%；事业收入0.00万元，占0.00%；经营收入0.00万元，占0.00%；附属单位上缴收入0.00万元，占0.00%；其他收入130.18万元，占15.92%。</w:t>
      </w:r>
    </w:p>
    <w:p w14:paraId="6125C7B3">
      <w:pPr>
        <w:spacing w:line="640" w:lineRule="exact"/>
        <w:ind w:firstLine="640"/>
        <w:jc w:val="both"/>
        <w:outlineLvl w:val="2"/>
      </w:pPr>
      <w:r>
        <w:rPr>
          <w:rFonts w:ascii="黑体" w:hAnsi="黑体" w:eastAsia="黑体"/>
          <w:sz w:val="32"/>
        </w:rPr>
        <w:t>三、支出决算情况说明</w:t>
      </w:r>
    </w:p>
    <w:p w14:paraId="1A3EB94E">
      <w:pPr>
        <w:spacing w:line="580" w:lineRule="exact"/>
        <w:ind w:firstLine="640"/>
        <w:jc w:val="both"/>
      </w:pPr>
      <w:r>
        <w:rPr>
          <w:rFonts w:ascii="仿宋_GB2312" w:hAnsi="仿宋_GB2312" w:eastAsia="仿宋_GB2312"/>
          <w:b/>
          <w:sz w:val="32"/>
        </w:rPr>
        <w:t>本年支出817.99万元，</w:t>
      </w:r>
      <w:r>
        <w:rPr>
          <w:rFonts w:ascii="仿宋_GB2312" w:hAnsi="仿宋_GB2312" w:eastAsia="仿宋_GB2312"/>
          <w:b w:val="0"/>
          <w:sz w:val="32"/>
        </w:rPr>
        <w:t>其中：基本支出646.67万元，占79.06%；项目支出171.32万元，占20.94%；上缴上级支出0.00万元，占0.00%；经营支出0.00万元，占0.00%；对附属单位补助支出0.00万元，占0.00%。</w:t>
      </w:r>
    </w:p>
    <w:p w14:paraId="019BDBAA">
      <w:pPr>
        <w:spacing w:line="640" w:lineRule="exact"/>
        <w:ind w:firstLine="640"/>
        <w:jc w:val="both"/>
        <w:outlineLvl w:val="2"/>
      </w:pPr>
      <w:r>
        <w:rPr>
          <w:rFonts w:ascii="黑体" w:hAnsi="黑体" w:eastAsia="黑体"/>
          <w:sz w:val="32"/>
        </w:rPr>
        <w:t>四、财政拨款收入支出决算总体情况说明</w:t>
      </w:r>
    </w:p>
    <w:p w14:paraId="2CCCAA62">
      <w:pPr>
        <w:spacing w:line="580" w:lineRule="exact"/>
        <w:ind w:firstLine="640"/>
        <w:jc w:val="both"/>
      </w:pPr>
      <w:r>
        <w:rPr>
          <w:rFonts w:ascii="仿宋_GB2312" w:hAnsi="仿宋_GB2312" w:eastAsia="仿宋_GB2312"/>
          <w:b/>
          <w:sz w:val="32"/>
        </w:rPr>
        <w:t>2024年度财政拨款收入总计687.41万元，</w:t>
      </w:r>
      <w:r>
        <w:rPr>
          <w:rFonts w:ascii="仿宋_GB2312" w:hAnsi="仿宋_GB2312" w:eastAsia="仿宋_GB2312"/>
          <w:b w:val="0"/>
          <w:sz w:val="32"/>
        </w:rPr>
        <w:t>其中：年初财政拨款结转和结余0.00万元，本年财政拨款收入687.41万元。</w:t>
      </w:r>
      <w:r>
        <w:rPr>
          <w:rFonts w:ascii="仿宋_GB2312" w:hAnsi="仿宋_GB2312" w:eastAsia="仿宋_GB2312"/>
          <w:b/>
          <w:sz w:val="32"/>
        </w:rPr>
        <w:t>财政拨款支出总计687.41万元，</w:t>
      </w:r>
      <w:r>
        <w:rPr>
          <w:rFonts w:ascii="仿宋_GB2312" w:hAnsi="仿宋_GB2312" w:eastAsia="仿宋_GB2312"/>
          <w:b w:val="0"/>
          <w:sz w:val="32"/>
        </w:rPr>
        <w:t>其中：年末财政拨款结转和结余0.00万元，本年财政拨款支出687.41万元。</w:t>
      </w:r>
    </w:p>
    <w:p w14:paraId="76AEC8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增加74.37万元，增长12.13%，主要原因是：1.本年在职人员增加，在职人员工资调增，社保、公积金基数调增，人员经费增加；2.本年执法管理与工程质量监测项目资金较上年增加。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年初预算数647.37万元，决算数687.41万元，预决算差异率6.19%，主要原因是：年中追加人员工资、社保、公积金基数调增部分资金，导致预决算存在差异。</w:t>
      </w:r>
    </w:p>
    <w:p w14:paraId="261D4E61">
      <w:pPr>
        <w:spacing w:line="640" w:lineRule="exact"/>
        <w:ind w:firstLine="640"/>
        <w:jc w:val="both"/>
        <w:outlineLvl w:val="2"/>
      </w:pPr>
      <w:r>
        <w:rPr>
          <w:rFonts w:ascii="黑体" w:hAnsi="黑体" w:eastAsia="黑体"/>
          <w:sz w:val="32"/>
        </w:rPr>
        <w:t>五、一般公共预算财政拨款支出决算情况说明</w:t>
      </w:r>
    </w:p>
    <w:p w14:paraId="11F2F397">
      <w:pPr>
        <w:spacing w:line="640" w:lineRule="exact"/>
        <w:ind w:firstLine="640"/>
        <w:jc w:val="both"/>
        <w:outlineLvl w:val="3"/>
      </w:pPr>
      <w:r>
        <w:rPr>
          <w:rFonts w:ascii="楷体_GB2312" w:hAnsi="楷体_GB2312" w:eastAsia="楷体_GB2312"/>
          <w:b/>
          <w:sz w:val="32"/>
        </w:rPr>
        <w:t>（一）一般公共预算财政拨款支出决算总体情况</w:t>
      </w:r>
    </w:p>
    <w:p w14:paraId="61ED5AC0">
      <w:pPr>
        <w:spacing w:line="580" w:lineRule="exact"/>
        <w:ind w:firstLine="640"/>
        <w:jc w:val="both"/>
      </w:pPr>
      <w:r>
        <w:rPr>
          <w:rFonts w:ascii="仿宋_GB2312" w:hAnsi="仿宋_GB2312" w:eastAsia="仿宋_GB2312"/>
          <w:b/>
          <w:sz w:val="32"/>
        </w:rPr>
        <w:t>2024年度一般公共预算财政拨款支出687.41万元，</w:t>
      </w:r>
      <w:r>
        <w:rPr>
          <w:rFonts w:ascii="仿宋_GB2312" w:hAnsi="仿宋_GB2312" w:eastAsia="仿宋_GB2312"/>
          <w:b w:val="0"/>
          <w:sz w:val="32"/>
        </w:rPr>
        <w:t>占本年支出合计的84.04%。</w:t>
      </w:r>
      <w:r>
        <w:rPr>
          <w:rFonts w:ascii="仿宋_GB2312" w:hAnsi="仿宋_GB2312" w:eastAsia="仿宋_GB2312"/>
          <w:b/>
          <w:sz w:val="32"/>
        </w:rPr>
        <w:t>与上年相比，</w:t>
      </w:r>
      <w:r>
        <w:rPr>
          <w:rFonts w:ascii="仿宋_GB2312" w:hAnsi="仿宋_GB2312" w:eastAsia="仿宋_GB2312"/>
          <w:b w:val="0"/>
          <w:sz w:val="32"/>
        </w:rPr>
        <w:t>增加74.37万元，增长12.13%，主要原因是：1.本年在职人员增加，在职人员工资调增，社保、公积金基数调增，人员经费增加；2.本年执法管理与工程质量监测项目资金较上年增加。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年初预算数647.37万元，决算数687.41万元，预决算差异率6.19%，主要原因是：年中追加人员工资、社保、公积金基数调增部分资金，导致预决算存在差异。</w:t>
      </w:r>
    </w:p>
    <w:p w14:paraId="33CD3091">
      <w:pPr>
        <w:spacing w:line="640" w:lineRule="exact"/>
        <w:ind w:firstLine="640"/>
        <w:jc w:val="both"/>
        <w:outlineLvl w:val="3"/>
      </w:pPr>
      <w:r>
        <w:rPr>
          <w:rFonts w:ascii="楷体_GB2312" w:hAnsi="楷体_GB2312" w:eastAsia="楷体_GB2312"/>
          <w:b/>
          <w:sz w:val="32"/>
        </w:rPr>
        <w:t>（二）一般公共预算财政拨款支出决算结构情况</w:t>
      </w:r>
    </w:p>
    <w:p w14:paraId="25F3D946">
      <w:pPr>
        <w:spacing w:line="580" w:lineRule="exact"/>
        <w:ind w:firstLine="640"/>
        <w:jc w:val="both"/>
      </w:pPr>
      <w:r>
        <w:rPr>
          <w:rFonts w:ascii="仿宋_GB2312" w:hAnsi="仿宋_GB2312" w:eastAsia="仿宋_GB2312"/>
          <w:b w:val="0"/>
          <w:sz w:val="32"/>
        </w:rPr>
        <w:t>1.社会保障和就业支出(类)59.61万元,占8.67%。</w:t>
      </w:r>
    </w:p>
    <w:p w14:paraId="618C0883">
      <w:pPr>
        <w:spacing w:line="580" w:lineRule="exact"/>
        <w:ind w:firstLine="640"/>
        <w:jc w:val="both"/>
      </w:pPr>
      <w:r>
        <w:rPr>
          <w:rFonts w:ascii="仿宋_GB2312" w:hAnsi="仿宋_GB2312" w:eastAsia="仿宋_GB2312"/>
          <w:b w:val="0"/>
          <w:sz w:val="32"/>
        </w:rPr>
        <w:t>2.卫生健康支出(类)37.10万元,占5.40%。</w:t>
      </w:r>
    </w:p>
    <w:p w14:paraId="4688038C">
      <w:pPr>
        <w:spacing w:line="580" w:lineRule="exact"/>
        <w:ind w:firstLine="640"/>
        <w:jc w:val="both"/>
      </w:pPr>
      <w:r>
        <w:rPr>
          <w:rFonts w:ascii="仿宋_GB2312" w:hAnsi="仿宋_GB2312" w:eastAsia="仿宋_GB2312"/>
          <w:b w:val="0"/>
          <w:sz w:val="32"/>
        </w:rPr>
        <w:t>3.交通运输支出(类)532.23万元,占77.43%。</w:t>
      </w:r>
    </w:p>
    <w:p w14:paraId="67A4D71D">
      <w:pPr>
        <w:spacing w:line="580" w:lineRule="exact"/>
        <w:ind w:firstLine="640"/>
        <w:jc w:val="both"/>
      </w:pPr>
      <w:r>
        <w:rPr>
          <w:rFonts w:ascii="仿宋_GB2312" w:hAnsi="仿宋_GB2312" w:eastAsia="仿宋_GB2312"/>
          <w:b w:val="0"/>
          <w:sz w:val="32"/>
        </w:rPr>
        <w:t>4.住房保障支出(类)46.30万元,占6.74%。</w:t>
      </w:r>
    </w:p>
    <w:p w14:paraId="48FD4215">
      <w:pPr>
        <w:spacing w:line="580" w:lineRule="exact"/>
        <w:ind w:firstLine="640"/>
        <w:jc w:val="both"/>
      </w:pPr>
      <w:r>
        <w:rPr>
          <w:rFonts w:ascii="仿宋_GB2312" w:hAnsi="仿宋_GB2312" w:eastAsia="仿宋_GB2312"/>
          <w:b w:val="0"/>
          <w:sz w:val="32"/>
        </w:rPr>
        <w:t>5.其他支出(类)12.18万元,占1.77%。</w:t>
      </w:r>
    </w:p>
    <w:p w14:paraId="0F0618E8">
      <w:pPr>
        <w:spacing w:line="640" w:lineRule="exact"/>
        <w:ind w:firstLine="640"/>
        <w:jc w:val="both"/>
        <w:outlineLvl w:val="3"/>
      </w:pPr>
      <w:r>
        <w:rPr>
          <w:rFonts w:ascii="楷体_GB2312" w:hAnsi="楷体_GB2312" w:eastAsia="楷体_GB2312"/>
          <w:b/>
          <w:sz w:val="32"/>
        </w:rPr>
        <w:t>（三）一般公共预算财政拨款支出决算具体情况</w:t>
      </w:r>
    </w:p>
    <w:p w14:paraId="45E8FFBB">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59.61万元，比上年决算增加9.52万元，增长19.01%,主要原因是：本年在职人员工资基数调增，养老缴费基数上涨，相应支出增加。</w:t>
      </w:r>
    </w:p>
    <w:p w14:paraId="7F26448E">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2.56万元，下降100.00%,主要原因是：本年无新增退休人员，职业年金缴费较上年减少。</w:t>
      </w:r>
    </w:p>
    <w:p w14:paraId="112CA0B9">
      <w:pPr>
        <w:spacing w:line="580" w:lineRule="exact"/>
        <w:ind w:firstLine="640"/>
        <w:jc w:val="both"/>
      </w:pPr>
      <w:r>
        <w:rPr>
          <w:rFonts w:ascii="仿宋_GB2312" w:hAnsi="仿宋_GB2312" w:eastAsia="仿宋_GB2312"/>
          <w:b w:val="0"/>
          <w:sz w:val="32"/>
        </w:rPr>
        <w:t>3.卫生健康支出(类)行政事业单位医疗(款)行政单位医疗(项):支出决算数为24.22万元，比上年决算增加24.22万元，增长100.00%,主要原因是：本年功能科目调整，行政单位医疗支出上年度在主科目列支，本年单独列支，导致经费较上年增加。</w:t>
      </w:r>
    </w:p>
    <w:p w14:paraId="72884858">
      <w:pPr>
        <w:spacing w:line="580" w:lineRule="exact"/>
        <w:ind w:firstLine="640"/>
        <w:jc w:val="both"/>
      </w:pPr>
      <w:r>
        <w:rPr>
          <w:rFonts w:ascii="仿宋_GB2312" w:hAnsi="仿宋_GB2312" w:eastAsia="仿宋_GB2312"/>
          <w:b w:val="0"/>
          <w:sz w:val="32"/>
        </w:rPr>
        <w:t>4.卫生健康支出(类)行政事业单位医疗(款)公务员医疗补助(项):支出决算数为12.88万元，比上年决算增加12.88万元，增长100.00%,主要原因是：本年功能科目调整，公务员医疗补助上年度在主科目列支，本年单独列支，导致经费较上年增加。</w:t>
      </w:r>
    </w:p>
    <w:p w14:paraId="5424B348">
      <w:pPr>
        <w:spacing w:line="580" w:lineRule="exact"/>
        <w:ind w:firstLine="640"/>
        <w:jc w:val="both"/>
      </w:pPr>
      <w:r>
        <w:rPr>
          <w:rFonts w:ascii="仿宋_GB2312" w:hAnsi="仿宋_GB2312" w:eastAsia="仿宋_GB2312"/>
          <w:b w:val="0"/>
          <w:sz w:val="32"/>
        </w:rPr>
        <w:t>5.交通运输支出(类)公路水路运输(款)行政运行(项):支出决算数为503.13万元，比上年决算减少29.54万元，下降5.55%,主要原因是：本年功能科目调整，行政单位医疗、公务员医疗补助、住房公积金上年度在主科目列支，本年单独列支，导致经费较上年减少。</w:t>
      </w:r>
    </w:p>
    <w:p w14:paraId="14B04CA4">
      <w:pPr>
        <w:spacing w:line="580" w:lineRule="exact"/>
        <w:ind w:firstLine="640"/>
        <w:jc w:val="both"/>
      </w:pPr>
      <w:r>
        <w:rPr>
          <w:rFonts w:ascii="仿宋_GB2312" w:hAnsi="仿宋_GB2312" w:eastAsia="仿宋_GB2312"/>
          <w:b w:val="0"/>
          <w:sz w:val="32"/>
        </w:rPr>
        <w:t>6.交通运输支出(类)公路水路运输(款)其他公路水路运输支出(项):支出决算数为29.10万元，比上年决算增加13.70万元，增长88.96%,主要原因是：本年较上年执法管理和工程质量监测项目资金增加，导致经费较上年增加。</w:t>
      </w:r>
    </w:p>
    <w:p w14:paraId="370BA2BE">
      <w:pPr>
        <w:spacing w:line="580" w:lineRule="exact"/>
        <w:ind w:firstLine="640"/>
        <w:jc w:val="both"/>
      </w:pPr>
      <w:r>
        <w:rPr>
          <w:rFonts w:ascii="仿宋_GB2312" w:hAnsi="仿宋_GB2312" w:eastAsia="仿宋_GB2312"/>
          <w:b w:val="0"/>
          <w:sz w:val="32"/>
        </w:rPr>
        <w:t>7.住房保障支出(类)住房改革支出(款)住房公积金(项):支出决算数为46.30万元，比上年决算增加46.30万元，增长100.00%,主要原因是：本年功能科目调整，住房公积金上年度在主科目列支，本年单独列支，导致经费较上年增加。</w:t>
      </w:r>
    </w:p>
    <w:p w14:paraId="3906A9D6">
      <w:pPr>
        <w:spacing w:line="580" w:lineRule="exact"/>
        <w:ind w:firstLine="640"/>
        <w:jc w:val="both"/>
      </w:pPr>
      <w:r>
        <w:rPr>
          <w:rFonts w:ascii="仿宋_GB2312" w:hAnsi="仿宋_GB2312" w:eastAsia="仿宋_GB2312"/>
          <w:b w:val="0"/>
          <w:sz w:val="32"/>
        </w:rPr>
        <w:t>8.其他支出(类)其他支出(款)其他支出(项):支出决算数为12.18万元，比上年决算减少0.14万元，下降1.14%,主要原因是：本年为民办实事经费减少，导致支出较上年减少。</w:t>
      </w:r>
    </w:p>
    <w:p w14:paraId="471EC5D8">
      <w:pPr>
        <w:spacing w:line="640" w:lineRule="exact"/>
        <w:ind w:firstLine="640"/>
        <w:jc w:val="both"/>
        <w:outlineLvl w:val="2"/>
      </w:pPr>
      <w:r>
        <w:rPr>
          <w:rFonts w:ascii="黑体" w:hAnsi="黑体" w:eastAsia="黑体"/>
          <w:sz w:val="32"/>
        </w:rPr>
        <w:t>六、一般公共预算财政拨款基本支出决算情况说明</w:t>
      </w:r>
    </w:p>
    <w:p w14:paraId="6EC2D741">
      <w:pPr>
        <w:spacing w:line="580" w:lineRule="exact"/>
        <w:ind w:firstLine="640"/>
        <w:jc w:val="both"/>
      </w:pPr>
      <w:r>
        <w:rPr>
          <w:rFonts w:ascii="仿宋_GB2312" w:hAnsi="仿宋_GB2312" w:eastAsia="仿宋_GB2312"/>
          <w:b w:val="0"/>
          <w:sz w:val="32"/>
        </w:rPr>
        <w:t>2024年度一般公共预算财政拨款基本支出646.14万元，其中：</w:t>
      </w:r>
      <w:r>
        <w:rPr>
          <w:rFonts w:ascii="仿宋_GB2312" w:hAnsi="仿宋_GB2312" w:eastAsia="仿宋_GB2312"/>
          <w:b/>
          <w:sz w:val="32"/>
        </w:rPr>
        <w:t>人员经费602.92万元，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包括：基本工资、津贴补贴、奖金、机关事业单位基本养老保险缴费、职工基本医疗保险缴费、公务员医疗补助缴费、其他社会保障缴费、住房公积金、其他工资福利支出、奖励金。</w:t>
      </w:r>
    </w:p>
    <w:p w14:paraId="7B5BDA91">
      <w:pPr>
        <w:spacing w:line="580" w:lineRule="exact"/>
        <w:ind w:firstLine="640"/>
        <w:jc w:val="both"/>
      </w:pPr>
      <w:r>
        <w:rPr>
          <w:rFonts w:ascii="仿宋_GB2312" w:hAnsi="仿宋_GB2312" w:eastAsia="仿宋_GB2312"/>
          <w:b/>
          <w:sz w:val="32"/>
        </w:rPr>
        <w:t>公用经费43.22万元，</w:t>
      </w:r>
      <w:r>
        <w:rPr>
          <w:rFonts w:ascii="仿宋_GB2312" w:hAnsi="仿宋_GB2312" w:eastAsia="仿宋_GB2312"/>
          <w:b w:val="0"/>
          <w:sz w:val="32"/>
        </w:rPr>
        <w:t>包括：办公费、水费、电费、取暖费、差旅费、工会经费、福利费、公务用车运行维护费、其他商品和服务支出。</w:t>
      </w:r>
    </w:p>
    <w:p w14:paraId="0687F12F">
      <w:pPr>
        <w:spacing w:line="640" w:lineRule="exact"/>
        <w:ind w:firstLine="640"/>
        <w:jc w:val="both"/>
        <w:outlineLvl w:val="2"/>
      </w:pPr>
      <w:r>
        <w:rPr>
          <w:rFonts w:ascii="黑体" w:hAnsi="黑体" w:eastAsia="黑体"/>
          <w:sz w:val="32"/>
        </w:rPr>
        <w:t>七、政府性基金预算财政拨款收入支出决算情况说明</w:t>
      </w:r>
    </w:p>
    <w:p w14:paraId="7D92786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C586693">
      <w:pPr>
        <w:spacing w:line="640" w:lineRule="exact"/>
        <w:ind w:firstLine="640"/>
        <w:jc w:val="both"/>
        <w:outlineLvl w:val="2"/>
      </w:pPr>
      <w:r>
        <w:rPr>
          <w:rFonts w:ascii="黑体" w:hAnsi="黑体" w:eastAsia="黑体"/>
          <w:sz w:val="32"/>
        </w:rPr>
        <w:t>八、国有资本经营预算财政拨款收入支出决算情况说明</w:t>
      </w:r>
    </w:p>
    <w:p w14:paraId="22EED2E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6F1939F">
      <w:pPr>
        <w:spacing w:line="640" w:lineRule="exact"/>
        <w:ind w:firstLine="640"/>
        <w:jc w:val="both"/>
        <w:outlineLvl w:val="2"/>
      </w:pPr>
      <w:r>
        <w:rPr>
          <w:rFonts w:ascii="黑体" w:hAnsi="黑体" w:eastAsia="黑体"/>
          <w:sz w:val="32"/>
        </w:rPr>
        <w:t>九、财政拨款“三公”经费支出决算情况说明</w:t>
      </w:r>
    </w:p>
    <w:p w14:paraId="0A7229C6">
      <w:pPr>
        <w:spacing w:line="580" w:lineRule="exact"/>
        <w:ind w:firstLine="640"/>
        <w:jc w:val="both"/>
      </w:pPr>
      <w:r>
        <w:rPr>
          <w:rFonts w:ascii="仿宋_GB2312" w:hAnsi="仿宋_GB2312" w:eastAsia="仿宋_GB2312"/>
          <w:b/>
          <w:sz w:val="32"/>
        </w:rPr>
        <w:t>2024年度财政拨款“三公”经费支出15.00万元，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15.00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0EB77DDA">
      <w:pPr>
        <w:spacing w:line="580" w:lineRule="exact"/>
        <w:ind w:firstLine="640"/>
        <w:jc w:val="both"/>
      </w:pPr>
      <w:r>
        <w:rPr>
          <w:rFonts w:ascii="仿宋_GB2312" w:hAnsi="仿宋_GB2312" w:eastAsia="仿宋_GB2312"/>
          <w:b/>
          <w:sz w:val="32"/>
        </w:rPr>
        <w:t>具体情况如下：</w:t>
      </w:r>
    </w:p>
    <w:p w14:paraId="790CEC3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C46D79">
      <w:pPr>
        <w:spacing w:line="580" w:lineRule="exact"/>
        <w:ind w:firstLine="640"/>
        <w:jc w:val="both"/>
      </w:pPr>
      <w:r>
        <w:rPr>
          <w:rFonts w:ascii="仿宋_GB2312" w:hAnsi="仿宋_GB2312" w:eastAsia="仿宋_GB2312"/>
          <w:b w:val="0"/>
          <w:sz w:val="32"/>
        </w:rPr>
        <w:t>公务用车购置及运行维护费15.00万元，其中：公务用车购置费0.00万元，公务用车运行维护费15.00万元。公务用车运行维护费开支内容包括车辆加油费、维修费、保险费、审车费、过路费。公务用车购置数0辆，公务用车保有量10辆。国有资产占用情况中固定资产车辆8辆，与公务用车保有量差异原因是：借用其他单位车辆2辆，车辆费用由本单位支付。</w:t>
      </w:r>
    </w:p>
    <w:p w14:paraId="62CC7EC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9F7729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15.00万元，决算数15.00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15.00万元，决算数15.00万元，预决算差异率0.00%，主要原因是：严格按照预算执行，预决算无差异。公务接待费全年预算数0.00万元，决算数0.00万元，预决算差异率0.00%，主要原因是：本单位无公务接待费。</w:t>
      </w:r>
    </w:p>
    <w:p w14:paraId="22E743C7">
      <w:pPr>
        <w:spacing w:line="640" w:lineRule="exact"/>
        <w:ind w:firstLine="640"/>
        <w:jc w:val="both"/>
        <w:outlineLvl w:val="2"/>
      </w:pPr>
      <w:r>
        <w:rPr>
          <w:rFonts w:ascii="黑体" w:hAnsi="黑体" w:eastAsia="黑体"/>
          <w:sz w:val="32"/>
        </w:rPr>
        <w:t>十、其他重要事项的情况说明</w:t>
      </w:r>
    </w:p>
    <w:p w14:paraId="5764F420">
      <w:pPr>
        <w:spacing w:line="640" w:lineRule="exact"/>
        <w:ind w:firstLine="640"/>
        <w:jc w:val="both"/>
        <w:outlineLvl w:val="3"/>
      </w:pPr>
      <w:r>
        <w:rPr>
          <w:rFonts w:ascii="楷体_GB2312" w:hAnsi="楷体_GB2312" w:eastAsia="楷体_GB2312"/>
          <w:b/>
          <w:sz w:val="32"/>
        </w:rPr>
        <w:t>（一）机关运行经费及公用经费支出情况</w:t>
      </w:r>
    </w:p>
    <w:p w14:paraId="3665252E">
      <w:pPr>
        <w:spacing w:line="580" w:lineRule="exact"/>
        <w:ind w:firstLine="640"/>
        <w:jc w:val="both"/>
      </w:pPr>
      <w:r>
        <w:rPr>
          <w:rFonts w:ascii="仿宋_GB2312" w:hAnsi="仿宋_GB2312" w:eastAsia="仿宋_GB2312"/>
          <w:b w:val="0"/>
          <w:sz w:val="32"/>
        </w:rPr>
        <w:t>2024年度和田地区交通运输综合行政执法局（行政单位和参照公务员法管理事业单位）机关运行经费支出43.22万元，比上年增加5.23万元，增长13.77%，主要原因是：本年办公费、取暖费增加，导致机关运行经费较上年增加。</w:t>
      </w:r>
    </w:p>
    <w:p w14:paraId="70DE03B7">
      <w:pPr>
        <w:spacing w:line="640" w:lineRule="exact"/>
        <w:ind w:firstLine="640"/>
        <w:jc w:val="both"/>
        <w:outlineLvl w:val="3"/>
      </w:pPr>
      <w:r>
        <w:rPr>
          <w:rFonts w:ascii="楷体_GB2312" w:hAnsi="楷体_GB2312" w:eastAsia="楷体_GB2312"/>
          <w:b/>
          <w:sz w:val="32"/>
        </w:rPr>
        <w:t>（二）政府采购情况</w:t>
      </w:r>
    </w:p>
    <w:p w14:paraId="7E73017E">
      <w:pPr>
        <w:spacing w:line="580" w:lineRule="exact"/>
        <w:ind w:firstLine="640"/>
        <w:jc w:val="both"/>
      </w:pPr>
      <w:r>
        <w:rPr>
          <w:rFonts w:ascii="仿宋_GB2312" w:hAnsi="仿宋_GB2312" w:eastAsia="仿宋_GB2312"/>
          <w:b w:val="0"/>
          <w:sz w:val="32"/>
        </w:rPr>
        <w:t>2024年度政府采购支出总额65.40万元，其中：政府采购货物支出2.08万元、政府采购工程支出57.00万元、政府采购服务支出6.31万元。</w:t>
      </w:r>
    </w:p>
    <w:p w14:paraId="11136813">
      <w:pPr>
        <w:spacing w:line="580" w:lineRule="exact"/>
        <w:ind w:firstLine="640"/>
        <w:jc w:val="both"/>
      </w:pPr>
      <w:r>
        <w:rPr>
          <w:rFonts w:ascii="仿宋_GB2312" w:hAnsi="仿宋_GB2312" w:eastAsia="仿宋_GB2312"/>
          <w:b w:val="0"/>
          <w:sz w:val="32"/>
        </w:rPr>
        <w:t>授予中小企业合同金额65.40万元，占政府采购支出总额的100.00%，其中：授予小微企业合同金额65.40万元，占政府采购支出总额的100.00%。</w:t>
      </w:r>
    </w:p>
    <w:p w14:paraId="07580281">
      <w:pPr>
        <w:spacing w:line="640" w:lineRule="exact"/>
        <w:ind w:firstLine="640"/>
        <w:jc w:val="both"/>
        <w:outlineLvl w:val="3"/>
      </w:pPr>
      <w:r>
        <w:rPr>
          <w:rFonts w:ascii="楷体_GB2312" w:hAnsi="楷体_GB2312" w:eastAsia="楷体_GB2312"/>
          <w:b/>
          <w:sz w:val="32"/>
        </w:rPr>
        <w:t>（三）国有资产占用情况说明</w:t>
      </w:r>
    </w:p>
    <w:p w14:paraId="26173701">
      <w:pPr>
        <w:spacing w:line="580" w:lineRule="exact"/>
        <w:ind w:firstLine="640"/>
        <w:jc w:val="both"/>
      </w:pPr>
      <w:r>
        <w:rPr>
          <w:rFonts w:ascii="仿宋_GB2312" w:hAnsi="仿宋_GB2312" w:eastAsia="仿宋_GB2312"/>
          <w:b w:val="0"/>
          <w:sz w:val="32"/>
        </w:rPr>
        <w:t>截至2024年12月31日，房屋7,481.29平方米，价值565.56万元。车辆8辆，价值184.57万元，其中：副部（省）级及以上领导用车0辆、主要负责人用车0辆、机要通信用车0辆、应急保障用车0辆、执法执勤用车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8</w:t>
      </w:r>
      <w:r>
        <w:rPr>
          <w:rFonts w:ascii="仿宋_GB2312" w:hAnsi="仿宋_GB2312" w:eastAsia="仿宋_GB2312"/>
          <w:b w:val="0"/>
          <w:sz w:val="32"/>
        </w:rPr>
        <w:t>辆，其他用车主要是：一般公务用车，用于保障行政工作的正常开展。单价100万元（含）以上设备（不含车辆）0台（套）。</w:t>
      </w:r>
    </w:p>
    <w:p w14:paraId="1624FACD">
      <w:pPr>
        <w:spacing w:line="640" w:lineRule="exact"/>
        <w:ind w:firstLine="640"/>
        <w:jc w:val="both"/>
        <w:outlineLvl w:val="2"/>
      </w:pPr>
      <w:r>
        <w:rPr>
          <w:rFonts w:ascii="黑体" w:hAnsi="黑体" w:eastAsia="黑体"/>
          <w:sz w:val="32"/>
        </w:rPr>
        <w:t>十一、预算绩效的情况说明</w:t>
      </w:r>
    </w:p>
    <w:p w14:paraId="1997053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818.01万元，实际执行总额817.99万元；预算绩效评价项目3个，全年预算数171.33万元，全年执行数171.33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今年以来，虽然各项工作都有了新的变化，并取得一定成绩，但与上级要求还有很大差距。一是执法工作震慑力不足，信息化水平低</w:t>
      </w:r>
      <w:r>
        <w:rPr>
          <w:rFonts w:hint="eastAsia" w:ascii="仿宋_GB2312" w:hAnsi="仿宋_GB2312" w:eastAsia="仿宋_GB2312"/>
          <w:b w:val="0"/>
          <w:sz w:val="32"/>
          <w:lang w:eastAsia="zh-CN"/>
        </w:rPr>
        <w:t>。</w:t>
      </w:r>
      <w:r>
        <w:rPr>
          <w:rFonts w:ascii="仿宋_GB2312" w:hAnsi="仿宋_GB2312" w:eastAsia="仿宋_GB2312"/>
          <w:b w:val="0"/>
          <w:sz w:val="32"/>
        </w:rPr>
        <w:t>如：对企业安全主体责任落实不够，GPS动态监管不到位等问题，执法过程中不同程度</w:t>
      </w:r>
      <w:r>
        <w:rPr>
          <w:rFonts w:hint="eastAsia" w:ascii="仿宋_GB2312" w:hAnsi="仿宋_GB2312" w:eastAsia="仿宋_GB2312"/>
          <w:b w:val="0"/>
          <w:sz w:val="32"/>
          <w:lang w:eastAsia="zh-CN"/>
        </w:rPr>
        <w:t>地</w:t>
      </w:r>
      <w:r>
        <w:rPr>
          <w:rFonts w:ascii="仿宋_GB2312" w:hAnsi="仿宋_GB2312" w:eastAsia="仿宋_GB2312"/>
          <w:b w:val="0"/>
          <w:sz w:val="32"/>
        </w:rPr>
        <w:t>存在“只检查不执法、只执法不处罚”的问题。二是“执法普法”工作开展质量不高。部分企业法人及管理人员法律法规和遵章守规意识差，导致企业管理混乱、车辆管理不到位、驾驶员教育培训流于形式等问题突出。三是工程质量监督执法工作较为薄弱。部分县（市）质量监督技术力量匮乏，质量监督执法履职不到位。四是执法队伍能力不足。地县市执法改革后，执法干部人员不足、年龄偏大、不会执法的问题依然存在。下一步改进措施：我们将深化“执法为民、服务发展”理念，深入推进严格规范公正文明执法。以大数据执法为手段，提升执法能力。充分运用GPS、12123、驾驶员教育培训平台及运政、安全生产监管、执法检查等各类平台和系统，建立数据执法、数据分析制度，对执法数据科学统计，打造事前、事中、事后监管全链条模式，让数据多跑路、使数据会说话，对高风险及事故企业更加有效精准执法。以严格执法为关键，提升执法质量。以联合执法为常态，使执法有力度有温度。积极开展跨部门联合</w:t>
      </w:r>
      <w:r>
        <w:rPr>
          <w:rFonts w:hint="eastAsia" w:ascii="仿宋_GB2312" w:hAnsi="仿宋_GB2312" w:eastAsia="仿宋_GB2312"/>
          <w:b w:val="0"/>
          <w:sz w:val="32"/>
          <w:lang w:eastAsia="zh-CN"/>
        </w:rPr>
        <w:t>“双随机一公开”</w:t>
      </w:r>
      <w:r>
        <w:rPr>
          <w:rFonts w:ascii="仿宋_GB2312" w:hAnsi="仿宋_GB2312" w:eastAsia="仿宋_GB2312"/>
          <w:b w:val="0"/>
          <w:sz w:val="32"/>
        </w:rPr>
        <w:t>执法监管工作，按照“周有计划、月有总结”，执法工作覆盖行业各领域，结合企业情况确定执法频次，推进行业企业依法合规经营、从业人员素质全面提升。以落实责任为抓手，加大安全生产监管力度。继续围绕“人、车、路、企”全链条抓好行业安全生产监管，将隐患按事故对待，抓好隐患排查整治，做到各类事故风险隐患有效管理和“动态清零”，实现高风险企业明显下降，事故起数、死亡人数继续下降。以执法队伍建设为主线，提升执法队伍的整体形象。积极推进执法人员轮岗交流，适时研究提出科级领导干部及职级晋升人员人选，不断激发党员干部干事创业激情。加大对执法人员的业务培训和廉政教育力度，进一步提升交通执法队伍执法能力和水平，打造一支忠诚、干净、担当的交通综合执法铁军。具体附整体支出绩效自评表，项目支出绩效自评表和评价报告。</w:t>
      </w:r>
    </w:p>
    <w:p w14:paraId="501742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5FE6A5">
        <w:tc>
          <w:tcPr>
            <w:tcW w:w="8847" w:type="dxa"/>
            <w:gridSpan w:val="9"/>
            <w:vAlign w:val="center"/>
          </w:tcPr>
          <w:p w14:paraId="14B2AF40">
            <w:pPr>
              <w:jc w:val="center"/>
            </w:pPr>
            <w:r>
              <w:rPr>
                <w:rFonts w:ascii="宋体" w:hAnsi="宋体" w:eastAsia="宋体"/>
                <w:sz w:val="24"/>
              </w:rPr>
              <w:t>单位整体支出绩效自评表</w:t>
            </w:r>
          </w:p>
        </w:tc>
      </w:tr>
      <w:tr w14:paraId="07A7B85D">
        <w:tc>
          <w:tcPr>
            <w:tcW w:w="8847" w:type="dxa"/>
            <w:gridSpan w:val="9"/>
            <w:vAlign w:val="center"/>
          </w:tcPr>
          <w:p w14:paraId="212DA992">
            <w:pPr>
              <w:jc w:val="center"/>
            </w:pPr>
            <w:r>
              <w:rPr>
                <w:rFonts w:ascii="宋体" w:hAnsi="宋体" w:eastAsia="宋体"/>
                <w:sz w:val="24"/>
              </w:rPr>
              <w:t>（2024年度）</w:t>
            </w:r>
          </w:p>
        </w:tc>
      </w:tr>
      <w:tr w14:paraId="0F85C12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070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D5835D">
            <w:pPr>
              <w:jc w:val="center"/>
            </w:pPr>
            <w:r>
              <w:rPr>
                <w:rFonts w:ascii="宋体" w:hAnsi="宋体" w:eastAsia="宋体"/>
                <w:sz w:val="16"/>
              </w:rPr>
              <w:t>和田地区交通运输综合行政执法局</w:t>
            </w:r>
          </w:p>
        </w:tc>
      </w:tr>
      <w:tr w14:paraId="24887BA6">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82EE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AD29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BD93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7E99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4851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C64F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7811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B8FE7">
            <w:pPr>
              <w:jc w:val="center"/>
            </w:pPr>
            <w:r>
              <w:rPr>
                <w:rFonts w:ascii="宋体" w:hAnsi="宋体" w:eastAsia="宋体"/>
                <w:sz w:val="16"/>
              </w:rPr>
              <w:t>得分</w:t>
            </w:r>
          </w:p>
        </w:tc>
      </w:tr>
      <w:tr w14:paraId="03C4767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A08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D070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9A8CD">
            <w:pPr>
              <w:jc w:val="center"/>
            </w:pPr>
            <w:r>
              <w:rPr>
                <w:rFonts w:ascii="宋体" w:hAnsi="宋体" w:eastAsia="宋体"/>
                <w:sz w:val="16"/>
              </w:rPr>
              <w:t>647.37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1484">
            <w:pPr>
              <w:jc w:val="center"/>
            </w:pPr>
            <w:r>
              <w:rPr>
                <w:rFonts w:ascii="宋体" w:hAnsi="宋体" w:eastAsia="宋体"/>
                <w:sz w:val="16"/>
              </w:rPr>
              <w:t>818.01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91DB">
            <w:pPr>
              <w:jc w:val="center"/>
            </w:pPr>
            <w:r>
              <w:rPr>
                <w:rFonts w:ascii="宋体" w:hAnsi="宋体" w:eastAsia="宋体"/>
                <w:sz w:val="16"/>
              </w:rPr>
              <w:t>817.99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733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0D619">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1EB70">
            <w:pPr>
              <w:jc w:val="center"/>
            </w:pPr>
            <w:r>
              <w:rPr>
                <w:rFonts w:ascii="宋体" w:hAnsi="宋体" w:eastAsia="宋体"/>
                <w:sz w:val="16"/>
              </w:rPr>
              <w:t>10</w:t>
            </w:r>
          </w:p>
        </w:tc>
      </w:tr>
      <w:tr w14:paraId="3F60CED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A76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81F6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9A24E">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8B2B3">
            <w:pPr>
              <w:jc w:val="center"/>
            </w:pPr>
            <w:r>
              <w:rPr>
                <w:rFonts w:ascii="宋体" w:hAnsi="宋体" w:eastAsia="宋体"/>
                <w:sz w:val="16"/>
              </w:rPr>
              <w:t>12.18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3A5E">
            <w:pPr>
              <w:jc w:val="center"/>
            </w:pPr>
            <w:r>
              <w:rPr>
                <w:rFonts w:ascii="宋体" w:hAnsi="宋体" w:eastAsia="宋体"/>
                <w:sz w:val="16"/>
              </w:rPr>
              <w:t>12.18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B9E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BF77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03653">
            <w:pPr>
              <w:jc w:val="center"/>
            </w:pPr>
            <w:r>
              <w:rPr>
                <w:rFonts w:ascii="宋体" w:hAnsi="宋体" w:eastAsia="宋体"/>
                <w:sz w:val="16"/>
              </w:rPr>
              <w:t>—</w:t>
            </w:r>
          </w:p>
        </w:tc>
      </w:tr>
      <w:tr w14:paraId="6E456B8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100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9899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4D75E">
            <w:pPr>
              <w:jc w:val="center"/>
            </w:pPr>
            <w:r>
              <w:rPr>
                <w:rFonts w:ascii="宋体" w:hAnsi="宋体" w:eastAsia="宋体"/>
                <w:sz w:val="16"/>
              </w:rPr>
              <w:t>647.19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93A76">
            <w:pPr>
              <w:jc w:val="center"/>
            </w:pPr>
            <w:r>
              <w:rPr>
                <w:rFonts w:ascii="宋体" w:hAnsi="宋体" w:eastAsia="宋体"/>
                <w:sz w:val="16"/>
              </w:rPr>
              <w:t>675.65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CA6FF">
            <w:pPr>
              <w:jc w:val="center"/>
            </w:pPr>
            <w:r>
              <w:rPr>
                <w:rFonts w:ascii="宋体" w:hAnsi="宋体" w:eastAsia="宋体"/>
                <w:sz w:val="16"/>
              </w:rPr>
              <w:t>675.63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1CF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6131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770F">
            <w:pPr>
              <w:jc w:val="center"/>
            </w:pPr>
            <w:r>
              <w:rPr>
                <w:rFonts w:ascii="宋体" w:hAnsi="宋体" w:eastAsia="宋体"/>
                <w:sz w:val="16"/>
              </w:rPr>
              <w:t>—</w:t>
            </w:r>
          </w:p>
        </w:tc>
      </w:tr>
      <w:tr w14:paraId="2112C0E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302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C7FA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06B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5B353">
            <w:pPr>
              <w:jc w:val="center"/>
            </w:pPr>
            <w:r>
              <w:rPr>
                <w:rFonts w:ascii="宋体" w:hAnsi="宋体" w:eastAsia="宋体"/>
                <w:sz w:val="16"/>
              </w:rPr>
              <w:t>130.18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19AD9">
            <w:pPr>
              <w:jc w:val="center"/>
            </w:pPr>
            <w:r>
              <w:rPr>
                <w:rFonts w:ascii="宋体" w:hAnsi="宋体" w:eastAsia="宋体"/>
                <w:sz w:val="16"/>
              </w:rPr>
              <w:t>130.18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57F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2FF5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06D40">
            <w:pPr>
              <w:jc w:val="center"/>
            </w:pPr>
            <w:r>
              <w:rPr>
                <w:rFonts w:ascii="宋体" w:hAnsi="宋体" w:eastAsia="宋体"/>
                <w:sz w:val="16"/>
              </w:rPr>
              <w:t>—</w:t>
            </w:r>
          </w:p>
        </w:tc>
      </w:tr>
      <w:tr w14:paraId="46AA1D43">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BC9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5EF80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2257F2">
            <w:pPr>
              <w:jc w:val="center"/>
            </w:pPr>
            <w:r>
              <w:rPr>
                <w:rFonts w:ascii="宋体" w:hAnsi="宋体" w:eastAsia="宋体"/>
                <w:sz w:val="16"/>
              </w:rPr>
              <w:t>实际完成目标</w:t>
            </w:r>
          </w:p>
        </w:tc>
      </w:tr>
      <w:tr w14:paraId="0A9F7E2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7D1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85E6CD">
            <w:pPr>
              <w:ind w:firstLine="320" w:firstLineChars="200"/>
              <w:jc w:val="both"/>
            </w:pPr>
            <w:r>
              <w:rPr>
                <w:rFonts w:ascii="宋体" w:hAnsi="宋体" w:eastAsia="宋体"/>
                <w:sz w:val="16"/>
              </w:rPr>
              <w:t>2024年</w:t>
            </w:r>
            <w:r>
              <w:rPr>
                <w:rFonts w:hint="eastAsia" w:ascii="宋体" w:hAnsi="宋体" w:cs="宋体"/>
                <w:sz w:val="16"/>
                <w:szCs w:val="16"/>
              </w:rPr>
              <w:t>在</w:t>
            </w:r>
            <w:r>
              <w:rPr>
                <w:rFonts w:hint="eastAsia" w:ascii="宋体" w:hAnsi="宋体" w:cs="宋体"/>
                <w:sz w:val="16"/>
                <w:szCs w:val="16"/>
                <w:lang w:val="en-US" w:eastAsia="zh-CN"/>
              </w:rPr>
              <w:t>和田地委、行署</w:t>
            </w:r>
            <w:r>
              <w:rPr>
                <w:rFonts w:hint="eastAsia" w:ascii="宋体" w:hAnsi="宋体" w:cs="宋体"/>
                <w:sz w:val="16"/>
                <w:szCs w:val="16"/>
              </w:rPr>
              <w:t>的坚强领导下，紧紧围绕以习近平同志为核心的党中央治疆方略、特别是社会稳定和长治久安总目标，扎实推进各项重点工作任务。坚持“稳”字当头，促进交通运输体系良性循环和健康发展；保障道路安全畅通，维护地区经济稳定增长。
</w:t>
            </w:r>
            <w:r>
              <w:rPr>
                <w:rFonts w:hint="eastAsia" w:ascii="宋体" w:hAnsi="宋体" w:cs="宋体"/>
                <w:sz w:val="16"/>
                <w:szCs w:val="16"/>
              </w:rPr>
              <w:br w:type="textWrapping"/>
            </w:r>
            <w:r>
              <w:rPr>
                <w:rFonts w:hint="eastAsia" w:ascii="宋体" w:hAnsi="宋体" w:cs="宋体"/>
                <w:sz w:val="16"/>
                <w:szCs w:val="16"/>
                <w:lang w:val="en-US" w:eastAsia="zh-CN"/>
              </w:rPr>
              <w:t xml:space="preserve">    </w:t>
            </w:r>
            <w:r>
              <w:rPr>
                <w:rFonts w:hint="eastAsia" w:ascii="宋体" w:hAnsi="宋体" w:cs="宋体"/>
                <w:sz w:val="16"/>
                <w:szCs w:val="16"/>
              </w:rPr>
              <w:t>目标一：对全地区危险货物运输企业及地区交通运输局许可的交通运输企业进行开展“双随机一公开”检查行业100%覆盖，行业内检查覆盖率达5%。
</w:t>
            </w:r>
            <w:r>
              <w:rPr>
                <w:rFonts w:hint="eastAsia" w:ascii="宋体" w:hAnsi="宋体" w:cs="宋体"/>
                <w:sz w:val="16"/>
                <w:szCs w:val="16"/>
              </w:rPr>
              <w:br w:type="textWrapping"/>
            </w:r>
            <w:r>
              <w:rPr>
                <w:rFonts w:hint="eastAsia" w:ascii="宋体" w:hAnsi="宋体" w:cs="宋体"/>
                <w:sz w:val="16"/>
                <w:szCs w:val="16"/>
                <w:lang w:val="en-US" w:eastAsia="zh-CN"/>
              </w:rPr>
              <w:t xml:space="preserve">    </w:t>
            </w:r>
            <w:r>
              <w:rPr>
                <w:rFonts w:hint="eastAsia" w:ascii="宋体" w:hAnsi="宋体" w:cs="宋体"/>
                <w:sz w:val="16"/>
                <w:szCs w:val="16"/>
              </w:rPr>
              <w:t>目标二：指导各县市为保障全地区境内道路交通运输管理各项业务工作正常畅通高效运转。
</w:t>
            </w:r>
            <w:r>
              <w:rPr>
                <w:rFonts w:hint="eastAsia" w:ascii="宋体" w:hAnsi="宋体" w:cs="宋体"/>
                <w:sz w:val="16"/>
                <w:szCs w:val="16"/>
              </w:rPr>
              <w:br w:type="textWrapping"/>
            </w:r>
            <w:r>
              <w:rPr>
                <w:rFonts w:hint="eastAsia" w:ascii="宋体" w:hAnsi="宋体" w:cs="宋体"/>
                <w:sz w:val="16"/>
                <w:szCs w:val="16"/>
                <w:lang w:val="en-US" w:eastAsia="zh-CN"/>
              </w:rPr>
              <w:t xml:space="preserve">    </w:t>
            </w:r>
            <w:r>
              <w:rPr>
                <w:rFonts w:hint="eastAsia" w:ascii="宋体" w:hAnsi="宋体" w:cs="宋体"/>
                <w:sz w:val="16"/>
                <w:szCs w:val="16"/>
              </w:rPr>
              <w:t>目标三：落实全地区农村公路覆盖巡查。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107497">
            <w:pPr>
              <w:ind w:firstLine="320" w:firstLineChars="200"/>
              <w:jc w:val="both"/>
            </w:pPr>
            <w:r>
              <w:rPr>
                <w:rFonts w:hint="eastAsia" w:ascii="宋体" w:hAnsi="宋体"/>
                <w:sz w:val="16"/>
                <w:lang w:eastAsia="zh-CN"/>
              </w:rPr>
              <w:t>截至2024</w:t>
            </w:r>
            <w:r>
              <w:rPr>
                <w:rFonts w:ascii="宋体" w:hAnsi="宋体" w:eastAsia="宋体"/>
                <w:sz w:val="16"/>
              </w:rPr>
              <w:t>年12月31日，本单位实际完成检查报告数量3份，全年对全地区危货运输企业及地区交通局许可的交通运输企业开展“双随机一公开”全覆盖检查，行业内检查覆盖率达100%，实际形成支出817.99万元，通过完成以上工作，实现了交通运输工作的高效开展、保障单位正常运转等效益。</w:t>
            </w:r>
          </w:p>
        </w:tc>
      </w:tr>
      <w:tr w14:paraId="32B50803">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EC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C127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529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13E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E02F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B782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4415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41CE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DA23">
            <w:pPr>
              <w:jc w:val="center"/>
            </w:pPr>
            <w:r>
              <w:rPr>
                <w:rFonts w:ascii="宋体" w:hAnsi="宋体" w:eastAsia="宋体"/>
                <w:sz w:val="16"/>
              </w:rPr>
              <w:t>得分</w:t>
            </w:r>
          </w:p>
        </w:tc>
      </w:tr>
      <w:tr w14:paraId="54A2B43E">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4C671">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80E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2DDFB">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FCF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B3CA">
            <w:pPr>
              <w:jc w:val="center"/>
            </w:pPr>
            <w:r>
              <w:rPr>
                <w:rFonts w:ascii="宋体" w:hAnsi="宋体" w:eastAsia="宋体"/>
                <w:sz w:val="16"/>
              </w:rPr>
              <w:t>《关于加强“三公”经费管理严控一般性支出的通知》财预</w:t>
            </w:r>
            <w:r>
              <w:rPr>
                <w:rFonts w:hint="eastAsia" w:ascii="宋体" w:hAnsi="宋体"/>
                <w:sz w:val="16"/>
                <w:lang w:eastAsia="zh-CN"/>
              </w:rPr>
              <w:t>〔2022〕126号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220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5D4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736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E1EB6">
            <w:pPr>
              <w:jc w:val="center"/>
            </w:pPr>
            <w:r>
              <w:rPr>
                <w:rFonts w:ascii="宋体" w:hAnsi="宋体" w:eastAsia="宋体"/>
                <w:sz w:val="16"/>
              </w:rPr>
              <w:t>10</w:t>
            </w:r>
          </w:p>
        </w:tc>
      </w:tr>
      <w:tr w14:paraId="64058AA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72A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168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A4939">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F6E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19DD">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DD9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460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CE4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3B642">
            <w:pPr>
              <w:jc w:val="center"/>
            </w:pPr>
            <w:r>
              <w:rPr>
                <w:rFonts w:ascii="宋体" w:hAnsi="宋体" w:eastAsia="宋体"/>
                <w:sz w:val="16"/>
              </w:rPr>
              <w:t>10</w:t>
            </w:r>
          </w:p>
        </w:tc>
      </w:tr>
      <w:tr w14:paraId="6C27FE85">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0B5E7">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AA7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CF819">
            <w:pPr>
              <w:jc w:val="center"/>
            </w:pPr>
            <w:r>
              <w:rPr>
                <w:rFonts w:ascii="宋体" w:hAnsi="宋体" w:eastAsia="宋体"/>
                <w:sz w:val="16"/>
              </w:rPr>
              <w:t>完成检查报告数量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776AF">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3724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9A5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4A780">
            <w:pPr>
              <w:jc w:val="center"/>
            </w:pPr>
            <w:r>
              <w:rPr>
                <w:rFonts w:ascii="宋体" w:hAnsi="宋体" w:eastAsia="宋体"/>
                <w:sz w:val="16"/>
              </w:rPr>
              <w:t>3份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0E22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EC650">
            <w:pPr>
              <w:jc w:val="center"/>
            </w:pPr>
            <w:r>
              <w:rPr>
                <w:rFonts w:ascii="宋体" w:hAnsi="宋体" w:eastAsia="宋体"/>
                <w:sz w:val="16"/>
              </w:rPr>
              <w:t>10</w:t>
            </w:r>
          </w:p>
        </w:tc>
      </w:tr>
      <w:tr w14:paraId="153C151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1BF6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69AB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19EE4">
            <w:pPr>
              <w:jc w:val="center"/>
            </w:pPr>
            <w:r>
              <w:rPr>
                <w:rFonts w:ascii="宋体" w:hAnsi="宋体" w:eastAsia="宋体"/>
                <w:sz w:val="16"/>
              </w:rPr>
              <w:t>两客一危一货检查覆盖率（%）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F7A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F386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4B8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7A4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872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50E1">
            <w:pPr>
              <w:jc w:val="center"/>
            </w:pPr>
            <w:r>
              <w:rPr>
                <w:rFonts w:ascii="宋体" w:hAnsi="宋体" w:eastAsia="宋体"/>
                <w:sz w:val="16"/>
              </w:rPr>
              <w:t>20</w:t>
            </w:r>
          </w:p>
        </w:tc>
      </w:tr>
      <w:tr w14:paraId="4F2CFFB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0B1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7A8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7C7D8">
            <w:pPr>
              <w:jc w:val="center"/>
            </w:pPr>
            <w:r>
              <w:rPr>
                <w:rFonts w:ascii="宋体" w:hAnsi="宋体" w:eastAsia="宋体"/>
                <w:sz w:val="16"/>
              </w:rPr>
              <w:t>检查结果公开率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0D10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D1D3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AF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C4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A2F4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D4A91">
            <w:pPr>
              <w:jc w:val="center"/>
            </w:pPr>
            <w:r>
              <w:rPr>
                <w:rFonts w:ascii="宋体" w:hAnsi="宋体" w:eastAsia="宋体"/>
                <w:sz w:val="16"/>
              </w:rPr>
              <w:t>20</w:t>
            </w:r>
          </w:p>
        </w:tc>
      </w:tr>
      <w:tr w14:paraId="6D5EE25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A16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867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D31FE">
            <w:pPr>
              <w:jc w:val="center"/>
            </w:pPr>
            <w:r>
              <w:rPr>
                <w:rFonts w:ascii="宋体" w:hAnsi="宋体" w:eastAsia="宋体"/>
                <w:sz w:val="16"/>
              </w:rPr>
              <w:t>业务流程提升率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77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73E38">
            <w:pPr>
              <w:jc w:val="center"/>
            </w:pPr>
            <w:r>
              <w:rPr>
                <w:rFonts w:ascii="宋体" w:hAnsi="宋体" w:eastAsia="宋体"/>
                <w:sz w:val="16"/>
              </w:rPr>
              <w:t>《道路运输工作管理规范》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650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719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888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39025">
            <w:pPr>
              <w:jc w:val="center"/>
            </w:pPr>
            <w:r>
              <w:rPr>
                <w:rFonts w:ascii="宋体" w:hAnsi="宋体" w:eastAsia="宋体"/>
                <w:sz w:val="16"/>
              </w:rPr>
              <w:t>10</w:t>
            </w:r>
          </w:p>
        </w:tc>
      </w:tr>
      <w:tr w14:paraId="4D6BFDE2">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F881C">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6B4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3AAE3">
            <w:pPr>
              <w:jc w:val="center"/>
            </w:pPr>
            <w:r>
              <w:rPr>
                <w:rFonts w:ascii="宋体" w:hAnsi="宋体" w:eastAsia="宋体"/>
                <w:sz w:val="16"/>
              </w:rPr>
              <w:t>经营业户满意度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2822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5BCC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704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69A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DEC9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1DB2">
            <w:pPr>
              <w:jc w:val="center"/>
            </w:pPr>
            <w:r>
              <w:rPr>
                <w:rFonts w:ascii="宋体" w:hAnsi="宋体" w:eastAsia="宋体"/>
                <w:sz w:val="16"/>
              </w:rPr>
              <w:t>10</w:t>
            </w:r>
          </w:p>
        </w:tc>
      </w:tr>
    </w:tbl>
    <w:p w14:paraId="53A8B1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67989C">
        <w:tblPrEx>
          <w:tblCellMar>
            <w:top w:w="0" w:type="dxa"/>
            <w:left w:w="108" w:type="dxa"/>
            <w:bottom w:w="0" w:type="dxa"/>
            <w:right w:w="108" w:type="dxa"/>
          </w:tblCellMar>
        </w:tblPrEx>
        <w:tc>
          <w:tcPr>
            <w:tcW w:w="8847" w:type="dxa"/>
            <w:gridSpan w:val="9"/>
            <w:vAlign w:val="center"/>
          </w:tcPr>
          <w:p w14:paraId="2348AA2E">
            <w:pPr>
              <w:jc w:val="center"/>
            </w:pPr>
            <w:r>
              <w:rPr>
                <w:rFonts w:ascii="宋体" w:hAnsi="宋体" w:eastAsia="宋体"/>
                <w:sz w:val="24"/>
              </w:rPr>
              <w:t>项目支出绩效自评表</w:t>
            </w:r>
          </w:p>
        </w:tc>
      </w:tr>
      <w:tr w14:paraId="2EDAC0DC">
        <w:tblPrEx>
          <w:tblCellMar>
            <w:top w:w="0" w:type="dxa"/>
            <w:left w:w="108" w:type="dxa"/>
            <w:bottom w:w="0" w:type="dxa"/>
            <w:right w:w="108" w:type="dxa"/>
          </w:tblCellMar>
        </w:tblPrEx>
        <w:tc>
          <w:tcPr>
            <w:tcW w:w="8847" w:type="dxa"/>
            <w:gridSpan w:val="9"/>
            <w:vAlign w:val="center"/>
          </w:tcPr>
          <w:p w14:paraId="50B941FC">
            <w:pPr>
              <w:jc w:val="center"/>
            </w:pPr>
            <w:r>
              <w:rPr>
                <w:rFonts w:ascii="宋体" w:hAnsi="宋体" w:eastAsia="宋体"/>
                <w:sz w:val="24"/>
              </w:rPr>
              <w:t>(2024年度)</w:t>
            </w:r>
          </w:p>
        </w:tc>
      </w:tr>
      <w:tr w14:paraId="5E78BD68">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F909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7EC065">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230000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D9E0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E3A134">
            <w:pPr>
              <w:jc w:val="center"/>
            </w:pPr>
            <w:r>
              <w:rPr>
                <w:rFonts w:ascii="宋体" w:hAnsi="宋体" w:eastAsia="宋体"/>
                <w:sz w:val="16"/>
              </w:rPr>
              <w:t>和田地区交通运输综合行政执法局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42DE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0BEB94">
            <w:pPr>
              <w:jc w:val="center"/>
            </w:pPr>
            <w:r>
              <w:rPr>
                <w:rFonts w:ascii="宋体" w:hAnsi="宋体" w:eastAsia="宋体"/>
                <w:sz w:val="16"/>
              </w:rPr>
              <w:t>和田地区交通运输综合行政执法局</w:t>
            </w:r>
          </w:p>
        </w:tc>
      </w:tr>
      <w:tr w14:paraId="71FEE2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0F54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B20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510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03C3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CCD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9FF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9F73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61344">
            <w:pPr>
              <w:jc w:val="center"/>
            </w:pPr>
            <w:r>
              <w:rPr>
                <w:rFonts w:ascii="宋体" w:hAnsi="宋体" w:eastAsia="宋体"/>
                <w:sz w:val="16"/>
              </w:rPr>
              <w:t>得分</w:t>
            </w:r>
          </w:p>
        </w:tc>
      </w:tr>
      <w:tr w14:paraId="383197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5FD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9D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9CD0B">
            <w:pPr>
              <w:jc w:val="center"/>
            </w:pPr>
            <w:r>
              <w:rPr>
                <w:rFonts w:ascii="宋体" w:hAnsi="宋体" w:eastAsia="宋体"/>
                <w:sz w:val="16"/>
              </w:rPr>
              <w:t>12.18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3E90">
            <w:pPr>
              <w:jc w:val="center"/>
            </w:pPr>
            <w:r>
              <w:rPr>
                <w:rFonts w:ascii="宋体" w:hAnsi="宋体" w:eastAsia="宋体"/>
                <w:sz w:val="16"/>
              </w:rPr>
              <w:t>12.18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4ED6C">
            <w:pPr>
              <w:jc w:val="center"/>
            </w:pPr>
            <w:r>
              <w:rPr>
                <w:rFonts w:ascii="宋体" w:hAnsi="宋体" w:eastAsia="宋体"/>
                <w:sz w:val="16"/>
              </w:rPr>
              <w:t>12.18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34B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B9F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DDE56">
            <w:pPr>
              <w:jc w:val="center"/>
            </w:pPr>
            <w:r>
              <w:rPr>
                <w:rFonts w:ascii="宋体" w:hAnsi="宋体" w:eastAsia="宋体"/>
                <w:sz w:val="16"/>
              </w:rPr>
              <w:t>10.00分</w:t>
            </w:r>
          </w:p>
        </w:tc>
      </w:tr>
      <w:tr w14:paraId="406FD71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6BC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788C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E7C4">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C43AE">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5747B">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7CC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F31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7A9C0">
            <w:pPr>
              <w:jc w:val="center"/>
            </w:pPr>
            <w:r>
              <w:rPr>
                <w:rFonts w:ascii="宋体" w:hAnsi="宋体" w:eastAsia="宋体"/>
                <w:sz w:val="16"/>
              </w:rPr>
              <w:t>—</w:t>
            </w:r>
          </w:p>
        </w:tc>
      </w:tr>
      <w:tr w14:paraId="36475A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84B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EF78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2F6F5">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057AE">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4A75">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618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BCD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7922C">
            <w:pPr>
              <w:jc w:val="center"/>
            </w:pPr>
            <w:r>
              <w:rPr>
                <w:rFonts w:ascii="宋体" w:hAnsi="宋体" w:eastAsia="宋体"/>
                <w:sz w:val="16"/>
              </w:rPr>
              <w:t>—</w:t>
            </w:r>
          </w:p>
        </w:tc>
      </w:tr>
      <w:tr w14:paraId="7C9BA3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1F4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C279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566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290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3DA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D03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DC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02C01">
            <w:pPr>
              <w:jc w:val="center"/>
            </w:pPr>
            <w:r>
              <w:rPr>
                <w:rFonts w:ascii="宋体" w:hAnsi="宋体" w:eastAsia="宋体"/>
                <w:sz w:val="16"/>
              </w:rPr>
              <w:t>—</w:t>
            </w:r>
          </w:p>
        </w:tc>
      </w:tr>
      <w:tr w14:paraId="18F091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6E55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BEC9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1A835">
            <w:pPr>
              <w:jc w:val="center"/>
            </w:pPr>
            <w:r>
              <w:rPr>
                <w:rFonts w:ascii="宋体" w:hAnsi="宋体" w:eastAsia="宋体"/>
                <w:sz w:val="16"/>
              </w:rPr>
              <w:t>实际完成情况</w:t>
            </w:r>
          </w:p>
        </w:tc>
      </w:tr>
      <w:tr w14:paraId="5FC03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486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96E1A6">
            <w:pPr>
              <w:ind w:firstLine="320" w:firstLineChars="200"/>
              <w:jc w:val="both"/>
            </w:pPr>
            <w:r>
              <w:rPr>
                <w:rFonts w:ascii="宋体" w:hAnsi="宋体" w:eastAsia="宋体"/>
                <w:sz w:val="16"/>
              </w:rPr>
              <w:t>项目总资金为12.18万元，2024年</w:t>
            </w:r>
            <w:r>
              <w:rPr>
                <w:rFonts w:hint="eastAsia" w:ascii="宋体" w:hAnsi="宋体"/>
                <w:sz w:val="16"/>
                <w:lang w:eastAsia="zh-CN"/>
              </w:rPr>
              <w:t>本单位</w:t>
            </w:r>
            <w:r>
              <w:rPr>
                <w:rFonts w:ascii="宋体" w:hAnsi="宋体" w:eastAsia="宋体"/>
                <w:sz w:val="16"/>
              </w:rPr>
              <w:t>计划</w:t>
            </w:r>
            <w:r>
              <w:rPr>
                <w:rFonts w:hint="eastAsia" w:ascii="宋体" w:hAnsi="宋体"/>
                <w:sz w:val="16"/>
                <w:lang w:eastAsia="zh-CN"/>
              </w:rPr>
              <w:t>为民办实事</w:t>
            </w:r>
            <w:r>
              <w:rPr>
                <w:rFonts w:ascii="宋体" w:hAnsi="宋体" w:eastAsia="宋体"/>
                <w:sz w:val="16"/>
              </w:rPr>
              <w:t>工作派出1个点位，派出人数6人，开展为困难群众办实事、办好事10.18万元，第一书记工作经费2万元，待项目实施完成，落实惠民政策，推动强村富民，争取使受益人群满意度不低于95%。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82FAF8">
            <w:pPr>
              <w:ind w:firstLine="480" w:firstLineChars="300"/>
              <w:jc w:val="both"/>
            </w:pPr>
            <w:r>
              <w:rPr>
                <w:rFonts w:ascii="宋体" w:hAnsi="宋体" w:eastAsia="宋体"/>
                <w:sz w:val="16"/>
              </w:rPr>
              <w:t>截至2024年12月31日，项目实际支出12.18万元，执行率100%</w:t>
            </w:r>
            <w:r>
              <w:rPr>
                <w:rFonts w:hint="eastAsia" w:ascii="宋体" w:hAnsi="宋体"/>
                <w:sz w:val="16"/>
                <w:lang w:eastAsia="zh-CN"/>
              </w:rPr>
              <w:t>，</w:t>
            </w:r>
            <w:r>
              <w:rPr>
                <w:rFonts w:ascii="宋体" w:hAnsi="宋体" w:eastAsia="宋体"/>
                <w:sz w:val="16"/>
              </w:rPr>
              <w:t>保障工作队派出点1个，保障工作队人数6人，完成为民办实事6件，开展慰问6次，通过本项目的实施，解决了当地群众的生活困难，落实了惠民政策，带动基层组织，村民满意率达到100%。</w:t>
            </w:r>
          </w:p>
        </w:tc>
      </w:tr>
      <w:tr w14:paraId="7EE520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DF02C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EF1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CF0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12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45D3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1134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D7C9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C602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3609">
            <w:pPr>
              <w:jc w:val="center"/>
            </w:pPr>
            <w:r>
              <w:rPr>
                <w:rFonts w:ascii="宋体" w:hAnsi="宋体" w:eastAsia="宋体"/>
                <w:sz w:val="16"/>
              </w:rPr>
              <w:t>偏差原因分析及改进措施</w:t>
            </w:r>
          </w:p>
        </w:tc>
      </w:tr>
      <w:tr w14:paraId="316FFD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6C2D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4313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2DA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C435F">
            <w:pPr>
              <w:jc w:val="center"/>
            </w:pPr>
            <w:r>
              <w:rPr>
                <w:rFonts w:ascii="宋体" w:hAnsi="宋体" w:eastAsia="宋体"/>
                <w:sz w:val="16"/>
              </w:rPr>
              <w:t>保障工作队派出点数量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9162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252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736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AAA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2D27D">
            <w:pPr>
              <w:jc w:val="center"/>
            </w:pPr>
          </w:p>
        </w:tc>
      </w:tr>
      <w:tr w14:paraId="7A0ED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D82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D19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78A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01C99">
            <w:pPr>
              <w:jc w:val="center"/>
            </w:pPr>
            <w:r>
              <w:rPr>
                <w:rFonts w:ascii="宋体" w:hAnsi="宋体" w:eastAsia="宋体"/>
                <w:sz w:val="16"/>
              </w:rPr>
              <w:t>保障工作队人数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E0D08">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BE7B6">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180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3B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8AA5A">
            <w:pPr>
              <w:jc w:val="center"/>
            </w:pPr>
          </w:p>
        </w:tc>
      </w:tr>
      <w:tr w14:paraId="6833E4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74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130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A4B4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5DC48">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F5D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375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B032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7D35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58EBC">
            <w:pPr>
              <w:jc w:val="center"/>
            </w:pPr>
          </w:p>
        </w:tc>
      </w:tr>
      <w:tr w14:paraId="2F5E51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78E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DE1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1E7D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9C67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0362">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5F19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093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803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7192F">
            <w:pPr>
              <w:jc w:val="center"/>
            </w:pPr>
          </w:p>
        </w:tc>
      </w:tr>
      <w:tr w14:paraId="64813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D20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E59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3D9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6DB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725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1A5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2A46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E086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E598E">
            <w:pPr>
              <w:jc w:val="center"/>
            </w:pPr>
          </w:p>
        </w:tc>
      </w:tr>
      <w:tr w14:paraId="57D312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965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70EF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5F52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C326">
            <w:pPr>
              <w:jc w:val="center"/>
            </w:pPr>
            <w:r>
              <w:rPr>
                <w:rFonts w:ascii="宋体" w:hAnsi="宋体" w:eastAsia="宋体"/>
                <w:sz w:val="16"/>
              </w:rPr>
              <w:t>第一书记工作经费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F40F0">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8B317">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97B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7FB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39B86">
            <w:pPr>
              <w:jc w:val="center"/>
            </w:pPr>
          </w:p>
        </w:tc>
      </w:tr>
      <w:tr w14:paraId="095122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EE9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FED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45C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6BA48">
            <w:pPr>
              <w:jc w:val="center"/>
            </w:pPr>
            <w:r>
              <w:rPr>
                <w:rFonts w:ascii="宋体" w:hAnsi="宋体" w:eastAsia="宋体"/>
                <w:sz w:val="16"/>
              </w:rPr>
              <w:t>工作队为民办实事经费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27CFC">
            <w:pPr>
              <w:jc w:val="center"/>
            </w:pPr>
            <w:r>
              <w:rPr>
                <w:rFonts w:ascii="宋体" w:hAnsi="宋体" w:eastAsia="宋体"/>
                <w:sz w:val="16"/>
              </w:rPr>
              <w:t>≤10.18万元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66834">
            <w:pPr>
              <w:jc w:val="center"/>
            </w:pPr>
            <w:r>
              <w:rPr>
                <w:rFonts w:ascii="宋体" w:hAnsi="宋体" w:eastAsia="宋体"/>
                <w:sz w:val="16"/>
              </w:rPr>
              <w:t>=10.18万元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92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213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4AA3E">
            <w:pPr>
              <w:jc w:val="center"/>
            </w:pPr>
          </w:p>
        </w:tc>
      </w:tr>
      <w:tr w14:paraId="33DC65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763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97E3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A21A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BD21">
            <w:pPr>
              <w:jc w:val="center"/>
            </w:pPr>
            <w:r>
              <w:rPr>
                <w:rFonts w:ascii="宋体" w:hAnsi="宋体" w:eastAsia="宋体"/>
                <w:sz w:val="16"/>
              </w:rPr>
              <w:t>落实惠民政策，推动强村富民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CBD1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5035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3C0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2C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C97CB">
            <w:pPr>
              <w:jc w:val="center"/>
            </w:pPr>
          </w:p>
        </w:tc>
      </w:tr>
      <w:tr w14:paraId="4E5B4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A21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622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5260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DECC0">
            <w:pPr>
              <w:jc w:val="center"/>
            </w:pPr>
            <w:r>
              <w:rPr>
                <w:rFonts w:ascii="宋体" w:hAnsi="宋体" w:eastAsia="宋体"/>
                <w:sz w:val="16"/>
              </w:rPr>
              <w:t>受益工作队所在村村民满意度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D1A8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906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8B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2F4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C7F75">
            <w:pPr>
              <w:jc w:val="center"/>
            </w:pPr>
          </w:p>
        </w:tc>
      </w:tr>
      <w:tr w14:paraId="02F9BF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1361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14EC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6D83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AD746E">
            <w:pPr>
              <w:jc w:val="center"/>
            </w:pPr>
            <w:r>
              <w:rPr>
                <w:rFonts w:ascii="宋体" w:hAnsi="宋体" w:eastAsia="宋体"/>
                <w:sz w:val="16"/>
              </w:rPr>
              <w:t>100分</w:t>
            </w:r>
          </w:p>
        </w:tc>
      </w:tr>
    </w:tbl>
    <w:p w14:paraId="05BDEA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EEE587">
        <w:tc>
          <w:tcPr>
            <w:tcW w:w="8847" w:type="dxa"/>
            <w:gridSpan w:val="9"/>
            <w:vAlign w:val="center"/>
          </w:tcPr>
          <w:p w14:paraId="7BBAEBA5">
            <w:pPr>
              <w:jc w:val="center"/>
            </w:pPr>
            <w:r>
              <w:rPr>
                <w:rFonts w:ascii="宋体" w:hAnsi="宋体" w:eastAsia="宋体"/>
                <w:sz w:val="24"/>
              </w:rPr>
              <w:t>项目支出绩效自评表</w:t>
            </w:r>
          </w:p>
        </w:tc>
      </w:tr>
      <w:tr w14:paraId="417C397C">
        <w:tc>
          <w:tcPr>
            <w:tcW w:w="8847" w:type="dxa"/>
            <w:gridSpan w:val="9"/>
            <w:vAlign w:val="center"/>
          </w:tcPr>
          <w:p w14:paraId="1DD61D1F">
            <w:pPr>
              <w:jc w:val="center"/>
            </w:pPr>
            <w:r>
              <w:rPr>
                <w:rFonts w:ascii="宋体" w:hAnsi="宋体" w:eastAsia="宋体"/>
                <w:sz w:val="24"/>
              </w:rPr>
              <w:t>(2024年度)</w:t>
            </w:r>
          </w:p>
        </w:tc>
      </w:tr>
      <w:tr w14:paraId="4B8666D7">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E481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8A0D44">
            <w:pPr>
              <w:jc w:val="center"/>
            </w:pPr>
            <w:r>
              <w:rPr>
                <w:rFonts w:ascii="宋体" w:hAnsi="宋体" w:eastAsia="宋体"/>
                <w:sz w:val="16"/>
              </w:rPr>
              <w:t>交通运输综合行政执法管理费</w:t>
            </w:r>
          </w:p>
        </w:tc>
      </w:tr>
      <w:tr w14:paraId="1C90DB3D">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A94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EB80B0">
            <w:pPr>
              <w:jc w:val="center"/>
            </w:pPr>
            <w:r>
              <w:rPr>
                <w:rFonts w:ascii="宋体" w:hAnsi="宋体" w:eastAsia="宋体"/>
                <w:sz w:val="16"/>
              </w:rPr>
              <w:t>和田地区交通运输综合行政执法局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6EFF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283285">
            <w:pPr>
              <w:jc w:val="center"/>
            </w:pPr>
            <w:r>
              <w:rPr>
                <w:rFonts w:ascii="宋体" w:hAnsi="宋体" w:eastAsia="宋体"/>
                <w:sz w:val="16"/>
              </w:rPr>
              <w:t>和田地区交通运输综合行政执法局</w:t>
            </w:r>
          </w:p>
        </w:tc>
      </w:tr>
      <w:tr w14:paraId="7A1BFFF6">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6DFC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5CCF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C16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CD93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6B1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6D5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DC07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0B0E4">
            <w:pPr>
              <w:jc w:val="center"/>
            </w:pPr>
            <w:r>
              <w:rPr>
                <w:rFonts w:ascii="宋体" w:hAnsi="宋体" w:eastAsia="宋体"/>
                <w:sz w:val="16"/>
              </w:rPr>
              <w:t>得分</w:t>
            </w:r>
          </w:p>
        </w:tc>
      </w:tr>
      <w:tr w14:paraId="1B456A9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962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568A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F62E5">
            <w:pPr>
              <w:jc w:val="center"/>
            </w:pPr>
            <w:r>
              <w:rPr>
                <w:rFonts w:ascii="宋体" w:hAnsi="宋体" w:eastAsia="宋体"/>
                <w:sz w:val="16"/>
              </w:rPr>
              <w:t>29.10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3FD8B">
            <w:pPr>
              <w:jc w:val="center"/>
            </w:pPr>
            <w:r>
              <w:rPr>
                <w:rFonts w:ascii="宋体" w:hAnsi="宋体" w:eastAsia="宋体"/>
                <w:sz w:val="16"/>
              </w:rPr>
              <w:t>29.10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B7DCF">
            <w:pPr>
              <w:jc w:val="center"/>
            </w:pPr>
            <w:r>
              <w:rPr>
                <w:rFonts w:ascii="宋体" w:hAnsi="宋体" w:eastAsia="宋体"/>
                <w:sz w:val="16"/>
              </w:rPr>
              <w:t>29.10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1C0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2B91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D9147">
            <w:pPr>
              <w:jc w:val="center"/>
            </w:pPr>
            <w:r>
              <w:rPr>
                <w:rFonts w:ascii="宋体" w:hAnsi="宋体" w:eastAsia="宋体"/>
                <w:sz w:val="16"/>
              </w:rPr>
              <w:t>10.00分</w:t>
            </w:r>
          </w:p>
        </w:tc>
      </w:tr>
      <w:tr w14:paraId="2049E9A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E42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A3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73F5E">
            <w:pPr>
              <w:jc w:val="center"/>
            </w:pPr>
            <w:r>
              <w:rPr>
                <w:rFonts w:ascii="宋体" w:hAnsi="宋体" w:eastAsia="宋体"/>
                <w:sz w:val="16"/>
              </w:rPr>
              <w:t>29.10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3C71C">
            <w:pPr>
              <w:jc w:val="center"/>
            </w:pPr>
            <w:r>
              <w:rPr>
                <w:rFonts w:ascii="宋体" w:hAnsi="宋体" w:eastAsia="宋体"/>
                <w:sz w:val="16"/>
              </w:rPr>
              <w:t>29.10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CED9F">
            <w:pPr>
              <w:jc w:val="center"/>
            </w:pPr>
            <w:r>
              <w:rPr>
                <w:rFonts w:ascii="宋体" w:hAnsi="宋体" w:eastAsia="宋体"/>
                <w:sz w:val="16"/>
              </w:rPr>
              <w:t>29.10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405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132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CB107">
            <w:pPr>
              <w:jc w:val="center"/>
            </w:pPr>
            <w:r>
              <w:rPr>
                <w:rFonts w:ascii="宋体" w:hAnsi="宋体" w:eastAsia="宋体"/>
                <w:sz w:val="16"/>
              </w:rPr>
              <w:t>—</w:t>
            </w:r>
          </w:p>
        </w:tc>
      </w:tr>
      <w:tr w14:paraId="314FD86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8C8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503B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03F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5C9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71B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B91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60B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E92D7">
            <w:pPr>
              <w:jc w:val="center"/>
            </w:pPr>
            <w:r>
              <w:rPr>
                <w:rFonts w:ascii="宋体" w:hAnsi="宋体" w:eastAsia="宋体"/>
                <w:sz w:val="16"/>
              </w:rPr>
              <w:t>—</w:t>
            </w:r>
          </w:p>
        </w:tc>
      </w:tr>
      <w:tr w14:paraId="480558A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EF6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883B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F1B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047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139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6C5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F65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E66CD">
            <w:pPr>
              <w:jc w:val="center"/>
            </w:pPr>
            <w:r>
              <w:rPr>
                <w:rFonts w:ascii="宋体" w:hAnsi="宋体" w:eastAsia="宋体"/>
                <w:sz w:val="16"/>
              </w:rPr>
              <w:t>—</w:t>
            </w:r>
          </w:p>
        </w:tc>
      </w:tr>
      <w:tr w14:paraId="194F7B3F">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99F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48DC9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B10A56">
            <w:pPr>
              <w:jc w:val="center"/>
            </w:pPr>
            <w:r>
              <w:rPr>
                <w:rFonts w:ascii="宋体" w:hAnsi="宋体" w:eastAsia="宋体"/>
                <w:sz w:val="16"/>
              </w:rPr>
              <w:t>实际完成情况</w:t>
            </w:r>
          </w:p>
        </w:tc>
      </w:tr>
      <w:tr w14:paraId="4E4CE91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F4A8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65D529">
            <w:pPr>
              <w:ind w:firstLine="320" w:firstLineChars="200"/>
              <w:jc w:val="both"/>
            </w:pPr>
            <w:r>
              <w:rPr>
                <w:rFonts w:ascii="宋体" w:hAnsi="宋体" w:eastAsia="宋体"/>
                <w:sz w:val="16"/>
              </w:rPr>
              <w:t>项目总预算29.1万元，为保障全地区境内水域的水上安全监督管理，水上船舶的检验、管理工作等各项业务正常畅通高效运转，为</w:t>
            </w:r>
            <w:r>
              <w:rPr>
                <w:rFonts w:hint="eastAsia" w:ascii="宋体" w:hAnsi="宋体"/>
                <w:sz w:val="16"/>
                <w:lang w:eastAsia="zh-CN"/>
              </w:rPr>
              <w:t>本单位工作</w:t>
            </w:r>
            <w:r>
              <w:rPr>
                <w:rFonts w:ascii="宋体" w:hAnsi="宋体" w:eastAsia="宋体"/>
                <w:sz w:val="16"/>
              </w:rPr>
              <w:t>人员发放差旅费、</w:t>
            </w:r>
            <w:r>
              <w:rPr>
                <w:rFonts w:hint="eastAsia" w:ascii="宋体" w:hAnsi="宋体"/>
                <w:sz w:val="16"/>
                <w:lang w:eastAsia="zh-CN"/>
              </w:rPr>
              <w:t>相关</w:t>
            </w:r>
            <w:r>
              <w:rPr>
                <w:rFonts w:ascii="宋体" w:hAnsi="宋体" w:eastAsia="宋体"/>
                <w:sz w:val="16"/>
              </w:rPr>
              <w:t>经费等费用。签订工程质量检测合同2份，预防、减少交通运输方面的纠纷和损失的发生，保障全地区交通运输畅通，提高服务社会能力，争取使受益群众满意度达到95%以上。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C940E6">
            <w:pPr>
              <w:ind w:firstLine="320" w:firstLineChars="200"/>
              <w:jc w:val="both"/>
            </w:pPr>
            <w:r>
              <w:rPr>
                <w:rFonts w:hint="eastAsia" w:ascii="宋体" w:hAnsi="宋体"/>
                <w:sz w:val="16"/>
                <w:lang w:eastAsia="zh-CN"/>
              </w:rPr>
              <w:t>截至</w:t>
            </w:r>
            <w:r>
              <w:rPr>
                <w:rFonts w:ascii="宋体" w:hAnsi="宋体" w:eastAsia="宋体"/>
                <w:sz w:val="16"/>
              </w:rPr>
              <w:t>2024年12月31日，本项目实际形成支出29.1万元，签订工程质量检测合同2份，已完成农村工程质量检测、交通运输行业安全生产检查、规范执法等任务，达到了预防、减少交通运输方面的纠纷和损失、保障全地区交通运输畅通、提高服务社会能力的效益，受益群众满意度达到100%。</w:t>
            </w:r>
          </w:p>
        </w:tc>
      </w:tr>
      <w:tr w14:paraId="0738366B">
        <w:tc>
          <w:tcPr>
            <w:tcW w:w="983" w:type="dxa"/>
            <w:tcBorders>
              <w:top w:val="single" w:color="auto" w:sz="10" w:space="0"/>
              <w:left w:val="single" w:color="auto" w:sz="10" w:space="0"/>
              <w:bottom w:val="single" w:color="auto" w:sz="10" w:space="0"/>
              <w:right w:val="single" w:color="auto" w:sz="10" w:space="0"/>
              <w:insideV w:val="single" w:sz="10" w:space="0"/>
            </w:tcBorders>
          </w:tcPr>
          <w:p w14:paraId="132903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E77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7EC5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140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4246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9464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25D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34F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0512D">
            <w:pPr>
              <w:jc w:val="center"/>
            </w:pPr>
            <w:r>
              <w:rPr>
                <w:rFonts w:ascii="宋体" w:hAnsi="宋体" w:eastAsia="宋体"/>
                <w:sz w:val="16"/>
              </w:rPr>
              <w:t>偏差原因分析及改进措施</w:t>
            </w:r>
          </w:p>
        </w:tc>
      </w:tr>
      <w:tr w14:paraId="28C0C6D5">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2785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C825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2D3B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FF08C">
            <w:pPr>
              <w:jc w:val="center"/>
            </w:pPr>
            <w:r>
              <w:rPr>
                <w:rFonts w:ascii="宋体" w:hAnsi="宋体" w:eastAsia="宋体"/>
                <w:sz w:val="16"/>
              </w:rPr>
              <w:t>签订工程质量检测合同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074BA">
            <w:pPr>
              <w:jc w:val="center"/>
            </w:pPr>
            <w:r>
              <w:rPr>
                <w:rFonts w:ascii="宋体" w:hAnsi="宋体" w:eastAsia="宋体"/>
                <w:sz w:val="16"/>
              </w:rPr>
              <w:t>≥2份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8EA37">
            <w:pPr>
              <w:jc w:val="center"/>
            </w:pPr>
            <w:r>
              <w:rPr>
                <w:rFonts w:ascii="宋体" w:hAnsi="宋体" w:eastAsia="宋体"/>
                <w:sz w:val="16"/>
              </w:rPr>
              <w:t>=2份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C0F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C8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D5EE3">
            <w:pPr>
              <w:jc w:val="center"/>
            </w:pPr>
          </w:p>
        </w:tc>
      </w:tr>
      <w:tr w14:paraId="1925AEB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F51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56C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14B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E7AF4">
            <w:pPr>
              <w:jc w:val="center"/>
            </w:pPr>
            <w:r>
              <w:rPr>
                <w:rFonts w:hint="eastAsia" w:ascii="宋体" w:hAnsi="宋体"/>
                <w:sz w:val="16"/>
                <w:lang w:eastAsia="zh-CN"/>
              </w:rPr>
              <w:t>管理</w:t>
            </w:r>
            <w:r>
              <w:rPr>
                <w:rFonts w:ascii="宋体" w:hAnsi="宋体" w:eastAsia="宋体"/>
                <w:sz w:val="16"/>
              </w:rPr>
              <w:t>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1D3D">
            <w:pPr>
              <w:jc w:val="center"/>
            </w:pPr>
            <w:r>
              <w:rPr>
                <w:rFonts w:ascii="宋体" w:hAnsi="宋体" w:eastAsia="宋体"/>
                <w:sz w:val="16"/>
              </w:rPr>
              <w:t>≥28人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C6F3">
            <w:pPr>
              <w:jc w:val="center"/>
            </w:pPr>
            <w:r>
              <w:rPr>
                <w:rFonts w:ascii="宋体" w:hAnsi="宋体" w:eastAsia="宋体"/>
                <w:sz w:val="16"/>
              </w:rPr>
              <w:t>=28人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06F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9D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C01A">
            <w:pPr>
              <w:jc w:val="center"/>
            </w:pPr>
          </w:p>
        </w:tc>
      </w:tr>
      <w:tr w14:paraId="271B54D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8BC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97B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523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FDCF">
            <w:pPr>
              <w:jc w:val="center"/>
            </w:pPr>
            <w:r>
              <w:rPr>
                <w:rFonts w:hint="eastAsia" w:ascii="宋体" w:hAnsi="宋体"/>
                <w:sz w:val="16"/>
                <w:lang w:eastAsia="zh-CN"/>
              </w:rPr>
              <w:t>工作</w:t>
            </w:r>
            <w:r>
              <w:rPr>
                <w:rFonts w:ascii="宋体" w:hAnsi="宋体" w:eastAsia="宋体"/>
                <w:sz w:val="16"/>
              </w:rPr>
              <w:t>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43A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AD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690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808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3E281">
            <w:pPr>
              <w:jc w:val="center"/>
            </w:pPr>
          </w:p>
        </w:tc>
      </w:tr>
      <w:tr w14:paraId="32ADC2E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288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0E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7DB3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5C1E">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851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DF1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00D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501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C6091">
            <w:pPr>
              <w:jc w:val="center"/>
            </w:pPr>
          </w:p>
        </w:tc>
      </w:tr>
      <w:tr w14:paraId="2AA75B7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DD1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0202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93CC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CE719">
            <w:pPr>
              <w:jc w:val="center"/>
            </w:pPr>
            <w:r>
              <w:rPr>
                <w:rFonts w:ascii="宋体" w:hAnsi="宋体" w:eastAsia="宋体"/>
                <w:sz w:val="16"/>
              </w:rPr>
              <w:t>工程质量检测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A30A4">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9F967">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5CF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563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3C98">
            <w:pPr>
              <w:jc w:val="center"/>
            </w:pPr>
          </w:p>
        </w:tc>
      </w:tr>
      <w:tr w14:paraId="3DDB720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953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578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2F8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384CB">
            <w:pPr>
              <w:jc w:val="center"/>
            </w:pPr>
            <w:r>
              <w:rPr>
                <w:rFonts w:ascii="宋体" w:hAnsi="宋体" w:eastAsia="宋体"/>
                <w:sz w:val="16"/>
              </w:rPr>
              <w:t>海事</w:t>
            </w:r>
            <w:r>
              <w:rPr>
                <w:rFonts w:hint="eastAsia" w:ascii="宋体" w:hAnsi="宋体"/>
                <w:sz w:val="16"/>
                <w:lang w:eastAsia="zh-CN"/>
              </w:rPr>
              <w:t>管理</w:t>
            </w:r>
            <w:bookmarkStart w:id="0" w:name="_GoBack"/>
            <w:bookmarkEnd w:id="0"/>
            <w:r>
              <w:rPr>
                <w:rFonts w:ascii="宋体" w:hAnsi="宋体" w:eastAsia="宋体"/>
                <w:sz w:val="16"/>
              </w:rPr>
              <w:t>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B1D04">
            <w:pPr>
              <w:jc w:val="center"/>
            </w:pPr>
            <w:r>
              <w:rPr>
                <w:rFonts w:ascii="宋体" w:hAnsi="宋体" w:eastAsia="宋体"/>
                <w:sz w:val="16"/>
              </w:rPr>
              <w:t>≤4.9万元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B60AD">
            <w:pPr>
              <w:jc w:val="center"/>
            </w:pPr>
            <w:r>
              <w:rPr>
                <w:rFonts w:ascii="宋体" w:hAnsi="宋体" w:eastAsia="宋体"/>
                <w:sz w:val="16"/>
              </w:rPr>
              <w:t>=4.9万元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FCAD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136C2">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B7C12">
            <w:pPr>
              <w:jc w:val="center"/>
            </w:pPr>
          </w:p>
        </w:tc>
      </w:tr>
      <w:tr w14:paraId="322FF8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3F2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F4C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2DF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E3222">
            <w:pPr>
              <w:jc w:val="center"/>
            </w:pPr>
            <w:r>
              <w:rPr>
                <w:rFonts w:ascii="宋体" w:hAnsi="宋体" w:eastAsia="宋体"/>
                <w:sz w:val="16"/>
              </w:rPr>
              <w:t>综合业务管理费用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DC558">
            <w:pPr>
              <w:jc w:val="center"/>
            </w:pPr>
            <w:r>
              <w:rPr>
                <w:rFonts w:ascii="宋体" w:hAnsi="宋体" w:eastAsia="宋体"/>
                <w:sz w:val="16"/>
              </w:rPr>
              <w: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7286">
            <w:pPr>
              <w:jc w:val="center"/>
            </w:pPr>
            <w:r>
              <w:rPr>
                <w:rFonts w:ascii="宋体" w:hAnsi="宋体" w:eastAsia="宋体"/>
                <w:sz w:val="16"/>
              </w:rPr>
              <w: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27A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88E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F78A7">
            <w:pPr>
              <w:jc w:val="center"/>
            </w:pPr>
          </w:p>
        </w:tc>
      </w:tr>
      <w:tr w14:paraId="7534B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6F7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A77C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A0858">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18727">
            <w:pPr>
              <w:jc w:val="center"/>
            </w:pPr>
            <w:r>
              <w:rPr>
                <w:rFonts w:ascii="宋体" w:hAnsi="宋体" w:eastAsia="宋体"/>
                <w:sz w:val="16"/>
              </w:rPr>
              <w:t>预防、减少交通运输方面的纠纷和损失的发生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033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BC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A10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86A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E72C6">
            <w:pPr>
              <w:jc w:val="center"/>
            </w:pPr>
          </w:p>
        </w:tc>
      </w:tr>
      <w:tr w14:paraId="063542C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B6E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2BC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548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6C3EB">
            <w:pPr>
              <w:jc w:val="center"/>
            </w:pPr>
            <w:r>
              <w:rPr>
                <w:rFonts w:ascii="宋体" w:hAnsi="宋体" w:eastAsia="宋体"/>
                <w:sz w:val="16"/>
              </w:rPr>
              <w:t>保障全地区交通运输畅通，提高服务社会能力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90F2D">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7A44D">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591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613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6303A">
            <w:pPr>
              <w:jc w:val="center"/>
            </w:pPr>
          </w:p>
        </w:tc>
      </w:tr>
      <w:tr w14:paraId="3AB582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C3C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468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2B1B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947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8F9F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B57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74A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A03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B3030">
            <w:pPr>
              <w:jc w:val="center"/>
            </w:pPr>
          </w:p>
        </w:tc>
      </w:tr>
      <w:tr w14:paraId="266B66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7393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45ED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2E20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CC7967">
            <w:pPr>
              <w:jc w:val="center"/>
            </w:pPr>
            <w:r>
              <w:rPr>
                <w:rFonts w:ascii="宋体" w:hAnsi="宋体" w:eastAsia="宋体"/>
                <w:sz w:val="16"/>
              </w:rPr>
              <w:t>100分</w:t>
            </w:r>
          </w:p>
        </w:tc>
      </w:tr>
    </w:tbl>
    <w:p w14:paraId="61C2ED7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653807">
        <w:tblPrEx>
          <w:tblCellMar>
            <w:top w:w="0" w:type="dxa"/>
            <w:left w:w="108" w:type="dxa"/>
            <w:bottom w:w="0" w:type="dxa"/>
            <w:right w:w="108" w:type="dxa"/>
          </w:tblCellMar>
        </w:tblPrEx>
        <w:tc>
          <w:tcPr>
            <w:tcW w:w="8847" w:type="dxa"/>
            <w:gridSpan w:val="9"/>
            <w:vAlign w:val="center"/>
          </w:tcPr>
          <w:p w14:paraId="5080E353">
            <w:pPr>
              <w:jc w:val="center"/>
            </w:pPr>
            <w:r>
              <w:rPr>
                <w:rFonts w:ascii="宋体" w:hAnsi="宋体" w:eastAsia="宋体"/>
                <w:sz w:val="24"/>
              </w:rPr>
              <w:t>项目支出绩效自评表</w:t>
            </w:r>
          </w:p>
        </w:tc>
      </w:tr>
      <w:tr w14:paraId="34753D8A">
        <w:tc>
          <w:tcPr>
            <w:tcW w:w="8847" w:type="dxa"/>
            <w:gridSpan w:val="9"/>
            <w:vAlign w:val="center"/>
          </w:tcPr>
          <w:p w14:paraId="46C7EF95">
            <w:pPr>
              <w:jc w:val="center"/>
            </w:pPr>
            <w:r>
              <w:rPr>
                <w:rFonts w:ascii="宋体" w:hAnsi="宋体" w:eastAsia="宋体"/>
                <w:sz w:val="24"/>
              </w:rPr>
              <w:t>(2024年度)</w:t>
            </w:r>
          </w:p>
        </w:tc>
      </w:tr>
      <w:tr w14:paraId="682E1EAD">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6789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87AA00">
            <w:pPr>
              <w:jc w:val="center"/>
            </w:pPr>
            <w:r>
              <w:rPr>
                <w:rFonts w:ascii="宋体" w:hAnsi="宋体" w:eastAsia="宋体"/>
                <w:sz w:val="16"/>
              </w:rPr>
              <w:t>使用上缴存量资金解决原和田地区道路运输管理局历史遗留问题的请示</w:t>
            </w:r>
          </w:p>
        </w:tc>
      </w:tr>
      <w:tr w14:paraId="3B085B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3E0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AD73B8">
            <w:pPr>
              <w:jc w:val="center"/>
            </w:pPr>
            <w:r>
              <w:rPr>
                <w:rFonts w:ascii="宋体" w:hAnsi="宋体" w:eastAsia="宋体"/>
                <w:sz w:val="16"/>
              </w:rPr>
              <w:t>和田地区交通运输综合行政执法局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D241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C2F4C1">
            <w:pPr>
              <w:jc w:val="center"/>
            </w:pPr>
            <w:r>
              <w:rPr>
                <w:rFonts w:ascii="宋体" w:hAnsi="宋体" w:eastAsia="宋体"/>
                <w:sz w:val="16"/>
              </w:rPr>
              <w:t>和田地区交通运输综合行政执法局</w:t>
            </w:r>
          </w:p>
        </w:tc>
      </w:tr>
      <w:tr w14:paraId="59FE14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EA8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A726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1FA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70A8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A8D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B18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A44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0AE92">
            <w:pPr>
              <w:jc w:val="center"/>
            </w:pPr>
            <w:r>
              <w:rPr>
                <w:rFonts w:ascii="宋体" w:hAnsi="宋体" w:eastAsia="宋体"/>
                <w:sz w:val="16"/>
              </w:rPr>
              <w:t>得分</w:t>
            </w:r>
          </w:p>
        </w:tc>
      </w:tr>
      <w:tr w14:paraId="5631E8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276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DBF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3ED5D">
            <w:pPr>
              <w:jc w:val="center"/>
            </w:pPr>
            <w:r>
              <w:rPr>
                <w:rFonts w:ascii="宋体" w:hAnsi="宋体" w:eastAsia="宋体"/>
                <w:sz w:val="16"/>
              </w:rPr>
              <w:t>130.05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C7E0C">
            <w:pPr>
              <w:jc w:val="center"/>
            </w:pPr>
            <w:r>
              <w:rPr>
                <w:rFonts w:ascii="宋体" w:hAnsi="宋体" w:eastAsia="宋体"/>
                <w:sz w:val="16"/>
              </w:rPr>
              <w:t>130.05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4DDE">
            <w:pPr>
              <w:jc w:val="center"/>
            </w:pPr>
            <w:r>
              <w:rPr>
                <w:rFonts w:ascii="宋体" w:hAnsi="宋体" w:eastAsia="宋体"/>
                <w:sz w:val="16"/>
              </w:rPr>
              <w:t>130.05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96E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AB4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824B1">
            <w:pPr>
              <w:jc w:val="center"/>
            </w:pPr>
            <w:r>
              <w:rPr>
                <w:rFonts w:ascii="宋体" w:hAnsi="宋体" w:eastAsia="宋体"/>
                <w:sz w:val="16"/>
              </w:rPr>
              <w:t>10.00分</w:t>
            </w:r>
          </w:p>
        </w:tc>
      </w:tr>
      <w:tr w14:paraId="0EC6E9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753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1A2E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49C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289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225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76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DC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32E7E">
            <w:pPr>
              <w:jc w:val="center"/>
            </w:pPr>
            <w:r>
              <w:rPr>
                <w:rFonts w:ascii="宋体" w:hAnsi="宋体" w:eastAsia="宋体"/>
                <w:sz w:val="16"/>
              </w:rPr>
              <w:t>—</w:t>
            </w:r>
          </w:p>
        </w:tc>
      </w:tr>
      <w:tr w14:paraId="7C23DB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FD9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9F33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F40C8">
            <w:pPr>
              <w:jc w:val="center"/>
            </w:pPr>
            <w:r>
              <w:rPr>
                <w:rFonts w:ascii="宋体" w:hAnsi="宋体" w:eastAsia="宋体"/>
                <w:sz w:val="16"/>
              </w:rPr>
              <w:t>130.05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94F3">
            <w:pPr>
              <w:jc w:val="center"/>
            </w:pPr>
            <w:r>
              <w:rPr>
                <w:rFonts w:ascii="宋体" w:hAnsi="宋体" w:eastAsia="宋体"/>
                <w:sz w:val="16"/>
              </w:rPr>
              <w:t>130.05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0AE48">
            <w:pPr>
              <w:jc w:val="center"/>
            </w:pPr>
            <w:r>
              <w:rPr>
                <w:rFonts w:ascii="宋体" w:hAnsi="宋体" w:eastAsia="宋体"/>
                <w:sz w:val="16"/>
              </w:rPr>
              <w:t>130.05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6F1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472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45CBE">
            <w:pPr>
              <w:jc w:val="center"/>
            </w:pPr>
            <w:r>
              <w:rPr>
                <w:rFonts w:ascii="宋体" w:hAnsi="宋体" w:eastAsia="宋体"/>
                <w:sz w:val="16"/>
              </w:rPr>
              <w:t>—</w:t>
            </w:r>
          </w:p>
        </w:tc>
      </w:tr>
      <w:tr w14:paraId="275B371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9B0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D8AB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06F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F9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C12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FF9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F9C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9F543">
            <w:pPr>
              <w:jc w:val="center"/>
            </w:pPr>
            <w:r>
              <w:rPr>
                <w:rFonts w:ascii="宋体" w:hAnsi="宋体" w:eastAsia="宋体"/>
                <w:sz w:val="16"/>
              </w:rPr>
              <w:t>—</w:t>
            </w:r>
          </w:p>
        </w:tc>
      </w:tr>
      <w:tr w14:paraId="748D4AB8">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C3EF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3DD0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261FD8">
            <w:pPr>
              <w:jc w:val="center"/>
            </w:pPr>
            <w:r>
              <w:rPr>
                <w:rFonts w:ascii="宋体" w:hAnsi="宋体" w:eastAsia="宋体"/>
                <w:sz w:val="16"/>
              </w:rPr>
              <w:t>实际完成情况</w:t>
            </w:r>
          </w:p>
        </w:tc>
      </w:tr>
      <w:tr w14:paraId="6CB993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DFFD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A5D0D8">
            <w:pPr>
              <w:ind w:firstLine="320" w:firstLineChars="200"/>
              <w:jc w:val="both"/>
            </w:pPr>
            <w:r>
              <w:rPr>
                <w:rFonts w:ascii="宋体" w:hAnsi="宋体" w:eastAsia="宋体"/>
                <w:sz w:val="16"/>
              </w:rPr>
              <w:t>目标1：解决办公用房不足问题，支付389.31</w:t>
            </w:r>
            <w:r>
              <w:rPr>
                <w:rFonts w:hint="eastAsia" w:ascii="宋体" w:hAnsi="宋体"/>
                <w:sz w:val="16"/>
                <w:lang w:eastAsia="zh-CN"/>
              </w:rPr>
              <w:t>平方</w:t>
            </w:r>
            <w:r>
              <w:rPr>
                <w:rFonts w:ascii="宋体" w:hAnsi="宋体" w:eastAsia="宋体"/>
                <w:sz w:val="16"/>
              </w:rPr>
              <w:t>米的4间门面房工程造价款71.821466万元。</w:t>
            </w:r>
            <w:r>
              <w:rPr>
                <w:rFonts w:ascii="宋体" w:hAnsi="宋体" w:eastAsia="宋体"/>
                <w:sz w:val="16"/>
              </w:rPr>
              <w:br w:type="textWrapping"/>
            </w:r>
            <w:r>
              <w:rPr>
                <w:rFonts w:hint="eastAsia" w:ascii="宋体" w:hAnsi="宋体"/>
                <w:sz w:val="16"/>
                <w:lang w:val="en-US" w:eastAsia="zh-CN"/>
              </w:rPr>
              <w:t xml:space="preserve">    </w:t>
            </w:r>
            <w:r>
              <w:rPr>
                <w:rFonts w:ascii="宋体" w:hAnsi="宋体" w:eastAsia="宋体"/>
                <w:sz w:val="16"/>
              </w:rPr>
              <w:t>目标2</w:t>
            </w:r>
            <w:r>
              <w:rPr>
                <w:rFonts w:hint="eastAsia" w:ascii="宋体" w:hAnsi="宋体"/>
                <w:sz w:val="16"/>
                <w:lang w:eastAsia="zh-CN"/>
              </w:rPr>
              <w:t>:</w:t>
            </w:r>
            <w:r>
              <w:rPr>
                <w:rFonts w:ascii="宋体" w:hAnsi="宋体" w:eastAsia="宋体"/>
                <w:sz w:val="16"/>
              </w:rPr>
              <w:t>58.22461万元用于389.31</w:t>
            </w:r>
            <w:r>
              <w:rPr>
                <w:rFonts w:hint="eastAsia" w:ascii="宋体" w:hAnsi="宋体"/>
                <w:sz w:val="16"/>
                <w:lang w:eastAsia="zh-CN"/>
              </w:rPr>
              <w:t>平方</w:t>
            </w:r>
            <w:r>
              <w:rPr>
                <w:rFonts w:ascii="宋体" w:hAnsi="宋体" w:eastAsia="宋体"/>
                <w:sz w:val="16"/>
              </w:rPr>
              <w:t>米的新增办公用房的装修改造，改善干部职工办公环境，提高干部职工干事创业的积极性，提高工作效率。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AD1A2">
            <w:pPr>
              <w:ind w:firstLine="320" w:firstLineChars="200"/>
              <w:jc w:val="both"/>
            </w:pPr>
            <w:r>
              <w:rPr>
                <w:rFonts w:hint="eastAsia" w:ascii="宋体" w:hAnsi="宋体"/>
                <w:sz w:val="16"/>
                <w:lang w:eastAsia="zh-CN"/>
              </w:rPr>
              <w:t>截至</w:t>
            </w:r>
            <w:r>
              <w:rPr>
                <w:rFonts w:ascii="宋体" w:hAnsi="宋体" w:eastAsia="宋体"/>
                <w:sz w:val="16"/>
              </w:rPr>
              <w:t>2024年12月31日，本项目实际形成支出130.05万元，解决历史遗留问题1次</w:t>
            </w:r>
            <w:r>
              <w:rPr>
                <w:rFonts w:hint="eastAsia" w:ascii="宋体" w:hAnsi="宋体"/>
                <w:sz w:val="16"/>
                <w:lang w:eastAsia="zh-CN"/>
              </w:rPr>
              <w:t>。</w:t>
            </w:r>
            <w:r>
              <w:rPr>
                <w:rFonts w:ascii="宋体" w:hAnsi="宋体" w:eastAsia="宋体"/>
                <w:sz w:val="16"/>
              </w:rPr>
              <w:br w:type="textWrapping"/>
            </w:r>
            <w:r>
              <w:rPr>
                <w:rFonts w:hint="eastAsia" w:ascii="宋体" w:hAnsi="宋体"/>
                <w:sz w:val="16"/>
                <w:lang w:val="en-US" w:eastAsia="zh-CN"/>
              </w:rPr>
              <w:t xml:space="preserve">    </w:t>
            </w:r>
            <w:r>
              <w:rPr>
                <w:rFonts w:ascii="宋体" w:hAnsi="宋体" w:eastAsia="宋体"/>
                <w:sz w:val="16"/>
              </w:rPr>
              <w:t>目标1：</w:t>
            </w:r>
            <w:r>
              <w:rPr>
                <w:rFonts w:hint="eastAsia" w:ascii="宋体" w:hAnsi="宋体"/>
                <w:sz w:val="16"/>
                <w:lang w:eastAsia="zh-CN"/>
              </w:rPr>
              <w:t>完成</w:t>
            </w:r>
            <w:r>
              <w:rPr>
                <w:rFonts w:ascii="宋体" w:hAnsi="宋体" w:eastAsia="宋体"/>
                <w:sz w:val="16"/>
              </w:rPr>
              <w:t>支付389.31</w:t>
            </w:r>
            <w:r>
              <w:rPr>
                <w:rFonts w:hint="eastAsia" w:ascii="宋体" w:hAnsi="宋体"/>
                <w:sz w:val="16"/>
                <w:lang w:eastAsia="zh-CN"/>
              </w:rPr>
              <w:t>平方</w:t>
            </w:r>
            <w:r>
              <w:rPr>
                <w:rFonts w:ascii="宋体" w:hAnsi="宋体" w:eastAsia="宋体"/>
                <w:sz w:val="16"/>
              </w:rPr>
              <w:t>米的4间门面房工程造价款71.821466万元。</w:t>
            </w:r>
            <w:r>
              <w:rPr>
                <w:rFonts w:ascii="宋体" w:hAnsi="宋体" w:eastAsia="宋体"/>
                <w:sz w:val="16"/>
              </w:rPr>
              <w:br w:type="textWrapping"/>
            </w:r>
            <w:r>
              <w:rPr>
                <w:rFonts w:hint="eastAsia" w:ascii="宋体" w:hAnsi="宋体"/>
                <w:sz w:val="16"/>
                <w:lang w:val="en-US" w:eastAsia="zh-CN"/>
              </w:rPr>
              <w:t xml:space="preserve">    </w:t>
            </w:r>
            <w:r>
              <w:rPr>
                <w:rFonts w:ascii="宋体" w:hAnsi="宋体" w:eastAsia="宋体"/>
                <w:sz w:val="16"/>
              </w:rPr>
              <w:t>目标2：完成了389.31</w:t>
            </w:r>
            <w:r>
              <w:rPr>
                <w:rFonts w:hint="eastAsia" w:ascii="宋体" w:hAnsi="宋体"/>
                <w:sz w:val="16"/>
                <w:lang w:eastAsia="zh-CN"/>
              </w:rPr>
              <w:t>平方</w:t>
            </w:r>
            <w:r>
              <w:rPr>
                <w:rFonts w:ascii="宋体" w:hAnsi="宋体" w:eastAsia="宋体"/>
                <w:sz w:val="16"/>
              </w:rPr>
              <w:t>米的新增办公用房的装修改造，达到了改善干部职工办公环境，提高干部职工干事创业的积极性，提高工作效率，干部职工和办事群众满意度达到100%。</w:t>
            </w:r>
            <w:r>
              <w:rPr>
                <w:rFonts w:ascii="宋体" w:hAnsi="宋体" w:eastAsia="宋体"/>
                <w:sz w:val="16"/>
              </w:rPr>
              <w:br w:type="textWrapping"/>
            </w:r>
            <w:r>
              <w:rPr>
                <w:rFonts w:ascii="宋体" w:hAnsi="宋体" w:eastAsia="宋体"/>
                <w:sz w:val="16"/>
              </w:rPr>
              <w:t xml:space="preserve">      </w:t>
            </w:r>
          </w:p>
        </w:tc>
      </w:tr>
      <w:tr w14:paraId="41AF34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585B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1E5B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3771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9C32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597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10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5C3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96C5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577D3">
            <w:pPr>
              <w:jc w:val="center"/>
            </w:pPr>
            <w:r>
              <w:rPr>
                <w:rFonts w:ascii="宋体" w:hAnsi="宋体" w:eastAsia="宋体"/>
                <w:sz w:val="16"/>
              </w:rPr>
              <w:t>偏差原因分析及改进措施</w:t>
            </w:r>
          </w:p>
        </w:tc>
      </w:tr>
      <w:tr w14:paraId="31EF3095">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289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5DF4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25F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D6734">
            <w:pPr>
              <w:jc w:val="center"/>
            </w:pPr>
            <w:r>
              <w:rPr>
                <w:rFonts w:ascii="宋体" w:hAnsi="宋体" w:eastAsia="宋体"/>
                <w:sz w:val="16"/>
              </w:rPr>
              <w:t>解决历史遗留问题次数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5275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0B71">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73452">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C60D">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617CE">
            <w:pPr>
              <w:jc w:val="center"/>
            </w:pPr>
          </w:p>
        </w:tc>
      </w:tr>
      <w:tr w14:paraId="30CBCD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80F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83E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2D5F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0AF2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E63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B3D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B72D3">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E3C59">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6B11">
            <w:pPr>
              <w:jc w:val="center"/>
            </w:pPr>
          </w:p>
        </w:tc>
      </w:tr>
      <w:tr w14:paraId="69CA55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687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C3F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682B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CF7D">
            <w:pPr>
              <w:jc w:val="center"/>
            </w:pPr>
            <w:r>
              <w:rPr>
                <w:rFonts w:ascii="宋体" w:hAnsi="宋体" w:eastAsia="宋体"/>
                <w:sz w:val="16"/>
              </w:rPr>
              <w:t>按合同</w:t>
            </w:r>
            <w:r>
              <w:rPr>
                <w:rFonts w:hint="eastAsia" w:ascii="宋体" w:hAnsi="宋体"/>
                <w:sz w:val="16"/>
                <w:lang w:eastAsia="zh-CN"/>
              </w:rPr>
              <w:t>约定</w:t>
            </w:r>
            <w:r>
              <w:rPr>
                <w:rFonts w:ascii="宋体" w:hAnsi="宋体" w:eastAsia="宋体"/>
                <w:sz w:val="16"/>
              </w:rPr>
              <w:t>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957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9B9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71B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ECAC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B0069">
            <w:pPr>
              <w:jc w:val="center"/>
            </w:pPr>
          </w:p>
        </w:tc>
      </w:tr>
      <w:tr w14:paraId="463303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5A1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BFA4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D98F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6E7BD">
            <w:pPr>
              <w:jc w:val="center"/>
            </w:pPr>
            <w:r>
              <w:rPr>
                <w:rFonts w:ascii="宋体" w:hAnsi="宋体" w:eastAsia="宋体"/>
                <w:sz w:val="16"/>
              </w:rPr>
              <w:t>工程造价款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9CDC8">
            <w:pPr>
              <w:jc w:val="center"/>
            </w:pPr>
            <w:r>
              <w:rPr>
                <w:rFonts w:ascii="宋体" w:hAnsi="宋体" w:eastAsia="宋体"/>
                <w:sz w:val="16"/>
              </w:rPr>
              <w:t>≤71.82万元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0627B">
            <w:pPr>
              <w:jc w:val="center"/>
            </w:pPr>
            <w:r>
              <w:rPr>
                <w:rFonts w:ascii="宋体" w:hAnsi="宋体" w:eastAsia="宋体"/>
                <w:sz w:val="16"/>
              </w:rPr>
              <w:t>=71.82万元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20D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1B4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20A95">
            <w:pPr>
              <w:jc w:val="center"/>
            </w:pPr>
          </w:p>
        </w:tc>
      </w:tr>
      <w:tr w14:paraId="7775FC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DE0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03C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309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4EA52">
            <w:pPr>
              <w:jc w:val="center"/>
            </w:pPr>
            <w:r>
              <w:rPr>
                <w:rFonts w:ascii="宋体" w:hAnsi="宋体" w:eastAsia="宋体"/>
                <w:sz w:val="16"/>
              </w:rPr>
              <w:t>装修改造款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9856F">
            <w:pPr>
              <w:jc w:val="center"/>
            </w:pPr>
            <w:r>
              <w:rPr>
                <w:rFonts w:ascii="宋体" w:hAnsi="宋体" w:eastAsia="宋体"/>
                <w:sz w:val="16"/>
              </w:rPr>
              <w:t>≤58.23万元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3855B">
            <w:pPr>
              <w:jc w:val="center"/>
            </w:pPr>
            <w:r>
              <w:rPr>
                <w:rFonts w:ascii="宋体" w:hAnsi="宋体" w:eastAsia="宋体"/>
                <w:sz w:val="16"/>
              </w:rPr>
              <w:t>=58.23万元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F41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FE2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52125">
            <w:pPr>
              <w:jc w:val="center"/>
            </w:pPr>
          </w:p>
        </w:tc>
      </w:tr>
      <w:tr w14:paraId="012E63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C3B3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0A76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88A32">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93198">
            <w:pPr>
              <w:jc w:val="center"/>
            </w:pPr>
            <w:r>
              <w:rPr>
                <w:rFonts w:ascii="宋体" w:hAnsi="宋体" w:eastAsia="宋体"/>
                <w:sz w:val="16"/>
              </w:rPr>
              <w:t>有效解决办公用房不足问题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76055">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F41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6F9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5F8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293EE">
            <w:pPr>
              <w:jc w:val="center"/>
            </w:pPr>
          </w:p>
        </w:tc>
      </w:tr>
      <w:tr w14:paraId="6C626F1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860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E82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1AEB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6FA0">
            <w:pPr>
              <w:jc w:val="center"/>
            </w:pPr>
            <w:r>
              <w:rPr>
                <w:rFonts w:ascii="宋体" w:hAnsi="宋体" w:eastAsia="宋体"/>
                <w:sz w:val="16"/>
              </w:rPr>
              <w:t>提高信访接待室等办公用房为群众提供便捷的服务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764DA">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9865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E25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93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41AC4">
            <w:pPr>
              <w:jc w:val="center"/>
            </w:pPr>
          </w:p>
        </w:tc>
      </w:tr>
      <w:tr w14:paraId="72CE4A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0E2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F68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80B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E89AE">
            <w:pPr>
              <w:jc w:val="center"/>
            </w:pPr>
            <w:r>
              <w:rPr>
                <w:rFonts w:ascii="宋体" w:hAnsi="宋体" w:eastAsia="宋体"/>
                <w:sz w:val="16"/>
              </w:rPr>
              <w:t>干部职工和办事群众满意度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C265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FE7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7D8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CBB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F3776">
            <w:pPr>
              <w:jc w:val="center"/>
            </w:pPr>
          </w:p>
        </w:tc>
      </w:tr>
      <w:tr w14:paraId="71AA4B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EBE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7AC3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F110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A6F715">
            <w:pPr>
              <w:jc w:val="center"/>
            </w:pPr>
            <w:r>
              <w:rPr>
                <w:rFonts w:ascii="宋体" w:hAnsi="宋体" w:eastAsia="宋体"/>
                <w:sz w:val="16"/>
              </w:rPr>
              <w:t>100分</w:t>
            </w:r>
          </w:p>
        </w:tc>
      </w:tr>
    </w:tbl>
    <w:p w14:paraId="038E0F0A">
      <w:r>
        <w:br w:type="page"/>
      </w:r>
    </w:p>
    <w:p w14:paraId="486941A0">
      <w:pPr>
        <w:spacing w:line="640" w:lineRule="exact"/>
        <w:ind w:firstLine="640"/>
        <w:jc w:val="both"/>
        <w:outlineLvl w:val="2"/>
      </w:pPr>
      <w:r>
        <w:rPr>
          <w:rFonts w:ascii="黑体" w:hAnsi="黑体" w:eastAsia="黑体"/>
          <w:sz w:val="32"/>
        </w:rPr>
        <w:t>十二、其他需说明的事项</w:t>
      </w:r>
    </w:p>
    <w:p w14:paraId="7385917D">
      <w:pPr>
        <w:spacing w:line="580" w:lineRule="exact"/>
        <w:ind w:firstLine="640"/>
        <w:jc w:val="both"/>
      </w:pPr>
      <w:r>
        <w:rPr>
          <w:rFonts w:ascii="仿宋_GB2312" w:hAnsi="仿宋_GB2312" w:eastAsia="仿宋_GB2312"/>
          <w:b w:val="0"/>
          <w:sz w:val="32"/>
        </w:rPr>
        <w:t>本单位无其他需说明的事项。</w:t>
      </w:r>
    </w:p>
    <w:p w14:paraId="6A89CFE0">
      <w:r>
        <w:br w:type="page"/>
      </w:r>
    </w:p>
    <w:p w14:paraId="56445E98">
      <w:pPr>
        <w:spacing w:line="240" w:lineRule="auto"/>
        <w:jc w:val="center"/>
        <w:outlineLvl w:val="1"/>
      </w:pPr>
      <w:r>
        <w:rPr>
          <w:rFonts w:ascii="黑体" w:hAnsi="黑体" w:eastAsia="黑体"/>
          <w:sz w:val="32"/>
        </w:rPr>
        <w:t>第三部分 专业名词解释</w:t>
      </w:r>
    </w:p>
    <w:p w14:paraId="570AD40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7B79E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344233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62947F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2EB2A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657720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AAE912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8B233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E8B1E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DF6E3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106B2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A219D9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53403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43C19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1154860">
      <w:r>
        <w:br w:type="page"/>
      </w:r>
    </w:p>
    <w:p w14:paraId="2A5FCE6B">
      <w:pPr>
        <w:spacing w:line="240" w:lineRule="auto"/>
        <w:jc w:val="center"/>
        <w:outlineLvl w:val="1"/>
      </w:pPr>
      <w:r>
        <w:rPr>
          <w:rFonts w:ascii="黑体" w:hAnsi="黑体" w:eastAsia="黑体"/>
          <w:sz w:val="32"/>
        </w:rPr>
        <w:t>第四部分 部门决算报表（见附表）</w:t>
      </w:r>
    </w:p>
    <w:p w14:paraId="139D09C1">
      <w:pPr>
        <w:spacing w:line="240" w:lineRule="auto"/>
        <w:ind w:firstLine="640"/>
        <w:jc w:val="both"/>
      </w:pPr>
      <w:r>
        <w:rPr>
          <w:rFonts w:ascii="仿宋_GB2312" w:hAnsi="仿宋_GB2312" w:eastAsia="仿宋_GB2312"/>
          <w:b w:val="0"/>
          <w:sz w:val="32"/>
        </w:rPr>
        <w:t>一、《收入支出决算总表》</w:t>
      </w:r>
    </w:p>
    <w:p w14:paraId="361F01D1">
      <w:pPr>
        <w:spacing w:line="240" w:lineRule="auto"/>
        <w:ind w:firstLine="640"/>
        <w:jc w:val="both"/>
      </w:pPr>
      <w:r>
        <w:rPr>
          <w:rFonts w:ascii="仿宋_GB2312" w:hAnsi="仿宋_GB2312" w:eastAsia="仿宋_GB2312"/>
          <w:b w:val="0"/>
          <w:sz w:val="32"/>
        </w:rPr>
        <w:t>二、《收入决算表》</w:t>
      </w:r>
    </w:p>
    <w:p w14:paraId="7B1FB132">
      <w:pPr>
        <w:spacing w:line="240" w:lineRule="auto"/>
        <w:ind w:firstLine="640"/>
        <w:jc w:val="both"/>
      </w:pPr>
      <w:r>
        <w:rPr>
          <w:rFonts w:ascii="仿宋_GB2312" w:hAnsi="仿宋_GB2312" w:eastAsia="仿宋_GB2312"/>
          <w:b w:val="0"/>
          <w:sz w:val="32"/>
        </w:rPr>
        <w:t>三、《支出决算表》</w:t>
      </w:r>
    </w:p>
    <w:p w14:paraId="29B08D62">
      <w:pPr>
        <w:spacing w:line="240" w:lineRule="auto"/>
        <w:ind w:firstLine="640"/>
        <w:jc w:val="both"/>
      </w:pPr>
      <w:r>
        <w:rPr>
          <w:rFonts w:ascii="仿宋_GB2312" w:hAnsi="仿宋_GB2312" w:eastAsia="仿宋_GB2312"/>
          <w:b w:val="0"/>
          <w:sz w:val="32"/>
        </w:rPr>
        <w:t>四、《财政拨款收入支出决算总表》</w:t>
      </w:r>
    </w:p>
    <w:p w14:paraId="1C1E62E1">
      <w:pPr>
        <w:spacing w:line="240" w:lineRule="auto"/>
        <w:ind w:firstLine="640"/>
        <w:jc w:val="both"/>
      </w:pPr>
      <w:r>
        <w:rPr>
          <w:rFonts w:ascii="仿宋_GB2312" w:hAnsi="仿宋_GB2312" w:eastAsia="仿宋_GB2312"/>
          <w:b w:val="0"/>
          <w:sz w:val="32"/>
        </w:rPr>
        <w:t>五、《一般公共预算财政拨款支出决算表》</w:t>
      </w:r>
    </w:p>
    <w:p w14:paraId="4D3150F0">
      <w:pPr>
        <w:spacing w:line="240" w:lineRule="auto"/>
        <w:ind w:firstLine="640"/>
        <w:jc w:val="both"/>
      </w:pPr>
      <w:r>
        <w:rPr>
          <w:rFonts w:ascii="仿宋_GB2312" w:hAnsi="仿宋_GB2312" w:eastAsia="仿宋_GB2312"/>
          <w:b w:val="0"/>
          <w:sz w:val="32"/>
        </w:rPr>
        <w:t>六、《一般公共预算财政拨款基本支出决算表》</w:t>
      </w:r>
    </w:p>
    <w:p w14:paraId="71A97E14">
      <w:pPr>
        <w:spacing w:line="240" w:lineRule="auto"/>
        <w:ind w:firstLine="640"/>
        <w:jc w:val="both"/>
      </w:pPr>
      <w:r>
        <w:rPr>
          <w:rFonts w:ascii="仿宋_GB2312" w:hAnsi="仿宋_GB2312" w:eastAsia="仿宋_GB2312"/>
          <w:b w:val="0"/>
          <w:sz w:val="32"/>
        </w:rPr>
        <w:t>七、《政府性基金预算财政拨款收入支出决算表》</w:t>
      </w:r>
    </w:p>
    <w:p w14:paraId="06A929CE">
      <w:pPr>
        <w:spacing w:line="240" w:lineRule="auto"/>
        <w:ind w:firstLine="640"/>
        <w:jc w:val="both"/>
      </w:pPr>
      <w:r>
        <w:rPr>
          <w:rFonts w:ascii="仿宋_GB2312" w:hAnsi="仿宋_GB2312" w:eastAsia="仿宋_GB2312"/>
          <w:b w:val="0"/>
          <w:sz w:val="32"/>
        </w:rPr>
        <w:t>八、《国有资本经营预算财政拨款收入支出决算表》</w:t>
      </w:r>
    </w:p>
    <w:p w14:paraId="273E4FCA">
      <w:pPr>
        <w:spacing w:line="240" w:lineRule="auto"/>
        <w:ind w:firstLine="640"/>
        <w:jc w:val="both"/>
      </w:pPr>
      <w:r>
        <w:rPr>
          <w:rFonts w:ascii="仿宋_GB2312" w:hAnsi="仿宋_GB2312" w:eastAsia="仿宋_GB2312"/>
          <w:b w:val="0"/>
          <w:sz w:val="32"/>
        </w:rPr>
        <w:t>九、《财政拨款“三公”经费支出决算表》</w:t>
      </w:r>
    </w:p>
    <w:p w14:paraId="3B9EE427">
      <w:pPr>
        <w:spacing w:line="240" w:lineRule="auto"/>
        <w:ind w:firstLine="640"/>
        <w:jc w:val="both"/>
      </w:pPr>
    </w:p>
    <w:p w14:paraId="1E79D124">
      <w:pPr>
        <w:spacing w:line="240" w:lineRule="auto"/>
        <w:ind w:firstLine="640"/>
        <w:jc w:val="both"/>
      </w:pPr>
    </w:p>
    <w:p w14:paraId="663CAE72">
      <w:pPr>
        <w:spacing w:line="240" w:lineRule="auto"/>
        <w:ind w:firstLine="640"/>
        <w:jc w:val="both"/>
      </w:pPr>
    </w:p>
    <w:p w14:paraId="6811C87C">
      <w:pPr>
        <w:spacing w:line="240" w:lineRule="auto"/>
        <w:ind w:firstLine="640"/>
        <w:jc w:val="both"/>
      </w:pPr>
    </w:p>
    <w:p w14:paraId="6491B0D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roid Serif">
    <w:panose1 w:val="02020600060500020200"/>
    <w:charset w:val="00"/>
    <w:family w:val="auto"/>
    <w:pitch w:val="default"/>
    <w:sig w:usb0="E00002FF" w:usb1="500078FF" w:usb2="0000002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7E7EEC"/>
    <w:rsid w:val="06792773"/>
    <w:rsid w:val="09A729D8"/>
    <w:rsid w:val="0A3C58E8"/>
    <w:rsid w:val="0A623A94"/>
    <w:rsid w:val="0A7B4867"/>
    <w:rsid w:val="0B8C3ECC"/>
    <w:rsid w:val="0C3613A3"/>
    <w:rsid w:val="0C7227A7"/>
    <w:rsid w:val="0D023A83"/>
    <w:rsid w:val="0DCA6EF7"/>
    <w:rsid w:val="0E4B1576"/>
    <w:rsid w:val="0EA04331"/>
    <w:rsid w:val="0F9811B3"/>
    <w:rsid w:val="11E15093"/>
    <w:rsid w:val="120E0809"/>
    <w:rsid w:val="14D22CEA"/>
    <w:rsid w:val="18036BCF"/>
    <w:rsid w:val="19071D6C"/>
    <w:rsid w:val="19B5554D"/>
    <w:rsid w:val="1B20658C"/>
    <w:rsid w:val="1B8F2D19"/>
    <w:rsid w:val="1C317E4F"/>
    <w:rsid w:val="1C472464"/>
    <w:rsid w:val="1DAF458D"/>
    <w:rsid w:val="1E086ACE"/>
    <w:rsid w:val="1E4B5CA5"/>
    <w:rsid w:val="1EAA4A5F"/>
    <w:rsid w:val="1F587A0B"/>
    <w:rsid w:val="2064678E"/>
    <w:rsid w:val="20BC0B75"/>
    <w:rsid w:val="20DD6197"/>
    <w:rsid w:val="21F317F2"/>
    <w:rsid w:val="2241392C"/>
    <w:rsid w:val="225371D4"/>
    <w:rsid w:val="22CB5324"/>
    <w:rsid w:val="23BC04D2"/>
    <w:rsid w:val="25275618"/>
    <w:rsid w:val="27CE017C"/>
    <w:rsid w:val="27CF2642"/>
    <w:rsid w:val="282459E2"/>
    <w:rsid w:val="28F2590C"/>
    <w:rsid w:val="29116777"/>
    <w:rsid w:val="2A053397"/>
    <w:rsid w:val="2A444FB1"/>
    <w:rsid w:val="2A6064E2"/>
    <w:rsid w:val="2AA30402"/>
    <w:rsid w:val="2BAD190E"/>
    <w:rsid w:val="2C1965E9"/>
    <w:rsid w:val="2D1136DF"/>
    <w:rsid w:val="2DAE0E44"/>
    <w:rsid w:val="2EE73A8A"/>
    <w:rsid w:val="2FD27414"/>
    <w:rsid w:val="30E54344"/>
    <w:rsid w:val="313F1D52"/>
    <w:rsid w:val="318029AB"/>
    <w:rsid w:val="31C63837"/>
    <w:rsid w:val="326F0A17"/>
    <w:rsid w:val="3277581B"/>
    <w:rsid w:val="362039D6"/>
    <w:rsid w:val="37D529A9"/>
    <w:rsid w:val="38006E2C"/>
    <w:rsid w:val="3914510A"/>
    <w:rsid w:val="39C940DD"/>
    <w:rsid w:val="3B1220C9"/>
    <w:rsid w:val="3D5275AC"/>
    <w:rsid w:val="3EA7725F"/>
    <w:rsid w:val="3EC014A1"/>
    <w:rsid w:val="40834692"/>
    <w:rsid w:val="423A32B2"/>
    <w:rsid w:val="423C0CB4"/>
    <w:rsid w:val="427B5743"/>
    <w:rsid w:val="42E64542"/>
    <w:rsid w:val="44333C72"/>
    <w:rsid w:val="464B7E04"/>
    <w:rsid w:val="464F7E64"/>
    <w:rsid w:val="46901EEE"/>
    <w:rsid w:val="469C74D2"/>
    <w:rsid w:val="46B662D7"/>
    <w:rsid w:val="47445515"/>
    <w:rsid w:val="4B4C0111"/>
    <w:rsid w:val="4BB23021"/>
    <w:rsid w:val="4F3F074E"/>
    <w:rsid w:val="50DB5F45"/>
    <w:rsid w:val="52F92565"/>
    <w:rsid w:val="53987432"/>
    <w:rsid w:val="543D17CB"/>
    <w:rsid w:val="55DA564E"/>
    <w:rsid w:val="56E07045"/>
    <w:rsid w:val="56F03CB1"/>
    <w:rsid w:val="58194A18"/>
    <w:rsid w:val="583059FA"/>
    <w:rsid w:val="587E6212"/>
    <w:rsid w:val="5AFC6609"/>
    <w:rsid w:val="5F3B0006"/>
    <w:rsid w:val="5FA17648"/>
    <w:rsid w:val="5FD320BD"/>
    <w:rsid w:val="60DE4D57"/>
    <w:rsid w:val="613409CB"/>
    <w:rsid w:val="61A46A97"/>
    <w:rsid w:val="62DD7D21"/>
    <w:rsid w:val="65235DFA"/>
    <w:rsid w:val="65875B1F"/>
    <w:rsid w:val="65D97752"/>
    <w:rsid w:val="664C500C"/>
    <w:rsid w:val="67D111AB"/>
    <w:rsid w:val="68DB0208"/>
    <w:rsid w:val="68DF36D5"/>
    <w:rsid w:val="69846A0E"/>
    <w:rsid w:val="69AD798C"/>
    <w:rsid w:val="6B68175F"/>
    <w:rsid w:val="6B8B5C99"/>
    <w:rsid w:val="6CA7198F"/>
    <w:rsid w:val="6D8919A8"/>
    <w:rsid w:val="6E0F7A08"/>
    <w:rsid w:val="6E801ABC"/>
    <w:rsid w:val="703D747B"/>
    <w:rsid w:val="71473612"/>
    <w:rsid w:val="718F7F65"/>
    <w:rsid w:val="73423603"/>
    <w:rsid w:val="737A5923"/>
    <w:rsid w:val="73DE4104"/>
    <w:rsid w:val="73FB6630"/>
    <w:rsid w:val="74CE04EC"/>
    <w:rsid w:val="74E76DCD"/>
    <w:rsid w:val="76660D7C"/>
    <w:rsid w:val="77ED6F44"/>
    <w:rsid w:val="78FD6351"/>
    <w:rsid w:val="795A0A34"/>
    <w:rsid w:val="7A0D3BC7"/>
    <w:rsid w:val="7A3A3CDB"/>
    <w:rsid w:val="7F3663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5835</Words>
  <Characters>6531</Characters>
  <Lines>0</Lines>
  <Paragraphs>0</Paragraphs>
  <TotalTime>20</TotalTime>
  <ScaleCrop>false</ScaleCrop>
  <LinksUpToDate>false</LinksUpToDate>
  <CharactersWithSpaces>6539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2025-10-14T11:00:14Z</cp:lastPrinted>
  <dcterms:modified xsi:type="dcterms:W3CDTF">2025-10-14T11:00:44Z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