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和田地区国有资产监督管理委员会2024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ADC276F">
      <w:r>
        <w:br w:type="page"/>
      </w:r>
    </w:p>
    <w:p w14:paraId="245CD66C">
      <w:pPr>
        <w:spacing w:line="640" w:lineRule="exact"/>
        <w:jc w:val="center"/>
        <w:outlineLvl w:val="1"/>
      </w:pPr>
      <w:r>
        <w:rPr>
          <w:rFonts w:ascii="黑体" w:hAnsi="黑体" w:eastAsia="黑体"/>
          <w:sz w:val="32"/>
        </w:rPr>
        <w:t>第一部分 单位概况</w:t>
      </w:r>
    </w:p>
    <w:p w14:paraId="55328756">
      <w:pPr>
        <w:spacing w:line="640" w:lineRule="exact"/>
        <w:ind w:firstLine="640"/>
        <w:jc w:val="both"/>
        <w:outlineLvl w:val="2"/>
      </w:pPr>
      <w:r>
        <w:rPr>
          <w:rFonts w:ascii="黑体" w:hAnsi="黑体" w:eastAsia="黑体"/>
          <w:sz w:val="32"/>
        </w:rPr>
        <w:t>一、主要职能</w:t>
      </w:r>
    </w:p>
    <w:p w14:paraId="7EED1BD8">
      <w:pPr>
        <w:spacing w:line="580" w:lineRule="exact"/>
        <w:ind w:firstLine="640"/>
        <w:jc w:val="both"/>
      </w:pPr>
      <w:r>
        <w:rPr>
          <w:rFonts w:ascii="仿宋_GB2312" w:hAnsi="仿宋_GB2312" w:eastAsia="仿宋_GB2312"/>
          <w:sz w:val="32"/>
        </w:rPr>
        <w:t>(一)根据行署授权，依照《中华人民共和国公司法》、《中华人民共和国企业国有资产法》等法律、法规履行出资人职责，监管地区区属企业的国有资产，加强国有资产管理，对县市国有资产管理工作进行指导和监督。</w:t>
      </w:r>
    </w:p>
    <w:p w14:paraId="29ECBD90">
      <w:pPr>
        <w:spacing w:line="580" w:lineRule="exact"/>
        <w:ind w:firstLine="640"/>
        <w:jc w:val="both"/>
      </w:pPr>
      <w:r>
        <w:rPr>
          <w:rFonts w:ascii="仿宋_GB2312" w:hAnsi="仿宋_GB2312" w:eastAsia="仿宋_GB2312"/>
          <w:sz w:val="32"/>
        </w:rPr>
        <w:t>(二)承担监督所监管企业国有资产保值增值的责任。建立和完善国有资产保值增值指标体系，拟订考核标准，通过统计、稽核等对所监管企业国有资产的保值增值情况进行监管；依法向行署报告所监管企业国有资产监管运营情况。</w:t>
      </w:r>
    </w:p>
    <w:p w14:paraId="2E340B0A">
      <w:pPr>
        <w:spacing w:line="580" w:lineRule="exact"/>
        <w:ind w:firstLine="640"/>
        <w:jc w:val="both"/>
      </w:pPr>
      <w:r>
        <w:rPr>
          <w:rFonts w:ascii="仿宋_GB2312" w:hAnsi="仿宋_GB2312" w:eastAsia="仿宋_GB2312"/>
          <w:sz w:val="32"/>
        </w:rPr>
        <w:t>(三)坚持和加强党的全面领导，履行所监管企业党建工作的日常管理职责。指导监管企业做好党的建设和全面从严治党工作；会同有关部门做好所监管企业领导班子管理和人才队伍建设工作；通过法定程序，按照干部管理权限对所监管企业领导人员进行考核、任免并根据其经营业绩进行奖惩，建立适应中国特色现代国有企业制度要求和市场竞争需要的选人用人机制，完善经营者激励和约束机制；协调指导所监管企业做好工会、青年、妇女和信访等工作。</w:t>
      </w:r>
    </w:p>
    <w:p w14:paraId="524CEF2F">
      <w:pPr>
        <w:spacing w:line="580" w:lineRule="exact"/>
        <w:ind w:firstLine="640"/>
        <w:jc w:val="both"/>
      </w:pPr>
      <w:r>
        <w:rPr>
          <w:rFonts w:ascii="仿宋_GB2312" w:hAnsi="仿宋_GB2312" w:eastAsia="仿宋_GB2312"/>
          <w:sz w:val="32"/>
        </w:rPr>
        <w:t>(四)指导推进国有企业改革和重组，推进国有企业的现代企业制度建设，完善公司治理结构，以管资本为主推动国有资本合理流动，加快</w:t>
      </w:r>
      <w:r>
        <w:rPr>
          <w:rFonts w:hint="eastAsia" w:ascii="仿宋_GB2312" w:hAnsi="仿宋_GB2312" w:eastAsia="仿宋_GB2312"/>
          <w:sz w:val="32"/>
          <w:lang w:eastAsia="zh-CN"/>
        </w:rPr>
        <w:t>国有经济布局优化和结构调整</w:t>
      </w:r>
      <w:r>
        <w:rPr>
          <w:rFonts w:ascii="仿宋_GB2312" w:hAnsi="仿宋_GB2312" w:eastAsia="仿宋_GB2312"/>
          <w:sz w:val="32"/>
        </w:rPr>
        <w:t>、战略性重组。</w:t>
      </w:r>
    </w:p>
    <w:p w14:paraId="5B604E39">
      <w:pPr>
        <w:spacing w:line="580" w:lineRule="exact"/>
        <w:ind w:firstLine="640"/>
        <w:jc w:val="both"/>
      </w:pPr>
      <w:r>
        <w:rPr>
          <w:rFonts w:ascii="仿宋_GB2312" w:hAnsi="仿宋_GB2312" w:eastAsia="仿宋_GB2312"/>
          <w:sz w:val="32"/>
        </w:rPr>
        <w:t>(五)负责所监管企业负责人经营业绩考核和薪酬管理，提出所监管企业负责人收入分配政策并组织实施和监督企业检查；完善所监管企业经营业绩考核制度，促进企业履行经济责任、政治责任、社会责任。</w:t>
      </w:r>
    </w:p>
    <w:p w14:paraId="0C079D6D">
      <w:pPr>
        <w:spacing w:line="580" w:lineRule="exact"/>
        <w:ind w:firstLine="640"/>
        <w:jc w:val="both"/>
      </w:pPr>
      <w:r>
        <w:rPr>
          <w:rFonts w:ascii="仿宋_GB2312" w:hAnsi="仿宋_GB2312" w:eastAsia="仿宋_GB2312"/>
          <w:sz w:val="32"/>
        </w:rPr>
        <w:t>(六)负责组织所监管企业上交国有资本收益，参与制定国有资本经营预算有关管理制度和办法，承办所监管企业国有资本经营预决算编制和执行等工作。组织实施改组(组建)国有资本投资、运营公司，指导企业开展国有资本运营；推进经营性国有资产集中统一监管。</w:t>
      </w:r>
    </w:p>
    <w:p w14:paraId="21B0B0F8">
      <w:pPr>
        <w:spacing w:line="580" w:lineRule="exact"/>
        <w:ind w:firstLine="640"/>
        <w:jc w:val="both"/>
      </w:pPr>
      <w:r>
        <w:rPr>
          <w:rFonts w:ascii="仿宋_GB2312" w:hAnsi="仿宋_GB2312" w:eastAsia="仿宋_GB2312"/>
          <w:sz w:val="32"/>
        </w:rPr>
        <w:t>(七)根据监管清单，审核所监管企业的发展战略和规划、重大项目投资、重大资产处置等事项；会同有关部门协调自治区企业、援和(省)市国有企业产业援和工作；督促检查所监管企业贯彻落实国家安全生产、环境保护方针政策及有关法律法规、标准等工作。</w:t>
      </w:r>
    </w:p>
    <w:p w14:paraId="562E6ED7">
      <w:pPr>
        <w:spacing w:line="580" w:lineRule="exact"/>
        <w:ind w:firstLine="640"/>
        <w:jc w:val="both"/>
      </w:pPr>
      <w:r>
        <w:rPr>
          <w:rFonts w:ascii="仿宋_GB2312" w:hAnsi="仿宋_GB2312" w:eastAsia="仿宋_GB2312"/>
          <w:sz w:val="32"/>
        </w:rPr>
        <w:t>(八)指导所监管企业法律顾问和法治国企建设工作；负责企业国有资产基础管理工作，规范国有产权转让及交易行为；负责所监管企业违规经营投资责任追究工作，强化国有资产监督，防止国有资产流失。</w:t>
      </w:r>
    </w:p>
    <w:p w14:paraId="3AEF046D">
      <w:pPr>
        <w:spacing w:line="580" w:lineRule="exact"/>
        <w:ind w:firstLine="640"/>
        <w:jc w:val="both"/>
      </w:pPr>
      <w:r>
        <w:rPr>
          <w:rFonts w:ascii="仿宋_GB2312" w:hAnsi="仿宋_GB2312" w:eastAsia="仿宋_GB2312"/>
          <w:sz w:val="32"/>
        </w:rPr>
        <w:t>(九)承办地委、行署交办的其他任务。</w:t>
      </w:r>
    </w:p>
    <w:p w14:paraId="325D4C30">
      <w:pPr>
        <w:spacing w:line="640" w:lineRule="exact"/>
        <w:ind w:firstLine="640"/>
        <w:jc w:val="both"/>
        <w:outlineLvl w:val="2"/>
      </w:pPr>
      <w:r>
        <w:rPr>
          <w:rFonts w:ascii="黑体" w:hAnsi="黑体" w:eastAsia="黑体"/>
          <w:sz w:val="32"/>
        </w:rPr>
        <w:t>二、机构设置及人员情况</w:t>
      </w:r>
    </w:p>
    <w:p w14:paraId="73535D44">
      <w:pPr>
        <w:spacing w:line="580" w:lineRule="exact"/>
        <w:ind w:firstLine="640"/>
        <w:jc w:val="both"/>
      </w:pPr>
      <w:r>
        <w:rPr>
          <w:rFonts w:ascii="仿宋_GB2312" w:hAnsi="仿宋_GB2312" w:eastAsia="仿宋_GB2312"/>
          <w:sz w:val="32"/>
        </w:rPr>
        <w:t>和田地区国有资产监督管理委员会2024年度，实有人数15人，其中：在职人员14人，增加1人；离休人员0人，增加0人；退休人员1人,增加0人。</w:t>
      </w:r>
    </w:p>
    <w:p w14:paraId="254E6B78">
      <w:pPr>
        <w:spacing w:line="580" w:lineRule="exact"/>
        <w:ind w:firstLine="640"/>
        <w:jc w:val="both"/>
      </w:pPr>
      <w:r>
        <w:rPr>
          <w:rFonts w:ascii="仿宋_GB2312" w:hAnsi="仿宋_GB2312" w:eastAsia="仿宋_GB2312"/>
          <w:sz w:val="32"/>
        </w:rPr>
        <w:t>和田地区国有资产监督管理委员会无下属预算单位，下设3个科室，分别是：综合科、业务科、国有资产评估服务中心。</w:t>
      </w:r>
    </w:p>
    <w:p w14:paraId="4ECB6D36">
      <w:r>
        <w:br w:type="page"/>
      </w:r>
    </w:p>
    <w:p w14:paraId="3508368D">
      <w:pPr>
        <w:spacing w:line="240" w:lineRule="auto"/>
        <w:jc w:val="center"/>
        <w:outlineLvl w:val="1"/>
      </w:pPr>
      <w:r>
        <w:rPr>
          <w:rFonts w:ascii="黑体" w:hAnsi="黑体" w:eastAsia="黑体"/>
          <w:sz w:val="32"/>
        </w:rPr>
        <w:t>第二部分 部门决算情况说明</w:t>
      </w:r>
    </w:p>
    <w:p w14:paraId="446D2086">
      <w:pPr>
        <w:spacing w:line="640" w:lineRule="exact"/>
        <w:ind w:firstLine="640"/>
        <w:jc w:val="both"/>
        <w:outlineLvl w:val="2"/>
      </w:pPr>
      <w:r>
        <w:rPr>
          <w:rFonts w:ascii="黑体" w:hAnsi="黑体" w:eastAsia="黑体"/>
          <w:sz w:val="32"/>
        </w:rPr>
        <w:t>一、收入支出决算总体情况说明</w:t>
      </w:r>
    </w:p>
    <w:p w14:paraId="15671CF6">
      <w:pPr>
        <w:spacing w:line="580" w:lineRule="exact"/>
        <w:ind w:firstLine="640"/>
        <w:jc w:val="both"/>
      </w:pPr>
      <w:r>
        <w:rPr>
          <w:rFonts w:ascii="仿宋_GB2312" w:hAnsi="仿宋_GB2312" w:eastAsia="仿宋_GB2312"/>
          <w:b/>
          <w:sz w:val="32"/>
        </w:rPr>
        <w:t>2024年度收入总计9,343.93万元，</w:t>
      </w:r>
      <w:r>
        <w:rPr>
          <w:rFonts w:ascii="仿宋_GB2312" w:hAnsi="仿宋_GB2312" w:eastAsia="仿宋_GB2312"/>
          <w:b w:val="0"/>
          <w:sz w:val="32"/>
        </w:rPr>
        <w:t>其中：本年收入合计9,343.93万元，使用非财政拨款结余（含专用结余）0.00万元，年初结转和结余0.00万元。</w:t>
      </w:r>
    </w:p>
    <w:p w14:paraId="6DEFFF6A">
      <w:pPr>
        <w:spacing w:line="580" w:lineRule="exact"/>
        <w:ind w:firstLine="640"/>
        <w:jc w:val="both"/>
      </w:pPr>
      <w:r>
        <w:rPr>
          <w:rFonts w:ascii="仿宋_GB2312" w:hAnsi="仿宋_GB2312" w:eastAsia="仿宋_GB2312"/>
          <w:b/>
          <w:sz w:val="32"/>
        </w:rPr>
        <w:t>2024年度支出总计9,343.93万元，</w:t>
      </w:r>
      <w:r>
        <w:rPr>
          <w:rFonts w:ascii="仿宋_GB2312" w:hAnsi="仿宋_GB2312" w:eastAsia="仿宋_GB2312"/>
          <w:b w:val="0"/>
          <w:sz w:val="32"/>
        </w:rPr>
        <w:t>其中：本年支出合计9,343.93万元，结余分配0.00万元，年末结转和结余0.00万元。</w:t>
      </w:r>
    </w:p>
    <w:p w14:paraId="70F5BFC0">
      <w:pPr>
        <w:spacing w:line="580" w:lineRule="exact"/>
        <w:ind w:firstLine="640"/>
        <w:jc w:val="both"/>
      </w:pPr>
      <w:r>
        <w:rPr>
          <w:rFonts w:ascii="仿宋_GB2312" w:hAnsi="仿宋_GB2312" w:eastAsia="仿宋_GB2312"/>
          <w:b w:val="0"/>
          <w:sz w:val="32"/>
        </w:rPr>
        <w:t>收入支出总体与上年相比，增加1,634.74万元，增长21.21%，主要原因是：本年在职人员增加，在职人员工资调增、社保、公积金基数调增，人员经费增加及国有企业注册资本金项目增加。</w:t>
      </w:r>
    </w:p>
    <w:p w14:paraId="69C9BFA7">
      <w:pPr>
        <w:spacing w:line="640" w:lineRule="exact"/>
        <w:ind w:firstLine="640"/>
        <w:jc w:val="both"/>
        <w:outlineLvl w:val="2"/>
      </w:pPr>
      <w:r>
        <w:rPr>
          <w:rFonts w:ascii="黑体" w:hAnsi="黑体" w:eastAsia="黑体"/>
          <w:sz w:val="32"/>
        </w:rPr>
        <w:t>二、收入决算情况说明</w:t>
      </w:r>
    </w:p>
    <w:p w14:paraId="22872DA7">
      <w:pPr>
        <w:spacing w:line="580" w:lineRule="exact"/>
        <w:ind w:firstLine="640"/>
        <w:jc w:val="both"/>
      </w:pPr>
      <w:r>
        <w:rPr>
          <w:rFonts w:ascii="仿宋_GB2312" w:hAnsi="仿宋_GB2312" w:eastAsia="仿宋_GB2312"/>
          <w:b/>
          <w:sz w:val="32"/>
        </w:rPr>
        <w:t>本年收入9,343.93万元，</w:t>
      </w:r>
      <w:r>
        <w:rPr>
          <w:rFonts w:ascii="仿宋_GB2312" w:hAnsi="仿宋_GB2312" w:eastAsia="仿宋_GB2312"/>
          <w:b w:val="0"/>
          <w:sz w:val="32"/>
        </w:rPr>
        <w:t>其中：财政拨款收入5,196.25万元，占55.61%；上级补助收入0.00万元，占0.00%；事业收入0.00万元，占0.00%；经营收入0.00万元，占0.00%；附属单位上缴收入0.00万元，占0.00%；其他收入4,147.67万元，占44.39%。</w:t>
      </w:r>
    </w:p>
    <w:p w14:paraId="2E64B822">
      <w:pPr>
        <w:spacing w:line="640" w:lineRule="exact"/>
        <w:ind w:firstLine="640"/>
        <w:jc w:val="both"/>
        <w:outlineLvl w:val="2"/>
      </w:pPr>
      <w:r>
        <w:rPr>
          <w:rFonts w:ascii="黑体" w:hAnsi="黑体" w:eastAsia="黑体"/>
          <w:sz w:val="32"/>
        </w:rPr>
        <w:t>三、支出决算情况说明</w:t>
      </w:r>
    </w:p>
    <w:p w14:paraId="1C1CEC80">
      <w:pPr>
        <w:spacing w:line="580" w:lineRule="exact"/>
        <w:ind w:firstLine="640"/>
        <w:jc w:val="both"/>
      </w:pPr>
      <w:r>
        <w:rPr>
          <w:rFonts w:ascii="仿宋_GB2312" w:hAnsi="仿宋_GB2312" w:eastAsia="仿宋_GB2312"/>
          <w:b/>
          <w:sz w:val="32"/>
        </w:rPr>
        <w:t>本年支出9,343.93万元，</w:t>
      </w:r>
      <w:r>
        <w:rPr>
          <w:rFonts w:ascii="仿宋_GB2312" w:hAnsi="仿宋_GB2312" w:eastAsia="仿宋_GB2312"/>
          <w:b w:val="0"/>
          <w:sz w:val="32"/>
        </w:rPr>
        <w:t>其中：基本支出373.68万元，占4.00%；项目支出8,970.25万元，占96.00%；上缴上级支出0.00万元，占0.00%；经营支出0.00万元，占0.00%；对附属单位补助支出0.00万元，占0.00%。</w:t>
      </w:r>
    </w:p>
    <w:p w14:paraId="0525004C">
      <w:pPr>
        <w:spacing w:line="640" w:lineRule="exact"/>
        <w:ind w:firstLine="640"/>
        <w:jc w:val="both"/>
        <w:outlineLvl w:val="2"/>
      </w:pPr>
      <w:r>
        <w:rPr>
          <w:rFonts w:ascii="黑体" w:hAnsi="黑体" w:eastAsia="黑体"/>
          <w:sz w:val="32"/>
        </w:rPr>
        <w:t>四、财政拨款收入支出决算总体情况说明</w:t>
      </w:r>
    </w:p>
    <w:p w14:paraId="370E6799">
      <w:pPr>
        <w:spacing w:line="580" w:lineRule="exact"/>
        <w:ind w:firstLine="640"/>
        <w:jc w:val="both"/>
      </w:pPr>
      <w:r>
        <w:rPr>
          <w:rFonts w:ascii="仿宋_GB2312" w:hAnsi="仿宋_GB2312" w:eastAsia="仿宋_GB2312"/>
          <w:b/>
          <w:sz w:val="32"/>
        </w:rPr>
        <w:t>2024年度财政拨款收入总计5,196.25万元，</w:t>
      </w:r>
      <w:r>
        <w:rPr>
          <w:rFonts w:ascii="仿宋_GB2312" w:hAnsi="仿宋_GB2312" w:eastAsia="仿宋_GB2312"/>
          <w:b w:val="0"/>
          <w:sz w:val="32"/>
        </w:rPr>
        <w:t>其中：年初财政拨款结转和结余0.00万元，本年财政拨款收入5,196.25万元。</w:t>
      </w:r>
      <w:r>
        <w:rPr>
          <w:rFonts w:ascii="仿宋_GB2312" w:hAnsi="仿宋_GB2312" w:eastAsia="仿宋_GB2312"/>
          <w:b/>
          <w:sz w:val="32"/>
        </w:rPr>
        <w:t>财政拨款支出总计5,196.25万元，</w:t>
      </w:r>
      <w:r>
        <w:rPr>
          <w:rFonts w:ascii="仿宋_GB2312" w:hAnsi="仿宋_GB2312" w:eastAsia="仿宋_GB2312"/>
          <w:b w:val="0"/>
          <w:sz w:val="32"/>
        </w:rPr>
        <w:t>其中：年末财政拨款结转和结余0.00万元，本年财政拨款支出5,196.25万元。</w:t>
      </w:r>
    </w:p>
    <w:p w14:paraId="7D284FB0">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减少2,428.10万元，下降31.85%，主要原因是：本年减少国家专项建设基金和田机场改扩建工程项目资金，导致财政拨款收入支出总体下降。</w:t>
      </w:r>
      <w:r>
        <w:rPr>
          <w:rFonts w:ascii="仿宋_GB2312" w:hAnsi="仿宋_GB2312" w:eastAsia="仿宋_GB2312"/>
          <w:b/>
          <w:sz w:val="32"/>
        </w:rPr>
        <w:t>与年初预算相比，</w:t>
      </w:r>
      <w:r>
        <w:rPr>
          <w:rFonts w:ascii="仿宋_GB2312" w:hAnsi="仿宋_GB2312" w:eastAsia="仿宋_GB2312"/>
          <w:b w:val="0"/>
          <w:sz w:val="32"/>
        </w:rPr>
        <w:t>年初预算数1,428.78万元，决算数5,196.25万元，预决算差异率263.68%，主要原因是：年中追加人员工资、社保、公积金基数调增部分资金，导致预决算存在差异；年中追加和田市北园春慕士塔格农贸批发市场建设项目，导致预决算存在差异。</w:t>
      </w:r>
    </w:p>
    <w:p w14:paraId="081AFB8D">
      <w:pPr>
        <w:spacing w:line="640" w:lineRule="exact"/>
        <w:ind w:firstLine="640"/>
        <w:jc w:val="both"/>
        <w:outlineLvl w:val="2"/>
      </w:pPr>
      <w:r>
        <w:rPr>
          <w:rFonts w:ascii="黑体" w:hAnsi="黑体" w:eastAsia="黑体"/>
          <w:sz w:val="32"/>
        </w:rPr>
        <w:t>五、一般公共预算财政拨款支出决算情况说明</w:t>
      </w:r>
    </w:p>
    <w:p w14:paraId="25576C9E">
      <w:pPr>
        <w:spacing w:line="640" w:lineRule="exact"/>
        <w:ind w:firstLine="640"/>
        <w:jc w:val="both"/>
        <w:outlineLvl w:val="3"/>
      </w:pPr>
      <w:r>
        <w:rPr>
          <w:rFonts w:ascii="楷体_GB2312" w:hAnsi="楷体_GB2312" w:eastAsia="楷体_GB2312"/>
          <w:b/>
          <w:sz w:val="32"/>
        </w:rPr>
        <w:t>（一）一般公共预算财政拨款支出决算总体情况</w:t>
      </w:r>
    </w:p>
    <w:p w14:paraId="43F90007">
      <w:pPr>
        <w:spacing w:line="580" w:lineRule="exact"/>
        <w:ind w:firstLine="640"/>
        <w:jc w:val="both"/>
      </w:pPr>
      <w:r>
        <w:rPr>
          <w:rFonts w:ascii="仿宋_GB2312" w:hAnsi="仿宋_GB2312" w:eastAsia="仿宋_GB2312"/>
          <w:b/>
          <w:sz w:val="32"/>
        </w:rPr>
        <w:t>2024年度一般公共预算财政拨款支出666.25万元，</w:t>
      </w:r>
      <w:r>
        <w:rPr>
          <w:rFonts w:ascii="仿宋_GB2312" w:hAnsi="仿宋_GB2312" w:eastAsia="仿宋_GB2312"/>
          <w:b w:val="0"/>
          <w:sz w:val="32"/>
        </w:rPr>
        <w:t>占本年支出合计的7.13%。</w:t>
      </w:r>
      <w:r>
        <w:rPr>
          <w:rFonts w:ascii="仿宋_GB2312" w:hAnsi="仿宋_GB2312" w:eastAsia="仿宋_GB2312"/>
          <w:b/>
          <w:sz w:val="32"/>
        </w:rPr>
        <w:t>与上年相比，</w:t>
      </w:r>
      <w:r>
        <w:rPr>
          <w:rFonts w:ascii="仿宋_GB2312" w:hAnsi="仿宋_GB2312" w:eastAsia="仿宋_GB2312"/>
          <w:b w:val="0"/>
          <w:sz w:val="32"/>
        </w:rPr>
        <w:t>减少316.34万元，下降32.19%，主要原因是：本年减少国家专项基金和田机场改扩建工程项目，导致一般公共预算财政拨款支出下降。</w:t>
      </w:r>
      <w:r>
        <w:rPr>
          <w:rFonts w:ascii="仿宋_GB2312" w:hAnsi="仿宋_GB2312" w:eastAsia="仿宋_GB2312"/>
          <w:b/>
          <w:sz w:val="32"/>
        </w:rPr>
        <w:t>与年初预算相比,</w:t>
      </w:r>
      <w:r>
        <w:rPr>
          <w:rFonts w:ascii="仿宋_GB2312" w:hAnsi="仿宋_GB2312" w:eastAsia="仿宋_GB2312"/>
          <w:b w:val="0"/>
          <w:sz w:val="32"/>
        </w:rPr>
        <w:t>年初预算数348.78万元，决算数666.25万元，预决算差异率91.02%，主要原因是：本年在职人员增加，年中追加人员工资、社保、公积金基数调增部分资金，导致预决算存在差异；年中追加矿产资源勘察费，导致预决算存在差异。</w:t>
      </w:r>
    </w:p>
    <w:p w14:paraId="04D16860">
      <w:pPr>
        <w:spacing w:line="640" w:lineRule="exact"/>
        <w:ind w:firstLine="640"/>
        <w:jc w:val="both"/>
        <w:outlineLvl w:val="3"/>
      </w:pPr>
      <w:r>
        <w:rPr>
          <w:rFonts w:ascii="楷体_GB2312" w:hAnsi="楷体_GB2312" w:eastAsia="楷体_GB2312"/>
          <w:b/>
          <w:sz w:val="32"/>
        </w:rPr>
        <w:t>（二）一般公共预算财政拨款支出决算结构情况</w:t>
      </w:r>
    </w:p>
    <w:p w14:paraId="33899214">
      <w:pPr>
        <w:spacing w:line="580" w:lineRule="exact"/>
        <w:ind w:firstLine="640"/>
        <w:jc w:val="both"/>
      </w:pPr>
      <w:r>
        <w:rPr>
          <w:rFonts w:ascii="仿宋_GB2312" w:hAnsi="仿宋_GB2312" w:eastAsia="仿宋_GB2312"/>
          <w:b w:val="0"/>
          <w:sz w:val="32"/>
        </w:rPr>
        <w:t>1.社会保障和就业支出(类)31.43万元,占4.72%。</w:t>
      </w:r>
    </w:p>
    <w:p w14:paraId="359164B5">
      <w:pPr>
        <w:spacing w:line="580" w:lineRule="exact"/>
        <w:ind w:firstLine="640"/>
        <w:jc w:val="both"/>
      </w:pPr>
      <w:r>
        <w:rPr>
          <w:rFonts w:ascii="仿宋_GB2312" w:hAnsi="仿宋_GB2312" w:eastAsia="仿宋_GB2312"/>
          <w:b w:val="0"/>
          <w:sz w:val="32"/>
        </w:rPr>
        <w:t>2.卫生健康支出(类)17.50万元,占2.63%。</w:t>
      </w:r>
    </w:p>
    <w:p w14:paraId="4C4C2287">
      <w:pPr>
        <w:spacing w:line="580" w:lineRule="exact"/>
        <w:ind w:firstLine="640"/>
        <w:jc w:val="both"/>
      </w:pPr>
      <w:r>
        <w:rPr>
          <w:rFonts w:ascii="仿宋_GB2312" w:hAnsi="仿宋_GB2312" w:eastAsia="仿宋_GB2312"/>
          <w:b w:val="0"/>
          <w:sz w:val="32"/>
        </w:rPr>
        <w:t>3.资源勘探工业信息等支出(类)574.95万元,占86.30%。</w:t>
      </w:r>
    </w:p>
    <w:p w14:paraId="49676613">
      <w:pPr>
        <w:spacing w:line="580" w:lineRule="exact"/>
        <w:ind w:firstLine="640"/>
        <w:jc w:val="both"/>
      </w:pPr>
      <w:r>
        <w:rPr>
          <w:rFonts w:ascii="仿宋_GB2312" w:hAnsi="仿宋_GB2312" w:eastAsia="仿宋_GB2312"/>
          <w:b w:val="0"/>
          <w:sz w:val="32"/>
        </w:rPr>
        <w:t>4.住房保障支出(类)22.35万元,占3.35%。</w:t>
      </w:r>
    </w:p>
    <w:p w14:paraId="426CC84F">
      <w:pPr>
        <w:spacing w:line="580" w:lineRule="exact"/>
        <w:ind w:firstLine="640"/>
        <w:jc w:val="both"/>
      </w:pPr>
      <w:r>
        <w:rPr>
          <w:rFonts w:ascii="仿宋_GB2312" w:hAnsi="仿宋_GB2312" w:eastAsia="仿宋_GB2312"/>
          <w:b w:val="0"/>
          <w:sz w:val="32"/>
        </w:rPr>
        <w:t>5.其他支出(类)20.01万元,占3.00%。</w:t>
      </w:r>
    </w:p>
    <w:p w14:paraId="21FFD6BC">
      <w:pPr>
        <w:spacing w:line="640" w:lineRule="exact"/>
        <w:ind w:firstLine="640"/>
        <w:jc w:val="both"/>
        <w:outlineLvl w:val="3"/>
      </w:pPr>
      <w:r>
        <w:rPr>
          <w:rFonts w:ascii="楷体_GB2312" w:hAnsi="楷体_GB2312" w:eastAsia="楷体_GB2312"/>
          <w:b/>
          <w:sz w:val="32"/>
        </w:rPr>
        <w:t>（三）一般公共预算财政拨款支出决算具体情况</w:t>
      </w:r>
    </w:p>
    <w:p w14:paraId="1FCE035D">
      <w:pPr>
        <w:spacing w:line="580" w:lineRule="exact"/>
        <w:ind w:firstLine="640"/>
        <w:jc w:val="both"/>
      </w:pPr>
      <w:r>
        <w:rPr>
          <w:rFonts w:ascii="仿宋_GB2312" w:hAnsi="仿宋_GB2312" w:eastAsia="仿宋_GB2312"/>
          <w:b w:val="0"/>
          <w:sz w:val="32"/>
        </w:rPr>
        <w:t>1.一般公共服务支出(类)政府办公厅（室）及相关机构事务(款)其他政府办公厅（室）及相关机构事务支出(项):支出决算数为0.00万元，比上年决算减少15.00万元，下降100.00%,主要原因是：本年未安排干部职工丧葬费。</w:t>
      </w:r>
    </w:p>
    <w:p w14:paraId="7E3F4678">
      <w:pPr>
        <w:spacing w:line="580" w:lineRule="exact"/>
        <w:ind w:firstLine="640"/>
        <w:jc w:val="both"/>
      </w:pPr>
      <w:r>
        <w:rPr>
          <w:rFonts w:ascii="仿宋_GB2312" w:hAnsi="仿宋_GB2312" w:eastAsia="仿宋_GB2312"/>
          <w:b w:val="0"/>
          <w:sz w:val="32"/>
        </w:rPr>
        <w:t>2.一般公共服务支出(类)组织事务(款)其他组织事务支出(项):支出决算数为0.00万元，比上年决算减少1.49万元，下降100.00%,主要原因是：本年功能科目调整，援疆干部生活补助资金由其他组织事务支出科目调整至其他支出科目支出，导致经费较上年减少。</w:t>
      </w:r>
    </w:p>
    <w:p w14:paraId="2101B8E1">
      <w:pPr>
        <w:spacing w:line="580" w:lineRule="exact"/>
        <w:ind w:firstLine="640"/>
        <w:jc w:val="both"/>
      </w:pPr>
      <w:r>
        <w:rPr>
          <w:rFonts w:ascii="仿宋_GB2312" w:hAnsi="仿宋_GB2312" w:eastAsia="仿宋_GB2312"/>
          <w:b w:val="0"/>
          <w:sz w:val="32"/>
        </w:rPr>
        <w:t>3.社会保障和就业支出(类)行政事业单位养老支出(款)行政单位离退休(项):支出决算数为1.66万元，比上年决算增加1.66万元，增长100.00%,主要原因是：本年功能科目调整，行政单位离退休上年度在主科目列支，本年单独列支，导致经费较上年增加。</w:t>
      </w:r>
    </w:p>
    <w:p w14:paraId="3447BB30">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29.77万元，比上年决算增加5.81万元，增长24.25%,主要原因是：本年在职人员增加，养老保险缴费较上年增加。</w:t>
      </w:r>
    </w:p>
    <w:p w14:paraId="55E0C833">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0.00万元，比上年决算减少10.57万元，下降100.00%,主要原因是：本年无新增退休人员，职业年金缴费较上年减少。</w:t>
      </w:r>
    </w:p>
    <w:p w14:paraId="1A9BA1E3">
      <w:pPr>
        <w:spacing w:line="580" w:lineRule="exact"/>
        <w:ind w:firstLine="640"/>
        <w:jc w:val="both"/>
      </w:pPr>
      <w:r>
        <w:rPr>
          <w:rFonts w:ascii="仿宋_GB2312" w:hAnsi="仿宋_GB2312" w:eastAsia="仿宋_GB2312"/>
          <w:b w:val="0"/>
          <w:sz w:val="32"/>
        </w:rPr>
        <w:t>6.卫生健康支出(类)行政事业单位医疗(款)行政单位医疗(项):支出决算数为12.09万元，比上年决算增加12.09万元，增长100.00%,主要原因是：本年功能科目调整，行政单位医疗上年度在主科目列支，本年单独列支，导致经费较上年增加。</w:t>
      </w:r>
    </w:p>
    <w:p w14:paraId="665032DE">
      <w:pPr>
        <w:spacing w:line="580" w:lineRule="exact"/>
        <w:ind w:firstLine="640"/>
        <w:jc w:val="both"/>
      </w:pPr>
      <w:r>
        <w:rPr>
          <w:rFonts w:ascii="仿宋_GB2312" w:hAnsi="仿宋_GB2312" w:eastAsia="仿宋_GB2312"/>
          <w:b w:val="0"/>
          <w:sz w:val="32"/>
        </w:rPr>
        <w:t>7.卫生健康支出(类)行政事业单位医疗(款)公务员医疗补助(项):支出决算数为5.42万元，比上年决算增加5.42万元，增长100.00%,主要原因是：本年功能科目调整，公务员医疗补助支出上年度在主科目列支，本年单独列支，导致经费较上年增加。</w:t>
      </w:r>
    </w:p>
    <w:p w14:paraId="6626D62F">
      <w:pPr>
        <w:spacing w:line="580" w:lineRule="exact"/>
        <w:ind w:firstLine="640"/>
        <w:jc w:val="both"/>
      </w:pPr>
      <w:r>
        <w:rPr>
          <w:rFonts w:ascii="仿宋_GB2312" w:hAnsi="仿宋_GB2312" w:eastAsia="仿宋_GB2312"/>
          <w:b w:val="0"/>
          <w:sz w:val="32"/>
        </w:rPr>
        <w:t>8.资源勘探工业信息等支出(类)国有资产监管(款)行政运行(项):支出决算数为302.39万元，比上年决算增加6.42万元，增长2.17%,主要原因是：本年新增在职人员，人员经费增加，导致经费较上年有所增加。</w:t>
      </w:r>
    </w:p>
    <w:p w14:paraId="7D3180C4">
      <w:pPr>
        <w:spacing w:line="580" w:lineRule="exact"/>
        <w:ind w:firstLine="640"/>
        <w:jc w:val="both"/>
      </w:pPr>
      <w:r>
        <w:rPr>
          <w:rFonts w:ascii="仿宋_GB2312" w:hAnsi="仿宋_GB2312" w:eastAsia="仿宋_GB2312"/>
          <w:b w:val="0"/>
          <w:sz w:val="32"/>
        </w:rPr>
        <w:t>9.资源勘探工业信息等支出(类)国有资产监管(款)其他国有资产监管支出(项):支出决算数为272.57万元，比上年决算减少351.50万元，下降56.32%,主要原因是：本年减少国家专项基金和田机场改扩建工程项目，导致较上年减少。</w:t>
      </w:r>
    </w:p>
    <w:p w14:paraId="6FD91C3A">
      <w:pPr>
        <w:spacing w:line="580" w:lineRule="exact"/>
        <w:ind w:firstLine="640"/>
        <w:jc w:val="both"/>
      </w:pPr>
      <w:r>
        <w:rPr>
          <w:rFonts w:ascii="仿宋_GB2312" w:hAnsi="仿宋_GB2312" w:eastAsia="仿宋_GB2312"/>
          <w:b w:val="0"/>
          <w:sz w:val="32"/>
        </w:rPr>
        <w:t>10.住房保障支出(类)住房改革支出(款)住房公积金(项):支出决算数为22.35万元，比上年决算增加22.35万元，增长100.00%,主要原因是：本年功能科目调整，住房公积金上年度在主科目列支，本年单独列支，导致经费较上年增加。</w:t>
      </w:r>
    </w:p>
    <w:p w14:paraId="54DA9434">
      <w:pPr>
        <w:spacing w:line="580" w:lineRule="exact"/>
        <w:ind w:firstLine="640"/>
        <w:jc w:val="both"/>
      </w:pPr>
      <w:r>
        <w:rPr>
          <w:rFonts w:ascii="仿宋_GB2312" w:hAnsi="仿宋_GB2312" w:eastAsia="仿宋_GB2312"/>
          <w:b w:val="0"/>
          <w:sz w:val="32"/>
        </w:rPr>
        <w:t>11.其他支出(类)其他支出(款)其他支出(项):支出决算数为20.01万元，比上年决算增加8.47万元，增长73.40%,主要原因是：本年新增一个工作队，驻村工作经费较上年增加；本年科目调整，援疆干部生活补助资金由其他组织事务支出科目调整至其他支出科目支出，导致经费较上年增加。</w:t>
      </w:r>
    </w:p>
    <w:p w14:paraId="26966FD0">
      <w:pPr>
        <w:spacing w:line="640" w:lineRule="exact"/>
        <w:ind w:firstLine="640"/>
        <w:jc w:val="both"/>
        <w:outlineLvl w:val="2"/>
      </w:pPr>
      <w:r>
        <w:rPr>
          <w:rFonts w:ascii="黑体" w:hAnsi="黑体" w:eastAsia="黑体"/>
          <w:sz w:val="32"/>
        </w:rPr>
        <w:t>六、一般公共预算财政拨款基本支出决算情况说明</w:t>
      </w:r>
    </w:p>
    <w:p w14:paraId="6A5AA672">
      <w:pPr>
        <w:spacing w:line="580" w:lineRule="exact"/>
        <w:ind w:firstLine="640"/>
        <w:jc w:val="both"/>
      </w:pPr>
      <w:r>
        <w:rPr>
          <w:rFonts w:ascii="仿宋_GB2312" w:hAnsi="仿宋_GB2312" w:eastAsia="仿宋_GB2312"/>
          <w:b w:val="0"/>
          <w:sz w:val="32"/>
        </w:rPr>
        <w:t>2024年度一般公共预算财政拨款基本支出373.68万元，其中：</w:t>
      </w:r>
      <w:r>
        <w:rPr>
          <w:rFonts w:ascii="仿宋_GB2312" w:hAnsi="仿宋_GB2312" w:eastAsia="仿宋_GB2312"/>
          <w:b/>
          <w:sz w:val="32"/>
        </w:rPr>
        <w:t>人员经费348.40万元，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其他工资福利支出、退休费、抚恤金、生活补助。</w:t>
      </w:r>
    </w:p>
    <w:p w14:paraId="438E55D2">
      <w:pPr>
        <w:spacing w:line="580" w:lineRule="exact"/>
        <w:ind w:firstLine="640"/>
        <w:jc w:val="both"/>
      </w:pPr>
      <w:r>
        <w:rPr>
          <w:rFonts w:ascii="仿宋_GB2312" w:hAnsi="仿宋_GB2312" w:eastAsia="仿宋_GB2312"/>
          <w:b/>
          <w:sz w:val="32"/>
        </w:rPr>
        <w:t>公用经费25.28万元，</w:t>
      </w:r>
      <w:r>
        <w:rPr>
          <w:rFonts w:ascii="仿宋_GB2312" w:hAnsi="仿宋_GB2312" w:eastAsia="仿宋_GB2312"/>
          <w:b w:val="0"/>
          <w:sz w:val="32"/>
        </w:rPr>
        <w:t>包括：办公费、水费、电费、取暖费、差旅费、工会经费、福利费、公务用车运行维护费、其他商品和服务支出。</w:t>
      </w:r>
    </w:p>
    <w:p w14:paraId="70CBFAFC">
      <w:pPr>
        <w:spacing w:line="640" w:lineRule="exact"/>
        <w:ind w:firstLine="640"/>
        <w:jc w:val="both"/>
        <w:outlineLvl w:val="2"/>
      </w:pPr>
      <w:r>
        <w:rPr>
          <w:rFonts w:ascii="黑体" w:hAnsi="黑体" w:eastAsia="黑体"/>
          <w:sz w:val="32"/>
        </w:rPr>
        <w:t>七、政府性基金预算财政拨款收入支出决算情况说明</w:t>
      </w:r>
    </w:p>
    <w:p w14:paraId="51EC7AFC">
      <w:pPr>
        <w:spacing w:line="580" w:lineRule="exact"/>
        <w:ind w:firstLine="640"/>
        <w:jc w:val="both"/>
      </w:pPr>
      <w:r>
        <w:rPr>
          <w:rFonts w:ascii="仿宋_GB2312" w:hAnsi="仿宋_GB2312" w:eastAsia="仿宋_GB2312"/>
          <w:b/>
          <w:sz w:val="32"/>
        </w:rPr>
        <w:t>2024年度政府性基金预算财政拨款收入总计3,500.00万元，</w:t>
      </w:r>
      <w:r>
        <w:rPr>
          <w:rFonts w:ascii="仿宋_GB2312" w:hAnsi="仿宋_GB2312" w:eastAsia="仿宋_GB2312"/>
          <w:b w:val="0"/>
          <w:sz w:val="32"/>
        </w:rPr>
        <w:t>其中：年初结转和结余0.00万元，本年收入3,500.00万元。</w:t>
      </w:r>
      <w:r>
        <w:rPr>
          <w:rFonts w:ascii="仿宋_GB2312" w:hAnsi="仿宋_GB2312" w:eastAsia="仿宋_GB2312"/>
          <w:b/>
          <w:sz w:val="32"/>
        </w:rPr>
        <w:t>政府性基金预算财政拨款支出总计3,500.00万元，</w:t>
      </w:r>
      <w:r>
        <w:rPr>
          <w:rFonts w:ascii="仿宋_GB2312" w:hAnsi="仿宋_GB2312" w:eastAsia="仿宋_GB2312"/>
          <w:b w:val="0"/>
          <w:sz w:val="32"/>
        </w:rPr>
        <w:t>其中：年末结转和结余0.00万元，本年支出3,500.00万元。</w:t>
      </w:r>
    </w:p>
    <w:p w14:paraId="7ADCED1C">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减少2,700.00万元，下降43.55%，主要原因是：本年减少国家专项建设基金和田机场改扩建工程项目资金，导致政府性基金预算拨款收入支出减少。</w:t>
      </w:r>
      <w:r>
        <w:rPr>
          <w:rFonts w:ascii="仿宋_GB2312" w:hAnsi="仿宋_GB2312" w:eastAsia="仿宋_GB2312"/>
          <w:b/>
          <w:sz w:val="32"/>
        </w:rPr>
        <w:t>与年初预算相比，</w:t>
      </w:r>
      <w:r>
        <w:rPr>
          <w:rFonts w:ascii="仿宋_GB2312" w:hAnsi="仿宋_GB2312" w:eastAsia="仿宋_GB2312"/>
          <w:b w:val="0"/>
          <w:sz w:val="32"/>
        </w:rPr>
        <w:t>年初预算数0.00万元，决算数3,500.00万元，预决算差异率100.00%，主要原因是：年中追加和田市北园春慕士塔格农贸批发市场建设项目、和田地区华威热电联产供热工程项目，导致预决算存在差异。</w:t>
      </w:r>
    </w:p>
    <w:p w14:paraId="5A157FD4">
      <w:pPr>
        <w:spacing w:line="580" w:lineRule="exact"/>
        <w:ind w:firstLine="640"/>
        <w:jc w:val="both"/>
      </w:pPr>
      <w:r>
        <w:rPr>
          <w:rFonts w:ascii="仿宋_GB2312" w:hAnsi="仿宋_GB2312" w:eastAsia="仿宋_GB2312"/>
          <w:b w:val="0"/>
          <w:sz w:val="32"/>
        </w:rPr>
        <w:t>政府性基金预算财政拨款支出3,500.00万元。</w:t>
      </w:r>
    </w:p>
    <w:p w14:paraId="1F0DF53D">
      <w:pPr>
        <w:spacing w:line="580" w:lineRule="exact"/>
        <w:ind w:firstLine="640"/>
        <w:jc w:val="both"/>
      </w:pPr>
      <w:r>
        <w:rPr>
          <w:rFonts w:ascii="仿宋_GB2312" w:hAnsi="仿宋_GB2312" w:eastAsia="仿宋_GB2312"/>
          <w:b w:val="0"/>
          <w:sz w:val="32"/>
        </w:rPr>
        <w:t>1.城乡社区支出(类)国有土地使用权出让收入对应专项债务收入安排的支出(款)其他国有土地使用权出让收入对应专项债务收入安排的支出(项):支出决算数为0.00万元，比上年决算减少6,200.00万元，下降100.00%,主要原因是：本年减少国家专项建设基金和田机场改扩建工程项目剩余资金项目，导致经费下降。</w:t>
      </w:r>
    </w:p>
    <w:p w14:paraId="0F98FFF8">
      <w:pPr>
        <w:spacing w:line="580" w:lineRule="exact"/>
        <w:ind w:firstLine="640"/>
        <w:jc w:val="both"/>
      </w:pPr>
      <w:r>
        <w:rPr>
          <w:rFonts w:ascii="仿宋_GB2312" w:hAnsi="仿宋_GB2312" w:eastAsia="仿宋_GB2312"/>
          <w:b w:val="0"/>
          <w:sz w:val="32"/>
        </w:rPr>
        <w:t>2.其他支出(类)其他政府性基金及对应专项债务收入安排的支出(款)其他政府性基金债务收入安排的支出(项):支出决算数为3,500.00万元，比上年决算增加3,500.00万元，增长100.00%,主要原因是：本年增加和田市北园春慕士塔格农贸批发市场建设项目、和田地区华威热电联产供热工程项目资金。</w:t>
      </w:r>
    </w:p>
    <w:p w14:paraId="7BA2654E">
      <w:pPr>
        <w:spacing w:line="640" w:lineRule="exact"/>
        <w:ind w:firstLine="640"/>
        <w:jc w:val="both"/>
        <w:outlineLvl w:val="2"/>
      </w:pPr>
      <w:r>
        <w:rPr>
          <w:rFonts w:ascii="黑体" w:hAnsi="黑体" w:eastAsia="黑体"/>
          <w:sz w:val="32"/>
        </w:rPr>
        <w:t>八、国有资本经营预算财政拨款收入支出决算情况说明</w:t>
      </w:r>
    </w:p>
    <w:p w14:paraId="6013D27D">
      <w:pPr>
        <w:spacing w:line="580" w:lineRule="exact"/>
        <w:ind w:firstLine="640"/>
        <w:jc w:val="both"/>
      </w:pPr>
      <w:r>
        <w:rPr>
          <w:rFonts w:ascii="仿宋_GB2312" w:hAnsi="仿宋_GB2312" w:eastAsia="仿宋_GB2312"/>
          <w:b/>
          <w:sz w:val="32"/>
        </w:rPr>
        <w:t>2024年度国有资本经营预算财政拨款收入总计1,030.00万元，</w:t>
      </w:r>
      <w:r>
        <w:rPr>
          <w:rFonts w:ascii="仿宋_GB2312" w:hAnsi="仿宋_GB2312" w:eastAsia="仿宋_GB2312"/>
          <w:b w:val="0"/>
          <w:sz w:val="32"/>
        </w:rPr>
        <w:t>其中：年初结转和结余0.00万元，本年收入1,030.00万元。</w:t>
      </w:r>
      <w:r>
        <w:rPr>
          <w:rFonts w:ascii="仿宋_GB2312" w:hAnsi="仿宋_GB2312" w:eastAsia="仿宋_GB2312"/>
          <w:b/>
          <w:sz w:val="32"/>
        </w:rPr>
        <w:t>国有资本经营预算财政拨款支出总计1,030.00万元，</w:t>
      </w:r>
      <w:r>
        <w:rPr>
          <w:rFonts w:ascii="仿宋_GB2312" w:hAnsi="仿宋_GB2312" w:eastAsia="仿宋_GB2312"/>
          <w:b w:val="0"/>
          <w:sz w:val="32"/>
        </w:rPr>
        <w:t>其中：年末结转和结余0.00万元，本年支出1,030.00万元。</w:t>
      </w:r>
    </w:p>
    <w:p w14:paraId="097505C0">
      <w:pPr>
        <w:spacing w:line="580" w:lineRule="exact"/>
        <w:ind w:firstLine="640"/>
        <w:jc w:val="both"/>
      </w:pPr>
      <w:r>
        <w:rPr>
          <w:rFonts w:ascii="仿宋_GB2312" w:hAnsi="仿宋_GB2312" w:eastAsia="仿宋_GB2312"/>
          <w:b/>
          <w:sz w:val="32"/>
        </w:rPr>
        <w:t>国有资本经营预算财政拨款收入支出与上年相比，</w:t>
      </w:r>
      <w:r>
        <w:rPr>
          <w:rFonts w:ascii="仿宋_GB2312" w:hAnsi="仿宋_GB2312" w:eastAsia="仿宋_GB2312"/>
          <w:b w:val="0"/>
          <w:sz w:val="32"/>
        </w:rPr>
        <w:t>增加599.00万元，增长138.98%，主要原因是：本年增加和田水务发展集团有限责任公司注册资本金，导致国有资本经营支出增加。</w:t>
      </w:r>
      <w:r>
        <w:rPr>
          <w:rFonts w:ascii="仿宋_GB2312" w:hAnsi="仿宋_GB2312" w:eastAsia="仿宋_GB2312"/>
          <w:b/>
          <w:sz w:val="32"/>
        </w:rPr>
        <w:t>与年初预算相比，</w:t>
      </w:r>
      <w:r>
        <w:rPr>
          <w:rFonts w:ascii="仿宋_GB2312" w:hAnsi="仿宋_GB2312" w:eastAsia="仿宋_GB2312"/>
          <w:b w:val="0"/>
          <w:sz w:val="32"/>
        </w:rPr>
        <w:t>年初预算数1,080.00万元，决算数1,030.00万元，预决算差异率-4.63%，主要原因是：年中调减劳务费，导致预决算存在差异。</w:t>
      </w:r>
    </w:p>
    <w:p w14:paraId="1E60C783">
      <w:pPr>
        <w:spacing w:line="580" w:lineRule="exact"/>
        <w:ind w:firstLine="640"/>
        <w:jc w:val="both"/>
      </w:pPr>
      <w:r>
        <w:rPr>
          <w:rFonts w:ascii="仿宋_GB2312" w:hAnsi="仿宋_GB2312" w:eastAsia="仿宋_GB2312"/>
          <w:sz w:val="32"/>
        </w:rPr>
        <w:t>国有资本经营预算财政拨款支出1,030.00万元。</w:t>
      </w:r>
    </w:p>
    <w:p w14:paraId="0C287564">
      <w:pPr>
        <w:spacing w:line="580" w:lineRule="exact"/>
        <w:ind w:firstLine="640"/>
        <w:jc w:val="both"/>
      </w:pPr>
      <w:r>
        <w:rPr>
          <w:rFonts w:ascii="仿宋_GB2312" w:hAnsi="仿宋_GB2312" w:eastAsia="仿宋_GB2312"/>
          <w:b w:val="0"/>
          <w:sz w:val="32"/>
        </w:rPr>
        <w:t>1.国有资本经营预算支出(类)国有企业资本金注入(款)其他国有企业资本金注入(项):支出决算数为1,000.00万元，比上年决算增加569.00万元，增长132.02%,主要原因是：本年增加和田水务发展集团有限责任公司注册资本金，导致国有资本经营支出增加。</w:t>
      </w:r>
    </w:p>
    <w:p w14:paraId="33D7E998">
      <w:pPr>
        <w:spacing w:line="580" w:lineRule="exact"/>
        <w:ind w:firstLine="640"/>
        <w:jc w:val="both"/>
      </w:pPr>
      <w:r>
        <w:rPr>
          <w:rFonts w:ascii="仿宋_GB2312" w:hAnsi="仿宋_GB2312" w:eastAsia="仿宋_GB2312"/>
          <w:b w:val="0"/>
          <w:sz w:val="32"/>
        </w:rPr>
        <w:t>2.国有资本经营预算支出(类)其他国有资本经营预算支出(款)其他国有资本经营预算支出(项):支出决算数为30.00万元，比上年决算增加30.00万元，增长100.00%,主要原因是：本年增加劳务费项目资金，经费较上年增加。</w:t>
      </w:r>
    </w:p>
    <w:p w14:paraId="5DC90AF7">
      <w:pPr>
        <w:spacing w:line="640" w:lineRule="exact"/>
        <w:ind w:firstLine="640"/>
        <w:jc w:val="both"/>
        <w:outlineLvl w:val="2"/>
      </w:pPr>
      <w:r>
        <w:rPr>
          <w:rFonts w:ascii="黑体" w:hAnsi="黑体" w:eastAsia="黑体"/>
          <w:sz w:val="32"/>
        </w:rPr>
        <w:t>九、财政拨款“三公”经费支出决算情况说明</w:t>
      </w:r>
    </w:p>
    <w:p w14:paraId="7B6AF519">
      <w:pPr>
        <w:spacing w:line="580" w:lineRule="exact"/>
        <w:ind w:firstLine="640"/>
        <w:jc w:val="both"/>
      </w:pPr>
      <w:r>
        <w:rPr>
          <w:rFonts w:ascii="仿宋_GB2312" w:hAnsi="仿宋_GB2312" w:eastAsia="仿宋_GB2312"/>
          <w:b/>
          <w:sz w:val="32"/>
        </w:rPr>
        <w:t>2024年度财政拨款“三公”经费支出2.00万元，</w:t>
      </w:r>
      <w:r>
        <w:rPr>
          <w:rFonts w:ascii="仿宋_GB2312" w:hAnsi="仿宋_GB2312" w:eastAsia="仿宋_GB2312"/>
          <w:b w:val="0"/>
          <w:sz w:val="32"/>
        </w:rPr>
        <w:t>比上年增加0.00万元，增长0.00%，主要原因是：本单位“三公”经费与上年一致无变化。其中：因公出国（境）费支出0.00万元，占0.00%，比上年增加0.00万元，增长0.00%，主要原因是：2023年与2024年均未安排因公出国（境）费支出。公务用车购置及运行维护费支出2.00万元，占100.00%，比上年增加0.00万元，增长0.00%，主要原因是：本单位公务用车运行维护费与上年一致无变化。公务接待费支出0.00万元，占0.00%，比上年增加0.00万元，增长0.00%，主要原因是：2023年与2024年均未安排公务接待费支出。</w:t>
      </w:r>
    </w:p>
    <w:p w14:paraId="49017CF9">
      <w:pPr>
        <w:spacing w:line="580" w:lineRule="exact"/>
        <w:ind w:firstLine="640"/>
        <w:jc w:val="both"/>
      </w:pPr>
      <w:r>
        <w:rPr>
          <w:rFonts w:ascii="仿宋_GB2312" w:hAnsi="仿宋_GB2312" w:eastAsia="仿宋_GB2312"/>
          <w:b/>
          <w:sz w:val="32"/>
        </w:rPr>
        <w:t>具体情况如下：</w:t>
      </w:r>
    </w:p>
    <w:p w14:paraId="41014246">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7BDA236">
      <w:pPr>
        <w:spacing w:line="580" w:lineRule="exact"/>
        <w:ind w:firstLine="640"/>
        <w:jc w:val="both"/>
      </w:pPr>
      <w:r>
        <w:rPr>
          <w:rFonts w:ascii="仿宋_GB2312" w:hAnsi="仿宋_GB2312" w:eastAsia="仿宋_GB2312"/>
          <w:b w:val="0"/>
          <w:sz w:val="32"/>
        </w:rPr>
        <w:t>公务用车购置及运行维护费2.00万元，其中：公务用车购置费0.00万元，公务用车运行维护费2.00万元。公务用车运行维护费开支内容包括车辆加油费、维修费。公务用车购置数0辆，公务用车保有量1辆。国有资产占用情况中固定资产车辆1辆，与公务用车保有量差异原因是：本单位固定资产车辆与公务用车保有量一致无差异。</w:t>
      </w:r>
    </w:p>
    <w:p w14:paraId="52762709">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B113354">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2.00万元，决算数2.00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2.00万元，决算数2.00万元，预决算差异率0.00%，主要原因是：严格按照预算执行，预决算无差异。公务接待费全年预算数0.00万元，决算数0.00万元，预决算差异率0.00%，主要原因是：本单位无公务接待费。</w:t>
      </w:r>
    </w:p>
    <w:p w14:paraId="32C74175">
      <w:pPr>
        <w:spacing w:line="640" w:lineRule="exact"/>
        <w:ind w:firstLine="640"/>
        <w:jc w:val="both"/>
        <w:outlineLvl w:val="2"/>
      </w:pPr>
      <w:r>
        <w:rPr>
          <w:rFonts w:ascii="黑体" w:hAnsi="黑体" w:eastAsia="黑体"/>
          <w:sz w:val="32"/>
        </w:rPr>
        <w:t>十、其他重要事项的情况说明</w:t>
      </w:r>
    </w:p>
    <w:p w14:paraId="176831E9">
      <w:pPr>
        <w:spacing w:line="640" w:lineRule="exact"/>
        <w:ind w:firstLine="640"/>
        <w:jc w:val="both"/>
        <w:outlineLvl w:val="3"/>
      </w:pPr>
      <w:r>
        <w:rPr>
          <w:rFonts w:ascii="楷体_GB2312" w:hAnsi="楷体_GB2312" w:eastAsia="楷体_GB2312"/>
          <w:b/>
          <w:sz w:val="32"/>
        </w:rPr>
        <w:t>（一）机关运行经费及公用经费支出情况</w:t>
      </w:r>
    </w:p>
    <w:p w14:paraId="6DD68F0A">
      <w:pPr>
        <w:spacing w:line="580" w:lineRule="exact"/>
        <w:ind w:firstLine="640"/>
        <w:jc w:val="both"/>
      </w:pPr>
      <w:r>
        <w:rPr>
          <w:rFonts w:ascii="仿宋_GB2312" w:hAnsi="仿宋_GB2312" w:eastAsia="仿宋_GB2312"/>
          <w:b w:val="0"/>
          <w:sz w:val="32"/>
        </w:rPr>
        <w:t>2024年度和田地区国有资产监督管理委员会（行政单位和参照公务员法管理事业单位）机关运行经费支出25.28万元，比上年减少5.91万元，下降18.95%，主要原因是：本年差旅费、劳务费较上年减少。</w:t>
      </w:r>
    </w:p>
    <w:p w14:paraId="2AA4055E">
      <w:pPr>
        <w:spacing w:line="640" w:lineRule="exact"/>
        <w:ind w:firstLine="640"/>
        <w:jc w:val="both"/>
        <w:outlineLvl w:val="3"/>
      </w:pPr>
      <w:r>
        <w:rPr>
          <w:rFonts w:ascii="楷体_GB2312" w:hAnsi="楷体_GB2312" w:eastAsia="楷体_GB2312"/>
          <w:b/>
          <w:sz w:val="32"/>
        </w:rPr>
        <w:t>（二）政府采购情况</w:t>
      </w:r>
    </w:p>
    <w:p w14:paraId="5AEA5DB2">
      <w:pPr>
        <w:spacing w:line="580" w:lineRule="exact"/>
        <w:ind w:firstLine="640"/>
        <w:jc w:val="both"/>
      </w:pPr>
      <w:r>
        <w:rPr>
          <w:rFonts w:ascii="仿宋_GB2312" w:hAnsi="仿宋_GB2312" w:eastAsia="仿宋_GB2312"/>
          <w:b w:val="0"/>
          <w:sz w:val="32"/>
        </w:rPr>
        <w:t>2024年度政府采购支出总额0.89万元，其中：政府采购货物支出0.35万元、政府采购工程支出0.00万元、政府采购服务支出0.54万元。</w:t>
      </w:r>
    </w:p>
    <w:p w14:paraId="70CB5888">
      <w:pPr>
        <w:spacing w:line="580" w:lineRule="exact"/>
        <w:ind w:firstLine="640"/>
        <w:jc w:val="both"/>
      </w:pPr>
      <w:r>
        <w:rPr>
          <w:rFonts w:ascii="仿宋_GB2312" w:hAnsi="仿宋_GB2312" w:eastAsia="仿宋_GB2312"/>
          <w:b w:val="0"/>
          <w:sz w:val="32"/>
        </w:rPr>
        <w:t>授予中小企业合同金额0.89万元，占政府采购支出总额的100.00%，其中：授予小微企业合同金额0.89万元，占政府采购支出总额的100.00%。</w:t>
      </w:r>
    </w:p>
    <w:p w14:paraId="6A2F30DB">
      <w:pPr>
        <w:spacing w:line="640" w:lineRule="exact"/>
        <w:ind w:firstLine="640"/>
        <w:jc w:val="both"/>
        <w:outlineLvl w:val="3"/>
      </w:pPr>
      <w:r>
        <w:rPr>
          <w:rFonts w:ascii="楷体_GB2312" w:hAnsi="楷体_GB2312" w:eastAsia="楷体_GB2312"/>
          <w:b/>
          <w:sz w:val="32"/>
        </w:rPr>
        <w:t>（三）国有资产占用情况说明</w:t>
      </w:r>
    </w:p>
    <w:p w14:paraId="50CA3FDC">
      <w:pPr>
        <w:spacing w:line="580" w:lineRule="exact"/>
        <w:ind w:firstLine="640"/>
        <w:jc w:val="both"/>
      </w:pPr>
      <w:r>
        <w:rPr>
          <w:rFonts w:ascii="仿宋_GB2312" w:hAnsi="仿宋_GB2312" w:eastAsia="仿宋_GB2312"/>
          <w:b w:val="0"/>
          <w:sz w:val="32"/>
        </w:rPr>
        <w:t>截至2024年12月31日，房屋13,432.09平方米，价值4,621.14万元。车辆1辆，价值25.22万元，其中：副部（省）级及以上领导用车0辆、主要负责人用车1辆、机要通信用车0辆、应急保障用车0辆、执法执勤用车0辆、特种专业技术用车0辆、离退休干部服务用车0辆、其他用车0辆，其他用车主要是：本单位无其他用车。单价100万元（含）以上设备（不含车辆）0台（套）。</w:t>
      </w:r>
    </w:p>
    <w:p w14:paraId="3B59251B">
      <w:pPr>
        <w:spacing w:line="640" w:lineRule="exact"/>
        <w:ind w:firstLine="640"/>
        <w:jc w:val="both"/>
        <w:outlineLvl w:val="2"/>
      </w:pPr>
      <w:r>
        <w:rPr>
          <w:rFonts w:ascii="黑体" w:hAnsi="黑体" w:eastAsia="黑体"/>
          <w:sz w:val="32"/>
        </w:rPr>
        <w:t>十一、预算绩效的情况说明</w:t>
      </w:r>
    </w:p>
    <w:p w14:paraId="57A0A882">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根据预算绩效管理要求，本单位2024年度预算绩效管理形成整体支出绩效自评表1个，全年预算总额9,343.93万元，实际执行总额9,343.93万元；预算绩效评价项目</w:t>
      </w:r>
      <w:r>
        <w:rPr>
          <w:rFonts w:hint="eastAsia" w:ascii="仿宋_GB2312" w:hAnsi="仿宋_GB2312" w:eastAsia="仿宋_GB2312"/>
          <w:b w:val="0"/>
          <w:sz w:val="32"/>
          <w:lang w:val="en-US" w:eastAsia="zh-CN"/>
        </w:rPr>
        <w:t>6</w:t>
      </w:r>
      <w:r>
        <w:rPr>
          <w:rFonts w:ascii="仿宋_GB2312" w:hAnsi="仿宋_GB2312" w:eastAsia="仿宋_GB2312"/>
          <w:b w:val="0"/>
          <w:sz w:val="32"/>
        </w:rPr>
        <w:t>个，全年预算数</w:t>
      </w:r>
      <w:r>
        <w:rPr>
          <w:rFonts w:hint="eastAsia" w:ascii="仿宋_GB2312" w:hAnsi="仿宋_GB2312" w:eastAsia="仿宋_GB2312"/>
          <w:b w:val="0"/>
          <w:sz w:val="32"/>
          <w:lang w:val="en-US" w:eastAsia="zh-CN"/>
        </w:rPr>
        <w:t>51</w:t>
      </w:r>
      <w:r>
        <w:rPr>
          <w:rFonts w:ascii="仿宋_GB2312" w:hAnsi="仿宋_GB2312" w:eastAsia="仿宋_GB2312"/>
          <w:b w:val="0"/>
          <w:sz w:val="32"/>
        </w:rPr>
        <w:t>79.09万元，全年执行数</w:t>
      </w:r>
      <w:r>
        <w:rPr>
          <w:rFonts w:hint="eastAsia" w:ascii="仿宋_GB2312" w:hAnsi="仿宋_GB2312" w:eastAsia="仿宋_GB2312"/>
          <w:b w:val="0"/>
          <w:sz w:val="32"/>
          <w:lang w:val="en-US" w:eastAsia="zh-CN"/>
        </w:rPr>
        <w:t>51</w:t>
      </w:r>
      <w:r>
        <w:rPr>
          <w:rFonts w:ascii="仿宋_GB2312" w:hAnsi="仿宋_GB2312" w:eastAsia="仿宋_GB2312"/>
          <w:b w:val="0"/>
          <w:sz w:val="32"/>
        </w:rPr>
        <w:t>22.58万元。预算绩效管理取得的成效：一是科学合理编制预算，强化预算执行，确保预算绩效切合单位实际。定期做好预算绩效目标、执行分析，及时了解预算执行差异，合理调整、纠正预算绩效执行偏差，加快预算的执行进度，切实提高预算资金绩效完成率及资金使用效益。二是加强宣传动员和教育培训，引导工作人员逐步树立绩效理念，了解掌握绩效管理的基本要求和操作规程，强化绩效管理工作的科学性和规范性。努力提高社会公众对绩效管理的认知度，鼓励社会公众积极参与，主动接受社会监督，努力营造开展政府目标绩效管理工作的浓厚氛围和良好环境。发现的问题及原因：预算执行方面：一是预算执行进度不均衡。部分项目在年初预算下达后，由于前期准备工作不充分，如项目审批流程繁琐、招投标延迟等，导致资金支出缓慢；而到了年底，为了完成预算指标，又出现集中突击花钱的现象，影响了资金使用效果。二是预算执行缺乏有效控制。财务部门与业务部门之间沟通协调不畅，信息传递不及时，导致财务部门对预算执行情况掌握不全面。同时，缺乏完善的预算执行控制机制，难以及时发现和纠正预算执行中的偏差。绩效管理方面：一是绩效目标设定不科学。部分单位在编制预算时，绩效目标设定过于笼统、模糊，缺乏明确的量化指标和可衡量的标准，导致绩效目标无法有效指导预算执行和绩效评价。二是绩效评价质量不高。绩效评价方法单一，多以财务指标为主，忽视了对社会效益、服务对象满意度等非财务指标的考量。评价过程中存在走过场的现象，评价结果未能真实反映项目的实际绩效。三是绩效结果应用不充分。绩效评价结果与预算安排、政策调整、责任追究等方面未能有效挂钩，对单位和个人的激励约束作用不明显，使得绩效管理工作流于形式。下一步改进措施：完善制度建设：一是修订和完善预算管理制度。明确预算编制、执行、调整的具体流程和要求，加强预算的严肃性和约束性。建立预算执行定期分析和报告制度，及时掌握预算执行情况。二是健全绩效管理制度。构建科学合理的绩效指标体系，涵盖财务和非财务指标，增强绩效目标的可衡量性。规范绩效评价方法和程序，提高评价结果的真实性和客观性。强化绩效结果应用，将其与预算安排、单位考核、个人绩效等挂钩。加强人员培训：一是强化</w:t>
      </w:r>
      <w:r>
        <w:rPr>
          <w:rFonts w:hint="eastAsia" w:ascii="仿宋_GB2312" w:hAnsi="仿宋_GB2312" w:eastAsia="仿宋_GB2312"/>
          <w:b w:val="0"/>
          <w:sz w:val="32"/>
          <w:lang w:eastAsia="zh-CN"/>
        </w:rPr>
        <w:t>预算绩效管理</w:t>
      </w:r>
      <w:r>
        <w:rPr>
          <w:rFonts w:ascii="仿宋_GB2312" w:hAnsi="仿宋_GB2312" w:eastAsia="仿宋_GB2312"/>
          <w:b w:val="0"/>
          <w:sz w:val="32"/>
        </w:rPr>
        <w:t>意识培训。通过组织专题讲座、培训会议等形式，提高单位领导和工作人员对预算执行和绩效管理重要性的认识，增强责任意识和主动参与意识。二是提升专业能力。定期开展业务培训，内容包括预算编制方法、绩效管理工具、财务知识等，提高工作人员的业务水平和综合素质。优化管理机制：一是理顺内部管理机制。明确各部门在预算执行和绩效管理中的职责，加强沟通协调，建立信息共享平台，形成工作合力。二是加强监督考核。建立健全监督考核机制，加强对预算执行和绩效管理工作的日常监督和定期考核。对工作成效显著的部门和个人给予表彰奖励，对存在问题的进行严肃问责，确保各项工作落到实处。具体附整体支出绩效自评表，项目支出绩效自评表和评价报告。</w:t>
      </w:r>
    </w:p>
    <w:p w14:paraId="3881E1C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69294FD">
        <w:tblPrEx>
          <w:tblCellMar>
            <w:top w:w="0" w:type="dxa"/>
            <w:left w:w="108" w:type="dxa"/>
            <w:bottom w:w="0" w:type="dxa"/>
            <w:right w:w="108" w:type="dxa"/>
          </w:tblCellMar>
        </w:tblPrEx>
        <w:tc>
          <w:tcPr>
            <w:tcW w:w="8847" w:type="dxa"/>
            <w:gridSpan w:val="9"/>
            <w:vAlign w:val="center"/>
          </w:tcPr>
          <w:p w14:paraId="1B350C6F">
            <w:pPr>
              <w:jc w:val="center"/>
            </w:pPr>
            <w:r>
              <w:rPr>
                <w:rFonts w:ascii="宋体" w:hAnsi="宋体" w:eastAsia="宋体"/>
                <w:sz w:val="24"/>
              </w:rPr>
              <w:t>单位整体支出绩效自评表</w:t>
            </w:r>
          </w:p>
        </w:tc>
      </w:tr>
      <w:tr w14:paraId="5DD2717F">
        <w:tblPrEx>
          <w:tblCellMar>
            <w:top w:w="0" w:type="dxa"/>
            <w:left w:w="108" w:type="dxa"/>
            <w:bottom w:w="0" w:type="dxa"/>
            <w:right w:w="108" w:type="dxa"/>
          </w:tblCellMar>
        </w:tblPrEx>
        <w:tc>
          <w:tcPr>
            <w:tcW w:w="8847" w:type="dxa"/>
            <w:gridSpan w:val="9"/>
            <w:vAlign w:val="center"/>
          </w:tcPr>
          <w:p w14:paraId="0E887DC2">
            <w:pPr>
              <w:jc w:val="center"/>
            </w:pPr>
            <w:r>
              <w:rPr>
                <w:rFonts w:ascii="宋体" w:hAnsi="宋体" w:eastAsia="宋体"/>
                <w:sz w:val="24"/>
              </w:rPr>
              <w:t>（2024年度）</w:t>
            </w:r>
          </w:p>
        </w:tc>
      </w:tr>
      <w:tr w14:paraId="4758555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37705F">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D12596E">
            <w:pPr>
              <w:jc w:val="center"/>
            </w:pPr>
            <w:r>
              <w:rPr>
                <w:rFonts w:ascii="宋体" w:hAnsi="宋体" w:eastAsia="宋体"/>
                <w:sz w:val="16"/>
              </w:rPr>
              <w:t>和田地区国有资产监督管理委员会</w:t>
            </w:r>
          </w:p>
        </w:tc>
      </w:tr>
      <w:tr w14:paraId="6C1FD07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EA7CD4">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BBD6D">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7D91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D9417E">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2CE8A">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904B3E">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EE884">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F4546">
            <w:pPr>
              <w:jc w:val="center"/>
            </w:pPr>
            <w:r>
              <w:rPr>
                <w:rFonts w:ascii="宋体" w:hAnsi="宋体" w:eastAsia="宋体"/>
                <w:sz w:val="16"/>
              </w:rPr>
              <w:t>得分</w:t>
            </w:r>
          </w:p>
        </w:tc>
      </w:tr>
      <w:tr w14:paraId="6889AB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D9328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4065D">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436D0F">
            <w:pPr>
              <w:jc w:val="center"/>
            </w:pPr>
            <w:r>
              <w:rPr>
                <w:rFonts w:ascii="宋体" w:hAnsi="宋体" w:eastAsia="宋体"/>
                <w:sz w:val="16"/>
              </w:rPr>
              <w:t>1,495.20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25DC01">
            <w:pPr>
              <w:jc w:val="center"/>
            </w:pPr>
            <w:r>
              <w:rPr>
                <w:rFonts w:ascii="宋体" w:hAnsi="宋体" w:eastAsia="宋体"/>
                <w:sz w:val="16"/>
              </w:rPr>
              <w:t>9,343.93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D1BE1">
            <w:pPr>
              <w:jc w:val="center"/>
            </w:pPr>
            <w:r>
              <w:rPr>
                <w:rFonts w:ascii="宋体" w:hAnsi="宋体" w:eastAsia="宋体"/>
                <w:sz w:val="16"/>
              </w:rPr>
              <w:t>9,343.93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6038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8D884">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2DF60">
            <w:pPr>
              <w:jc w:val="center"/>
            </w:pPr>
            <w:r>
              <w:rPr>
                <w:rFonts w:ascii="宋体" w:hAnsi="宋体" w:eastAsia="宋体"/>
                <w:sz w:val="16"/>
              </w:rPr>
              <w:t>10</w:t>
            </w:r>
          </w:p>
        </w:tc>
      </w:tr>
      <w:tr w14:paraId="17BC97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EB8F3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510BE">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FEBCF">
            <w:pPr>
              <w:jc w:val="center"/>
            </w:pPr>
            <w:r>
              <w:rPr>
                <w:rFonts w:ascii="宋体" w:hAnsi="宋体" w:eastAsia="宋体"/>
                <w:sz w:val="16"/>
              </w:rPr>
              <w:t>0.46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FE0E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F703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86987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43DB68">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216C2">
            <w:pPr>
              <w:jc w:val="center"/>
            </w:pPr>
            <w:r>
              <w:rPr>
                <w:rFonts w:ascii="宋体" w:hAnsi="宋体" w:eastAsia="宋体"/>
                <w:sz w:val="16"/>
              </w:rPr>
              <w:t>—</w:t>
            </w:r>
          </w:p>
        </w:tc>
      </w:tr>
      <w:tr w14:paraId="2DE3B4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EA4C4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DFC7A">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E41DB">
            <w:pPr>
              <w:jc w:val="center"/>
            </w:pPr>
            <w:r>
              <w:rPr>
                <w:rFonts w:ascii="宋体" w:hAnsi="宋体" w:eastAsia="宋体"/>
                <w:sz w:val="16"/>
              </w:rPr>
              <w:t>1,428.32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1C5DD">
            <w:pPr>
              <w:jc w:val="center"/>
            </w:pPr>
            <w:r>
              <w:rPr>
                <w:rFonts w:ascii="宋体" w:hAnsi="宋体" w:eastAsia="宋体"/>
                <w:sz w:val="16"/>
              </w:rPr>
              <w:t>5,196.26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98851">
            <w:pPr>
              <w:jc w:val="center"/>
            </w:pPr>
            <w:r>
              <w:rPr>
                <w:rFonts w:ascii="宋体" w:hAnsi="宋体" w:eastAsia="宋体"/>
                <w:sz w:val="16"/>
              </w:rPr>
              <w:t>5,196.26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70170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6E2B8">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FE4E2">
            <w:pPr>
              <w:jc w:val="center"/>
            </w:pPr>
            <w:r>
              <w:rPr>
                <w:rFonts w:ascii="宋体" w:hAnsi="宋体" w:eastAsia="宋体"/>
                <w:sz w:val="16"/>
              </w:rPr>
              <w:t>—</w:t>
            </w:r>
          </w:p>
        </w:tc>
      </w:tr>
      <w:tr w14:paraId="476D30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ECC18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74CD3">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B43AE">
            <w:pPr>
              <w:jc w:val="center"/>
            </w:pPr>
            <w:r>
              <w:rPr>
                <w:rFonts w:ascii="宋体" w:hAnsi="宋体" w:eastAsia="宋体"/>
                <w:sz w:val="16"/>
              </w:rPr>
              <w:t>66.42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D492D9">
            <w:pPr>
              <w:jc w:val="center"/>
            </w:pPr>
            <w:r>
              <w:rPr>
                <w:rFonts w:ascii="宋体" w:hAnsi="宋体" w:eastAsia="宋体"/>
                <w:sz w:val="16"/>
              </w:rPr>
              <w:t>4,147.67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75B04">
            <w:pPr>
              <w:jc w:val="center"/>
            </w:pPr>
            <w:r>
              <w:rPr>
                <w:rFonts w:ascii="宋体" w:hAnsi="宋体" w:eastAsia="宋体"/>
                <w:sz w:val="16"/>
              </w:rPr>
              <w:t>4,147.67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2115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B2726">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B8BFE">
            <w:pPr>
              <w:jc w:val="center"/>
            </w:pPr>
            <w:r>
              <w:rPr>
                <w:rFonts w:ascii="宋体" w:hAnsi="宋体" w:eastAsia="宋体"/>
                <w:sz w:val="16"/>
              </w:rPr>
              <w:t>—</w:t>
            </w:r>
          </w:p>
        </w:tc>
      </w:tr>
      <w:tr w14:paraId="27F9A46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8DBF4B">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2493A3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F839C00">
            <w:pPr>
              <w:jc w:val="center"/>
            </w:pPr>
            <w:r>
              <w:rPr>
                <w:rFonts w:ascii="宋体" w:hAnsi="宋体" w:eastAsia="宋体"/>
                <w:sz w:val="16"/>
              </w:rPr>
              <w:t>实际完成目标</w:t>
            </w:r>
          </w:p>
        </w:tc>
      </w:tr>
      <w:tr w14:paraId="4A70A37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D8DAC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54AE970">
            <w:pPr>
              <w:jc w:val="both"/>
            </w:pPr>
            <w:r>
              <w:rPr>
                <w:rFonts w:ascii="宋体" w:hAnsi="宋体" w:eastAsia="宋体"/>
                <w:sz w:val="16"/>
              </w:rPr>
              <w:t>目标1：保障地区国有资产监督管理委员会工作正常运转，通过保障在职人员13名和1名退休人员工资及时发放、社保缴纳及购买办公用品提高办公效率，更好</w:t>
            </w:r>
            <w:r>
              <w:rPr>
                <w:rFonts w:hint="eastAsia" w:ascii="宋体" w:hAnsi="宋体"/>
                <w:sz w:val="16"/>
                <w:lang w:eastAsia="zh-CN"/>
              </w:rPr>
              <w:t>地</w:t>
            </w:r>
            <w:r>
              <w:rPr>
                <w:rFonts w:ascii="宋体" w:hAnsi="宋体" w:eastAsia="宋体"/>
                <w:sz w:val="16"/>
              </w:rPr>
              <w:t xml:space="preserve">监督地区国有企业及为其做好服务； </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目标2：力争2024年本级国有企业营业收入实现40亿元以上，利润总额实现1.5亿元以上，切实为和田经济高质量发展贡献国资国企力量</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目标3：坚持稳中求进工作总基调，完整准确全面贯彻新发展理念，加快构建新发展格局，着力推动国有企业高质量发展。全地区国有企业资产总额、营业收入、利润总额、净利润、上缴税费较上年增长不低于5%。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1670D4">
            <w:pPr>
              <w:jc w:val="both"/>
            </w:pPr>
            <w:r>
              <w:rPr>
                <w:rFonts w:hint="eastAsia" w:ascii="宋体" w:hAnsi="宋体"/>
                <w:sz w:val="16"/>
                <w:lang w:eastAsia="zh-CN"/>
              </w:rPr>
              <w:t>截至2024</w:t>
            </w:r>
            <w:r>
              <w:rPr>
                <w:rFonts w:ascii="宋体" w:hAnsi="宋体" w:eastAsia="宋体"/>
                <w:sz w:val="16"/>
              </w:rPr>
              <w:t>年12月31日，本单位实际完成保障本单位13人离退休1人工资、缴纳人员社保费、住房公积金、遗属生活费等相关人员经费，及时发放上年度绩效考核奖金。认真开展国资管理及国企改革业务工作。实际形成支出9343.93万元，实现了单位积极运转、为各项工作顺利开展提供了资金保障等效益。</w:t>
            </w:r>
          </w:p>
        </w:tc>
      </w:tr>
      <w:tr w14:paraId="4524DDF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860F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2DF82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DF8B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488057">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0D5392">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3D057">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F0EA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4BA708">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A86756">
            <w:pPr>
              <w:jc w:val="center"/>
            </w:pPr>
            <w:r>
              <w:rPr>
                <w:rFonts w:ascii="宋体" w:hAnsi="宋体" w:eastAsia="宋体"/>
                <w:sz w:val="16"/>
              </w:rPr>
              <w:t>得分</w:t>
            </w:r>
          </w:p>
        </w:tc>
      </w:tr>
      <w:tr w14:paraId="0772DDB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5FD310">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8E488E">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3CF02">
            <w:pPr>
              <w:jc w:val="center"/>
            </w:pPr>
            <w:r>
              <w:rPr>
                <w:rFonts w:hint="eastAsia" w:ascii="宋体" w:hAnsi="宋体"/>
                <w:sz w:val="16"/>
                <w:lang w:eastAsia="zh-CN"/>
              </w:rPr>
              <w:t>“三公”经费</w:t>
            </w:r>
            <w:r>
              <w:rPr>
                <w:rFonts w:ascii="宋体" w:hAnsi="宋体" w:eastAsia="宋体"/>
                <w:sz w:val="16"/>
              </w:rPr>
              <w:t>控制率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BEB1D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BC855">
            <w:pPr>
              <w:jc w:val="center"/>
            </w:pPr>
            <w:r>
              <w:rPr>
                <w:rFonts w:ascii="宋体" w:hAnsi="宋体" w:eastAsia="宋体"/>
                <w:sz w:val="16"/>
              </w:rPr>
              <w:t>《关于加强</w:t>
            </w:r>
            <w:r>
              <w:rPr>
                <w:rFonts w:hint="eastAsia" w:ascii="宋体" w:hAnsi="宋体"/>
                <w:sz w:val="16"/>
                <w:lang w:eastAsia="zh-CN"/>
              </w:rPr>
              <w:t>“三公”经费</w:t>
            </w:r>
            <w:r>
              <w:rPr>
                <w:rFonts w:ascii="宋体" w:hAnsi="宋体" w:eastAsia="宋体"/>
                <w:sz w:val="16"/>
              </w:rPr>
              <w:t>管理严控一般性支出的通知》财预</w:t>
            </w:r>
            <w:r>
              <w:rPr>
                <w:rFonts w:hint="eastAsia" w:ascii="宋体" w:hAnsi="宋体"/>
                <w:sz w:val="16"/>
                <w:lang w:eastAsia="zh-CN"/>
              </w:rPr>
              <w:t>〔2022〕126号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DEE09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2D70F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9EE26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424CB">
            <w:pPr>
              <w:jc w:val="center"/>
            </w:pPr>
            <w:r>
              <w:rPr>
                <w:rFonts w:ascii="宋体" w:hAnsi="宋体" w:eastAsia="宋体"/>
                <w:sz w:val="16"/>
              </w:rPr>
              <w:t>10</w:t>
            </w:r>
          </w:p>
        </w:tc>
      </w:tr>
      <w:tr w14:paraId="3AF8A91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43542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01193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E44B7">
            <w:pPr>
              <w:jc w:val="center"/>
            </w:pPr>
            <w:r>
              <w:rPr>
                <w:rFonts w:ascii="宋体" w:hAnsi="宋体" w:eastAsia="宋体"/>
                <w:sz w:val="16"/>
              </w:rPr>
              <w:t>日常公用经费控制率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7279B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9EF912">
            <w:pPr>
              <w:jc w:val="center"/>
            </w:pPr>
            <w:r>
              <w:rPr>
                <w:rFonts w:ascii="宋体" w:hAnsi="宋体" w:eastAsia="宋体"/>
                <w:sz w:val="16"/>
              </w:rPr>
              <w:t>财政部相关文件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336C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542D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22B5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7C1C9">
            <w:pPr>
              <w:jc w:val="center"/>
            </w:pPr>
            <w:r>
              <w:rPr>
                <w:rFonts w:ascii="宋体" w:hAnsi="宋体" w:eastAsia="宋体"/>
                <w:sz w:val="16"/>
              </w:rPr>
              <w:t>10</w:t>
            </w:r>
          </w:p>
        </w:tc>
      </w:tr>
      <w:tr w14:paraId="18CE9EE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61BD78">
            <w:pPr>
              <w:jc w:val="center"/>
            </w:pPr>
            <w:r>
              <w:rPr>
                <w:rFonts w:ascii="宋体" w:hAnsi="宋体" w:eastAsia="宋体"/>
                <w:sz w:val="16"/>
              </w:rPr>
              <w:t>管理效率</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7E769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706A4">
            <w:pPr>
              <w:jc w:val="center"/>
            </w:pPr>
            <w:r>
              <w:rPr>
                <w:rFonts w:ascii="宋体" w:hAnsi="宋体" w:eastAsia="宋体"/>
                <w:sz w:val="16"/>
              </w:rPr>
              <w:t>重点工作完成率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D8C065">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431E7">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3732B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41EC8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1DFB2">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D181D">
            <w:pPr>
              <w:jc w:val="center"/>
            </w:pPr>
            <w:r>
              <w:rPr>
                <w:rFonts w:ascii="宋体" w:hAnsi="宋体" w:eastAsia="宋体"/>
                <w:sz w:val="16"/>
              </w:rPr>
              <w:t>10</w:t>
            </w:r>
          </w:p>
        </w:tc>
      </w:tr>
      <w:tr w14:paraId="04999C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2AE40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D7A5E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52EE05">
            <w:pPr>
              <w:jc w:val="center"/>
            </w:pPr>
            <w:r>
              <w:rPr>
                <w:rFonts w:ascii="宋体" w:hAnsi="宋体" w:eastAsia="宋体"/>
                <w:sz w:val="16"/>
              </w:rPr>
              <w:t>预决算信息公开性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05DB1C">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D0177">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89D58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4A424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E288D2">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41F56">
            <w:pPr>
              <w:jc w:val="center"/>
            </w:pPr>
            <w:r>
              <w:rPr>
                <w:rFonts w:ascii="宋体" w:hAnsi="宋体" w:eastAsia="宋体"/>
                <w:sz w:val="16"/>
              </w:rPr>
              <w:t>10</w:t>
            </w:r>
          </w:p>
        </w:tc>
      </w:tr>
      <w:tr w14:paraId="6022870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156CC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C6E43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0084B">
            <w:pPr>
              <w:jc w:val="center"/>
            </w:pPr>
            <w:r>
              <w:rPr>
                <w:rFonts w:ascii="宋体" w:hAnsi="宋体" w:eastAsia="宋体"/>
                <w:sz w:val="16"/>
              </w:rPr>
              <w:t>制度执行有效性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40E62">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1AB439">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D8DDA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A8FDA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34FE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5A4EBF">
            <w:pPr>
              <w:jc w:val="center"/>
            </w:pPr>
            <w:r>
              <w:rPr>
                <w:rFonts w:ascii="宋体" w:hAnsi="宋体" w:eastAsia="宋体"/>
                <w:sz w:val="16"/>
              </w:rPr>
              <w:t>10</w:t>
            </w:r>
          </w:p>
        </w:tc>
      </w:tr>
      <w:tr w14:paraId="55D08B3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1DBC31">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006D8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0D4E6">
            <w:pPr>
              <w:jc w:val="center"/>
            </w:pPr>
            <w:r>
              <w:rPr>
                <w:rFonts w:ascii="宋体" w:hAnsi="宋体" w:eastAsia="宋体"/>
                <w:sz w:val="16"/>
              </w:rPr>
              <w:t>全地区国有企业资产总额较上年增长率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903B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A505B">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0063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CFAA5">
            <w:pPr>
              <w:jc w:val="center"/>
            </w:pPr>
            <w:r>
              <w:rPr>
                <w:rFonts w:ascii="宋体" w:hAnsi="宋体" w:eastAsia="宋体"/>
                <w:sz w:val="16"/>
              </w:rPr>
              <w:t>59.42%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990A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4C7CD">
            <w:pPr>
              <w:jc w:val="center"/>
            </w:pPr>
            <w:r>
              <w:rPr>
                <w:rFonts w:ascii="宋体" w:hAnsi="宋体" w:eastAsia="宋体"/>
                <w:sz w:val="16"/>
              </w:rPr>
              <w:t>10</w:t>
            </w:r>
          </w:p>
        </w:tc>
      </w:tr>
      <w:tr w14:paraId="3D7C6F0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9DCB1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7B1CAF">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8A0AE">
            <w:pPr>
              <w:jc w:val="center"/>
            </w:pPr>
            <w:r>
              <w:rPr>
                <w:rFonts w:ascii="宋体" w:hAnsi="宋体" w:eastAsia="宋体"/>
                <w:sz w:val="16"/>
              </w:rPr>
              <w:t>全地区国有企业净利润较上年增长率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257E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66040">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527E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74B1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C6933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98EF0">
            <w:pPr>
              <w:jc w:val="center"/>
            </w:pPr>
            <w:r>
              <w:rPr>
                <w:rFonts w:ascii="宋体" w:hAnsi="宋体" w:eastAsia="宋体"/>
                <w:sz w:val="16"/>
              </w:rPr>
              <w:t>10</w:t>
            </w:r>
          </w:p>
        </w:tc>
      </w:tr>
      <w:tr w14:paraId="04101D4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253747">
            <w:pPr>
              <w:jc w:val="center"/>
            </w:pPr>
            <w:r>
              <w:rPr>
                <w:rFonts w:ascii="宋体" w:hAnsi="宋体" w:eastAsia="宋体"/>
                <w:sz w:val="16"/>
              </w:rPr>
              <w:t>社会效益</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7AED1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19F36">
            <w:pPr>
              <w:jc w:val="center"/>
            </w:pPr>
            <w:r>
              <w:rPr>
                <w:rFonts w:ascii="宋体" w:hAnsi="宋体" w:eastAsia="宋体"/>
                <w:sz w:val="16"/>
              </w:rPr>
              <w:t>全地区国有企业上缴税费较上年增长率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040A9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D02B2C">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2AE38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327A31">
            <w:pPr>
              <w:jc w:val="center"/>
            </w:pPr>
            <w:r>
              <w:rPr>
                <w:rFonts w:ascii="宋体" w:hAnsi="宋体" w:eastAsia="宋体"/>
                <w:sz w:val="16"/>
              </w:rPr>
              <w:t>17.9%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85FCE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771719">
            <w:pPr>
              <w:jc w:val="center"/>
            </w:pPr>
            <w:r>
              <w:rPr>
                <w:rFonts w:ascii="宋体" w:hAnsi="宋体" w:eastAsia="宋体"/>
                <w:sz w:val="16"/>
              </w:rPr>
              <w:t>10</w:t>
            </w:r>
          </w:p>
        </w:tc>
      </w:tr>
      <w:tr w14:paraId="6DC0AE6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54D69">
            <w:pPr>
              <w:jc w:val="center"/>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86A3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FD9C8A">
            <w:pPr>
              <w:jc w:val="center"/>
            </w:pPr>
            <w:r>
              <w:rPr>
                <w:rFonts w:ascii="宋体" w:hAnsi="宋体" w:eastAsia="宋体"/>
                <w:sz w:val="16"/>
              </w:rPr>
              <w:t>公众对履职效能满意度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941D9B">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0B6E92">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A9EF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BCC8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F2835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01BD8">
            <w:pPr>
              <w:jc w:val="center"/>
            </w:pPr>
            <w:r>
              <w:rPr>
                <w:rFonts w:ascii="宋体" w:hAnsi="宋体" w:eastAsia="宋体"/>
                <w:sz w:val="16"/>
              </w:rPr>
              <w:t>10</w:t>
            </w:r>
          </w:p>
        </w:tc>
      </w:tr>
    </w:tbl>
    <w:p w14:paraId="0D790B6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39D6C66">
        <w:tblPrEx>
          <w:tblCellMar>
            <w:top w:w="0" w:type="dxa"/>
            <w:left w:w="108" w:type="dxa"/>
            <w:bottom w:w="0" w:type="dxa"/>
            <w:right w:w="108" w:type="dxa"/>
          </w:tblCellMar>
        </w:tblPrEx>
        <w:tc>
          <w:tcPr>
            <w:tcW w:w="8847" w:type="dxa"/>
            <w:gridSpan w:val="9"/>
            <w:vAlign w:val="center"/>
          </w:tcPr>
          <w:p w14:paraId="5F3DA1F1">
            <w:pPr>
              <w:jc w:val="center"/>
            </w:pPr>
            <w:r>
              <w:rPr>
                <w:rFonts w:ascii="宋体" w:hAnsi="宋体" w:eastAsia="宋体"/>
                <w:sz w:val="24"/>
              </w:rPr>
              <w:t>项目支出绩效自评表</w:t>
            </w:r>
          </w:p>
        </w:tc>
      </w:tr>
      <w:tr w14:paraId="44EE9A45">
        <w:tblPrEx>
          <w:tblCellMar>
            <w:top w:w="0" w:type="dxa"/>
            <w:left w:w="108" w:type="dxa"/>
            <w:bottom w:w="0" w:type="dxa"/>
            <w:right w:w="108" w:type="dxa"/>
          </w:tblCellMar>
        </w:tblPrEx>
        <w:tc>
          <w:tcPr>
            <w:tcW w:w="8847" w:type="dxa"/>
            <w:gridSpan w:val="9"/>
            <w:vAlign w:val="center"/>
          </w:tcPr>
          <w:p w14:paraId="0BCD12F3">
            <w:pPr>
              <w:jc w:val="center"/>
            </w:pPr>
            <w:r>
              <w:rPr>
                <w:rFonts w:ascii="宋体" w:hAnsi="宋体" w:eastAsia="宋体"/>
                <w:sz w:val="24"/>
              </w:rPr>
              <w:t>(2024年度)</w:t>
            </w:r>
          </w:p>
        </w:tc>
      </w:tr>
      <w:tr w14:paraId="3503646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FBBE2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38631DC">
            <w:pPr>
              <w:jc w:val="center"/>
            </w:pPr>
            <w:r>
              <w:rPr>
                <w:rFonts w:ascii="宋体" w:hAnsi="宋体" w:eastAsia="宋体"/>
                <w:sz w:val="16"/>
              </w:rPr>
              <w:t>2024年上半年自治区驻村工作专项项目</w:t>
            </w:r>
          </w:p>
        </w:tc>
      </w:tr>
      <w:tr w14:paraId="6A551D6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F7C2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29C9B49">
            <w:pPr>
              <w:jc w:val="center"/>
            </w:pPr>
            <w:r>
              <w:rPr>
                <w:rFonts w:ascii="宋体" w:hAnsi="宋体" w:eastAsia="宋体"/>
                <w:sz w:val="16"/>
              </w:rPr>
              <w:t>和田地区国有资产监督管理委员会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25881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20FC427">
            <w:pPr>
              <w:jc w:val="center"/>
            </w:pPr>
            <w:r>
              <w:rPr>
                <w:rFonts w:ascii="宋体" w:hAnsi="宋体" w:eastAsia="宋体"/>
                <w:sz w:val="16"/>
              </w:rPr>
              <w:t>和田地区国有资产监督管理委员会</w:t>
            </w:r>
          </w:p>
        </w:tc>
      </w:tr>
      <w:tr w14:paraId="486ED33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A915F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9DF4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61314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2853A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45A82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10E06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3C28F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D2045">
            <w:pPr>
              <w:jc w:val="center"/>
            </w:pPr>
            <w:r>
              <w:rPr>
                <w:rFonts w:ascii="宋体" w:hAnsi="宋体" w:eastAsia="宋体"/>
                <w:sz w:val="16"/>
              </w:rPr>
              <w:t>得分</w:t>
            </w:r>
          </w:p>
        </w:tc>
      </w:tr>
      <w:tr w14:paraId="20854C6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74FA8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92245">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ADE547">
            <w:pPr>
              <w:jc w:val="center"/>
            </w:pPr>
            <w:r>
              <w:rPr>
                <w:rFonts w:ascii="宋体" w:hAnsi="宋体" w:eastAsia="宋体"/>
                <w:sz w:val="16"/>
              </w:rPr>
              <w:t>24.46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75BE7">
            <w:pPr>
              <w:jc w:val="center"/>
            </w:pPr>
            <w:r>
              <w:rPr>
                <w:rFonts w:ascii="宋体" w:hAnsi="宋体" w:eastAsia="宋体"/>
                <w:sz w:val="16"/>
              </w:rPr>
              <w:t>24.46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A82044">
            <w:pPr>
              <w:jc w:val="center"/>
            </w:pPr>
            <w:r>
              <w:rPr>
                <w:rFonts w:ascii="宋体" w:hAnsi="宋体" w:eastAsia="宋体"/>
                <w:sz w:val="16"/>
              </w:rPr>
              <w:t>17.95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4A98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B0E02F">
            <w:pPr>
              <w:jc w:val="center"/>
            </w:pPr>
            <w:r>
              <w:rPr>
                <w:rFonts w:ascii="宋体" w:hAnsi="宋体" w:eastAsia="宋体"/>
                <w:sz w:val="16"/>
              </w:rPr>
              <w:t xml:space="preserve">73.39%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8F297">
            <w:pPr>
              <w:jc w:val="center"/>
            </w:pPr>
            <w:r>
              <w:rPr>
                <w:rFonts w:ascii="宋体" w:hAnsi="宋体" w:eastAsia="宋体"/>
                <w:sz w:val="16"/>
              </w:rPr>
              <w:t>3.35分</w:t>
            </w:r>
          </w:p>
        </w:tc>
      </w:tr>
      <w:tr w14:paraId="2FBDE05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38412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1A2FF">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E02023">
            <w:pPr>
              <w:jc w:val="center"/>
            </w:pPr>
            <w:r>
              <w:rPr>
                <w:rFonts w:ascii="宋体" w:hAnsi="宋体" w:eastAsia="宋体"/>
                <w:sz w:val="16"/>
              </w:rPr>
              <w:t>24.46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FFF676">
            <w:pPr>
              <w:jc w:val="center"/>
            </w:pPr>
            <w:r>
              <w:rPr>
                <w:rFonts w:ascii="宋体" w:hAnsi="宋体" w:eastAsia="宋体"/>
                <w:sz w:val="16"/>
              </w:rPr>
              <w:t>24.46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4FA0FD">
            <w:pPr>
              <w:jc w:val="center"/>
            </w:pPr>
            <w:r>
              <w:rPr>
                <w:rFonts w:ascii="宋体" w:hAnsi="宋体" w:eastAsia="宋体"/>
                <w:sz w:val="16"/>
              </w:rPr>
              <w:t>17.95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98966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FB6A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E04EB">
            <w:pPr>
              <w:jc w:val="center"/>
            </w:pPr>
            <w:r>
              <w:rPr>
                <w:rFonts w:ascii="宋体" w:hAnsi="宋体" w:eastAsia="宋体"/>
                <w:sz w:val="16"/>
              </w:rPr>
              <w:t>—</w:t>
            </w:r>
          </w:p>
        </w:tc>
      </w:tr>
      <w:tr w14:paraId="1CAB31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82B11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97C76">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B3B25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3CA9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D8C7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C5725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3F8AB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A8A032">
            <w:pPr>
              <w:jc w:val="center"/>
            </w:pPr>
            <w:r>
              <w:rPr>
                <w:rFonts w:ascii="宋体" w:hAnsi="宋体" w:eastAsia="宋体"/>
                <w:sz w:val="16"/>
              </w:rPr>
              <w:t>—</w:t>
            </w:r>
          </w:p>
        </w:tc>
      </w:tr>
      <w:tr w14:paraId="49E896C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F4C15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5DCB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366A2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858B5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060B9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4C317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88919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9D046">
            <w:pPr>
              <w:jc w:val="center"/>
            </w:pPr>
            <w:r>
              <w:rPr>
                <w:rFonts w:ascii="宋体" w:hAnsi="宋体" w:eastAsia="宋体"/>
                <w:sz w:val="16"/>
              </w:rPr>
              <w:t>—</w:t>
            </w:r>
          </w:p>
        </w:tc>
      </w:tr>
      <w:tr w14:paraId="2A5D637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11347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A3EC09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259F61">
            <w:pPr>
              <w:jc w:val="center"/>
            </w:pPr>
            <w:r>
              <w:rPr>
                <w:rFonts w:ascii="宋体" w:hAnsi="宋体" w:eastAsia="宋体"/>
                <w:sz w:val="16"/>
              </w:rPr>
              <w:t>实际完成情况</w:t>
            </w:r>
          </w:p>
        </w:tc>
      </w:tr>
      <w:tr w14:paraId="397AFA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E8697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0A74A60">
            <w:pPr>
              <w:jc w:val="both"/>
            </w:pPr>
            <w:r>
              <w:rPr>
                <w:rFonts w:ascii="宋体" w:hAnsi="宋体" w:eastAsia="宋体"/>
                <w:sz w:val="16"/>
              </w:rPr>
              <w:t>本项目主要实施内容为：开展访贫问苦2次，为民办实事4次，项目总投资为24.46万元，项目计划于2024年12月完成。通过本项目的实施，可使群众对惠民政策知晓率达到90%，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1F77B4">
            <w:pPr>
              <w:jc w:val="both"/>
            </w:pPr>
            <w:r>
              <w:rPr>
                <w:rFonts w:hint="eastAsia" w:ascii="宋体" w:hAnsi="宋体"/>
                <w:sz w:val="16"/>
                <w:lang w:eastAsia="zh-CN"/>
              </w:rPr>
              <w:t>截至2024</w:t>
            </w:r>
            <w:r>
              <w:rPr>
                <w:rFonts w:ascii="宋体" w:hAnsi="宋体" w:eastAsia="宋体"/>
                <w:sz w:val="16"/>
              </w:rPr>
              <w:t>年12月31日，项目实际形成支出17.95万元，本项目实际完成工作队派出人员10人，为民办实事好事4件，访贫问苦2次等任务，通过本项目的实施，有效保障群众对党的惠民政策知晓情况，工作队所在村村民满意度达到100%。</w:t>
            </w:r>
          </w:p>
        </w:tc>
      </w:tr>
      <w:tr w14:paraId="30340EB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327A59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A6143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77893">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1902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0CCEA">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0B41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AE42F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AC1F43">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DC21D">
            <w:pPr>
              <w:jc w:val="center"/>
            </w:pPr>
            <w:r>
              <w:rPr>
                <w:rFonts w:ascii="宋体" w:hAnsi="宋体" w:eastAsia="宋体"/>
                <w:sz w:val="16"/>
              </w:rPr>
              <w:t>偏差原因分析及改进措施</w:t>
            </w:r>
          </w:p>
        </w:tc>
      </w:tr>
      <w:tr w14:paraId="548DD56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F02B1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160915">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66EB3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A3EA2">
            <w:pPr>
              <w:jc w:val="center"/>
            </w:pPr>
            <w:r>
              <w:rPr>
                <w:rFonts w:ascii="宋体" w:hAnsi="宋体" w:eastAsia="宋体"/>
                <w:sz w:val="16"/>
              </w:rPr>
              <w:t>访贫问苦次数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EC362">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07826">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922EF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F0D7A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A085E">
            <w:pPr>
              <w:jc w:val="center"/>
            </w:pPr>
          </w:p>
        </w:tc>
      </w:tr>
      <w:tr w14:paraId="466D954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BDF1C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FDA70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EFF87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0C1BD">
            <w:pPr>
              <w:jc w:val="center"/>
            </w:pPr>
            <w:r>
              <w:rPr>
                <w:rFonts w:ascii="宋体" w:hAnsi="宋体" w:eastAsia="宋体"/>
                <w:sz w:val="16"/>
              </w:rPr>
              <w:t>为民办实事次数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69F92">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47FCF2">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EE2F7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0D80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4F8FF">
            <w:pPr>
              <w:jc w:val="center"/>
            </w:pPr>
          </w:p>
        </w:tc>
      </w:tr>
      <w:tr w14:paraId="732D10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0C0CB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B301B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EF7C5">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CBD436">
            <w:pPr>
              <w:jc w:val="center"/>
            </w:pPr>
            <w:r>
              <w:rPr>
                <w:rFonts w:ascii="宋体" w:hAnsi="宋体" w:eastAsia="宋体"/>
                <w:sz w:val="16"/>
              </w:rPr>
              <w:t>困难群众帮扶覆盖率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A1D97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7BFA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22D87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D827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1BED57">
            <w:pPr>
              <w:jc w:val="center"/>
            </w:pPr>
          </w:p>
        </w:tc>
      </w:tr>
      <w:tr w14:paraId="71367F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2480B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19ED8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A08ED3">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96B255">
            <w:pPr>
              <w:jc w:val="center"/>
            </w:pPr>
            <w:r>
              <w:rPr>
                <w:rFonts w:ascii="宋体" w:hAnsi="宋体" w:eastAsia="宋体"/>
                <w:sz w:val="16"/>
              </w:rPr>
              <w:t>资金支付及时率</w:t>
            </w:r>
            <w:bookmarkStart w:id="0" w:name="_GoBack"/>
            <w:bookmarkEnd w:id="0"/>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39C6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2CD4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CB20B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C5E6C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ED058">
            <w:pPr>
              <w:jc w:val="center"/>
            </w:pPr>
          </w:p>
        </w:tc>
      </w:tr>
      <w:tr w14:paraId="33EA80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3470B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2CB7D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D389E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3C5F3">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80A7F">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B9420">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3C046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33D5E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19198">
            <w:pPr>
              <w:jc w:val="center"/>
            </w:pPr>
          </w:p>
        </w:tc>
      </w:tr>
      <w:tr w14:paraId="0595E21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FDAB6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C0D269">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2F92EF">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01DFD">
            <w:pPr>
              <w:jc w:val="center"/>
            </w:pPr>
            <w:r>
              <w:rPr>
                <w:rFonts w:ascii="宋体" w:hAnsi="宋体" w:eastAsia="宋体"/>
                <w:sz w:val="16"/>
              </w:rPr>
              <w:t>为民办实事经费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12A0D">
            <w:pPr>
              <w:jc w:val="center"/>
            </w:pPr>
            <w:r>
              <w:rPr>
                <w:rFonts w:ascii="宋体" w:hAnsi="宋体" w:eastAsia="宋体"/>
                <w:sz w:val="16"/>
              </w:rPr>
              <w:t>≤24.46万元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B5222">
            <w:pPr>
              <w:jc w:val="center"/>
            </w:pPr>
            <w:r>
              <w:rPr>
                <w:rFonts w:ascii="宋体" w:hAnsi="宋体" w:eastAsia="宋体"/>
                <w:sz w:val="16"/>
              </w:rPr>
              <w:t>=17.95万元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C9B4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FC263A">
            <w:pPr>
              <w:jc w:val="center"/>
            </w:pPr>
            <w:r>
              <w:rPr>
                <w:rFonts w:ascii="宋体" w:hAnsi="宋体" w:eastAsia="宋体"/>
                <w:sz w:val="16"/>
              </w:rPr>
              <w:t>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0CCFE5">
            <w:pPr>
              <w:jc w:val="center"/>
            </w:pPr>
            <w:r>
              <w:rPr>
                <w:rFonts w:ascii="宋体" w:hAnsi="宋体" w:eastAsia="宋体"/>
                <w:sz w:val="16"/>
              </w:rPr>
              <w:t>偏差原因：因工作队支出不符合经费范畴资金，部分资金未同意支付；改进措施：下一步加强工作队对经费使用范畴学习，严格按照要求进行报销。</w:t>
            </w:r>
          </w:p>
        </w:tc>
      </w:tr>
      <w:tr w14:paraId="249D7FB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E19F0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135075">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F50E4B">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A44ED">
            <w:pPr>
              <w:jc w:val="center"/>
            </w:pPr>
            <w:r>
              <w:rPr>
                <w:rFonts w:ascii="宋体" w:hAnsi="宋体" w:eastAsia="宋体"/>
                <w:sz w:val="16"/>
              </w:rPr>
              <w:t>群众对惠民政策知晓率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76C1C1">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9C4F8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0B0F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E9C92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3731A">
            <w:pPr>
              <w:jc w:val="center"/>
            </w:pPr>
          </w:p>
        </w:tc>
      </w:tr>
      <w:tr w14:paraId="09C9EF2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AC394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A2E6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4B59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C9CBD0">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3F6006">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96768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4652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56DD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407D2F">
            <w:pPr>
              <w:jc w:val="center"/>
            </w:pPr>
          </w:p>
        </w:tc>
      </w:tr>
      <w:tr w14:paraId="346AD35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42F9C8">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5AFD9F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46580">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3C2B09A">
            <w:pPr>
              <w:jc w:val="center"/>
            </w:pPr>
            <w:r>
              <w:rPr>
                <w:rFonts w:ascii="宋体" w:hAnsi="宋体" w:eastAsia="宋体"/>
                <w:sz w:val="16"/>
              </w:rPr>
              <w:t>80.05分</w:t>
            </w:r>
          </w:p>
        </w:tc>
      </w:tr>
    </w:tbl>
    <w:p w14:paraId="7391682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6D6E20A">
        <w:tblPrEx>
          <w:tblCellMar>
            <w:top w:w="0" w:type="dxa"/>
            <w:left w:w="108" w:type="dxa"/>
            <w:bottom w:w="0" w:type="dxa"/>
            <w:right w:w="108" w:type="dxa"/>
          </w:tblCellMar>
        </w:tblPrEx>
        <w:tc>
          <w:tcPr>
            <w:tcW w:w="8847" w:type="dxa"/>
            <w:gridSpan w:val="9"/>
            <w:vAlign w:val="center"/>
          </w:tcPr>
          <w:p w14:paraId="2F10D051">
            <w:pPr>
              <w:jc w:val="center"/>
            </w:pPr>
            <w:r>
              <w:rPr>
                <w:rFonts w:ascii="宋体" w:hAnsi="宋体" w:eastAsia="宋体"/>
                <w:sz w:val="24"/>
              </w:rPr>
              <w:t>项目支出绩效自评表</w:t>
            </w:r>
          </w:p>
        </w:tc>
      </w:tr>
      <w:tr w14:paraId="07E8E243">
        <w:tblPrEx>
          <w:tblCellMar>
            <w:top w:w="0" w:type="dxa"/>
            <w:left w:w="108" w:type="dxa"/>
            <w:bottom w:w="0" w:type="dxa"/>
            <w:right w:w="108" w:type="dxa"/>
          </w:tblCellMar>
        </w:tblPrEx>
        <w:tc>
          <w:tcPr>
            <w:tcW w:w="8847" w:type="dxa"/>
            <w:gridSpan w:val="9"/>
            <w:vAlign w:val="center"/>
          </w:tcPr>
          <w:p w14:paraId="32F7B86C">
            <w:pPr>
              <w:jc w:val="center"/>
            </w:pPr>
            <w:r>
              <w:rPr>
                <w:rFonts w:ascii="宋体" w:hAnsi="宋体" w:eastAsia="宋体"/>
                <w:sz w:val="24"/>
              </w:rPr>
              <w:t>(2024年度)</w:t>
            </w:r>
          </w:p>
        </w:tc>
      </w:tr>
      <w:tr w14:paraId="7B68344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8CA90">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9C0236F">
            <w:pPr>
              <w:jc w:val="center"/>
            </w:pPr>
            <w:r>
              <w:rPr>
                <w:rFonts w:ascii="宋体" w:hAnsi="宋体" w:eastAsia="宋体"/>
                <w:sz w:val="16"/>
              </w:rPr>
              <w:t>2024年自治区援疆干部人才南疆工作补贴项目</w:t>
            </w:r>
          </w:p>
        </w:tc>
      </w:tr>
      <w:tr w14:paraId="510D746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81E326">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666C96F">
            <w:pPr>
              <w:jc w:val="center"/>
            </w:pPr>
            <w:r>
              <w:rPr>
                <w:rFonts w:ascii="宋体" w:hAnsi="宋体" w:eastAsia="宋体"/>
                <w:sz w:val="16"/>
              </w:rPr>
              <w:t>和田地区国有资产监督管理委员会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46F68">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E14DA6E">
            <w:pPr>
              <w:jc w:val="center"/>
            </w:pPr>
            <w:r>
              <w:rPr>
                <w:rFonts w:ascii="宋体" w:hAnsi="宋体" w:eastAsia="宋体"/>
                <w:sz w:val="16"/>
              </w:rPr>
              <w:t>和田地区国有资产监督管理委员会</w:t>
            </w:r>
          </w:p>
        </w:tc>
      </w:tr>
      <w:tr w14:paraId="66562B5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27A7D6">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15F83">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40A3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CE297">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81C73A">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0664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0858B">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39149">
            <w:pPr>
              <w:jc w:val="center"/>
            </w:pPr>
            <w:r>
              <w:rPr>
                <w:rFonts w:ascii="宋体" w:hAnsi="宋体" w:eastAsia="宋体"/>
                <w:sz w:val="16"/>
              </w:rPr>
              <w:t>得分</w:t>
            </w:r>
          </w:p>
        </w:tc>
      </w:tr>
      <w:tr w14:paraId="462563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6F584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6099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96F9CF">
            <w:pPr>
              <w:jc w:val="center"/>
            </w:pPr>
            <w:r>
              <w:rPr>
                <w:rFonts w:ascii="宋体" w:hAnsi="宋体" w:eastAsia="宋体"/>
                <w:sz w:val="16"/>
              </w:rPr>
              <w:t>2.06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4DD97">
            <w:pPr>
              <w:jc w:val="center"/>
            </w:pPr>
            <w:r>
              <w:rPr>
                <w:rFonts w:ascii="宋体" w:hAnsi="宋体" w:eastAsia="宋体"/>
                <w:sz w:val="16"/>
              </w:rPr>
              <w:t>2.06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168F3">
            <w:pPr>
              <w:jc w:val="center"/>
            </w:pPr>
            <w:r>
              <w:rPr>
                <w:rFonts w:ascii="宋体" w:hAnsi="宋体" w:eastAsia="宋体"/>
                <w:sz w:val="16"/>
              </w:rPr>
              <w:t>2.06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0CEF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D2610">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73CCB">
            <w:pPr>
              <w:jc w:val="center"/>
            </w:pPr>
            <w:r>
              <w:rPr>
                <w:rFonts w:ascii="宋体" w:hAnsi="宋体" w:eastAsia="宋体"/>
                <w:sz w:val="16"/>
              </w:rPr>
              <w:t>10.00分</w:t>
            </w:r>
          </w:p>
        </w:tc>
      </w:tr>
      <w:tr w14:paraId="66DF969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5DCA5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FAC33">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2702B5">
            <w:pPr>
              <w:jc w:val="center"/>
            </w:pPr>
            <w:r>
              <w:rPr>
                <w:rFonts w:ascii="宋体" w:hAnsi="宋体" w:eastAsia="宋体"/>
                <w:sz w:val="16"/>
              </w:rPr>
              <w:t>2.06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67FF20">
            <w:pPr>
              <w:jc w:val="center"/>
            </w:pPr>
            <w:r>
              <w:rPr>
                <w:rFonts w:ascii="宋体" w:hAnsi="宋体" w:eastAsia="宋体"/>
                <w:sz w:val="16"/>
              </w:rPr>
              <w:t>2.06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26D9F">
            <w:pPr>
              <w:jc w:val="center"/>
            </w:pPr>
            <w:r>
              <w:rPr>
                <w:rFonts w:ascii="宋体" w:hAnsi="宋体" w:eastAsia="宋体"/>
                <w:sz w:val="16"/>
              </w:rPr>
              <w:t>2.06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928C6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D9EF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7B1835">
            <w:pPr>
              <w:jc w:val="center"/>
            </w:pPr>
            <w:r>
              <w:rPr>
                <w:rFonts w:ascii="宋体" w:hAnsi="宋体" w:eastAsia="宋体"/>
                <w:sz w:val="16"/>
              </w:rPr>
              <w:t>—</w:t>
            </w:r>
          </w:p>
        </w:tc>
      </w:tr>
      <w:tr w14:paraId="767AE67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60D3A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3AB3D">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4568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8E73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BF4F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73FF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ADD06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72CB3">
            <w:pPr>
              <w:jc w:val="center"/>
            </w:pPr>
            <w:r>
              <w:rPr>
                <w:rFonts w:ascii="宋体" w:hAnsi="宋体" w:eastAsia="宋体"/>
                <w:sz w:val="16"/>
              </w:rPr>
              <w:t>—</w:t>
            </w:r>
          </w:p>
        </w:tc>
      </w:tr>
      <w:tr w14:paraId="4C86D7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543E0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1BD2C">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E69B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74ED3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4AE4B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9273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33B6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28547">
            <w:pPr>
              <w:jc w:val="center"/>
            </w:pPr>
            <w:r>
              <w:rPr>
                <w:rFonts w:ascii="宋体" w:hAnsi="宋体" w:eastAsia="宋体"/>
                <w:sz w:val="16"/>
              </w:rPr>
              <w:t>—</w:t>
            </w:r>
          </w:p>
        </w:tc>
      </w:tr>
      <w:tr w14:paraId="77BC9A0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B2195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C5B97E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CFA75FF">
            <w:pPr>
              <w:jc w:val="center"/>
            </w:pPr>
            <w:r>
              <w:rPr>
                <w:rFonts w:ascii="宋体" w:hAnsi="宋体" w:eastAsia="宋体"/>
                <w:sz w:val="16"/>
              </w:rPr>
              <w:t>实际完成情况</w:t>
            </w:r>
          </w:p>
        </w:tc>
      </w:tr>
      <w:tr w14:paraId="1C1048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D555F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8F29E36">
            <w:pPr>
              <w:jc w:val="both"/>
            </w:pPr>
            <w:r>
              <w:rPr>
                <w:rFonts w:ascii="宋体" w:hAnsi="宋体" w:eastAsia="宋体"/>
                <w:sz w:val="16"/>
              </w:rPr>
              <w:t>本项目主要实施内容为：保障人数2人，发放月数12个月，项目总投资为2.06万元，项目计划于2024年12月完成。通过本项目的实施，可有效提高干部工作效率和服务能力，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3A19F6">
            <w:pPr>
              <w:jc w:val="both"/>
            </w:pPr>
            <w:r>
              <w:rPr>
                <w:rFonts w:hint="eastAsia" w:ascii="宋体" w:hAnsi="宋体"/>
                <w:sz w:val="16"/>
                <w:lang w:eastAsia="zh-CN"/>
              </w:rPr>
              <w:t>截至</w:t>
            </w:r>
            <w:r>
              <w:rPr>
                <w:rFonts w:ascii="宋体" w:hAnsi="宋体" w:eastAsia="宋体"/>
                <w:sz w:val="16"/>
              </w:rPr>
              <w:t>2024年12月31日，本项目实际形成支出2.06万元，预算执行率为100%，为2名援疆干部发放12个月的补助，通过以上工作，可有效改善生活及医疗等方面的条件，援疆干部满意度达到100%。</w:t>
            </w:r>
          </w:p>
        </w:tc>
      </w:tr>
      <w:tr w14:paraId="24DE39E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11E3E7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0104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AF38C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39D07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CE6798">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6E20A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9E1E1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A8273">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558EC0">
            <w:pPr>
              <w:jc w:val="center"/>
            </w:pPr>
            <w:r>
              <w:rPr>
                <w:rFonts w:ascii="宋体" w:hAnsi="宋体" w:eastAsia="宋体"/>
                <w:sz w:val="16"/>
              </w:rPr>
              <w:t>偏差原因分析及改进措施</w:t>
            </w:r>
          </w:p>
        </w:tc>
      </w:tr>
      <w:tr w14:paraId="35C48275">
        <w:tblPrEx>
          <w:tblCellMar>
            <w:top w:w="0" w:type="dxa"/>
            <w:left w:w="108" w:type="dxa"/>
            <w:bottom w:w="0" w:type="dxa"/>
            <w:right w:w="108" w:type="dxa"/>
          </w:tblCellMar>
        </w:tblPrEx>
        <w:trPr>
          <w:trHeight w:val="410" w:hRule="atLeast"/>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88A2A8">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2AE8B7">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854F34">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7AAE3">
            <w:pPr>
              <w:jc w:val="center"/>
            </w:pPr>
            <w:r>
              <w:rPr>
                <w:rFonts w:ascii="宋体" w:hAnsi="宋体" w:eastAsia="宋体"/>
                <w:sz w:val="16"/>
              </w:rPr>
              <w:t>保障人数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8593B">
            <w:pPr>
              <w:jc w:val="center"/>
            </w:pPr>
            <w:r>
              <w:rPr>
                <w:rFonts w:ascii="宋体" w:hAnsi="宋体" w:eastAsia="宋体"/>
                <w:sz w:val="16"/>
              </w:rPr>
              <w:t>=2人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59F158">
            <w:pPr>
              <w:jc w:val="center"/>
            </w:pPr>
            <w:r>
              <w:rPr>
                <w:rFonts w:ascii="宋体" w:hAnsi="宋体" w:eastAsia="宋体"/>
                <w:sz w:val="16"/>
              </w:rPr>
              <w:t>=2人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FC75E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9494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D1866">
            <w:pPr>
              <w:jc w:val="center"/>
            </w:pPr>
          </w:p>
        </w:tc>
      </w:tr>
      <w:tr w14:paraId="1F7C10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1497A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D99BC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2CD20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2AC088">
            <w:pPr>
              <w:jc w:val="center"/>
            </w:pPr>
            <w:r>
              <w:rPr>
                <w:rFonts w:ascii="宋体" w:hAnsi="宋体" w:eastAsia="宋体"/>
                <w:sz w:val="16"/>
              </w:rPr>
              <w:t>发放月数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3BB556">
            <w:pPr>
              <w:jc w:val="center"/>
            </w:pPr>
            <w:r>
              <w:rPr>
                <w:rFonts w:ascii="宋体" w:hAnsi="宋体" w:eastAsia="宋体"/>
                <w:sz w:val="16"/>
              </w:rPr>
              <w:t>≥12个月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4B92FD">
            <w:pPr>
              <w:jc w:val="center"/>
            </w:pPr>
            <w:r>
              <w:rPr>
                <w:rFonts w:ascii="宋体" w:hAnsi="宋体" w:eastAsia="宋体"/>
                <w:sz w:val="16"/>
              </w:rPr>
              <w:t>=12个月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34A0B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7536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77E99">
            <w:pPr>
              <w:jc w:val="center"/>
            </w:pPr>
          </w:p>
        </w:tc>
      </w:tr>
      <w:tr w14:paraId="10D792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CE5B1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85A1A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859DC">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6E3239">
            <w:pPr>
              <w:jc w:val="center"/>
            </w:pPr>
            <w:r>
              <w:rPr>
                <w:rFonts w:ascii="宋体" w:hAnsi="宋体" w:eastAsia="宋体"/>
                <w:sz w:val="16"/>
              </w:rPr>
              <w:t>资金发放覆盖率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FB4B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FD829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2BDC2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EAD8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E70E71">
            <w:pPr>
              <w:jc w:val="center"/>
            </w:pPr>
          </w:p>
        </w:tc>
      </w:tr>
      <w:tr w14:paraId="1B1E4AB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51E9F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ED5BE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82A98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0EE10">
            <w:pPr>
              <w:jc w:val="center"/>
            </w:pPr>
            <w:r>
              <w:rPr>
                <w:rFonts w:ascii="宋体" w:hAnsi="宋体" w:eastAsia="宋体"/>
                <w:sz w:val="16"/>
              </w:rPr>
              <w:t>补助发放及时率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2A58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D92F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6382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44D9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D963E5">
            <w:pPr>
              <w:jc w:val="center"/>
            </w:pPr>
          </w:p>
        </w:tc>
      </w:tr>
      <w:tr w14:paraId="521941C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F84A3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8EF94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E12A0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F61E7D">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B59F6D">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EE48C">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A21F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7EDF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6B36A">
            <w:pPr>
              <w:jc w:val="center"/>
            </w:pPr>
          </w:p>
        </w:tc>
      </w:tr>
      <w:tr w14:paraId="31C2926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A12ED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149D5">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441479">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8DE66A">
            <w:pPr>
              <w:jc w:val="center"/>
            </w:pPr>
            <w:r>
              <w:rPr>
                <w:rFonts w:ascii="宋体" w:hAnsi="宋体" w:eastAsia="宋体"/>
                <w:sz w:val="16"/>
              </w:rPr>
              <w:t>补助费用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39F47F">
            <w:pPr>
              <w:jc w:val="center"/>
            </w:pPr>
            <w:r>
              <w:rPr>
                <w:rFonts w:ascii="宋体" w:hAnsi="宋体" w:eastAsia="宋体"/>
                <w:sz w:val="16"/>
              </w:rPr>
              <w:t>=2.06万元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1774D2">
            <w:pPr>
              <w:jc w:val="center"/>
            </w:pPr>
            <w:r>
              <w:rPr>
                <w:rFonts w:ascii="宋体" w:hAnsi="宋体" w:eastAsia="宋体"/>
                <w:sz w:val="16"/>
              </w:rPr>
              <w:t>=2.06万元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3D290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EB051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F7246">
            <w:pPr>
              <w:jc w:val="center"/>
            </w:pPr>
          </w:p>
        </w:tc>
      </w:tr>
      <w:tr w14:paraId="0496F1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6B894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DE720B">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BF48D">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82CA5E">
            <w:pPr>
              <w:jc w:val="center"/>
            </w:pPr>
            <w:r>
              <w:rPr>
                <w:rFonts w:ascii="宋体" w:hAnsi="宋体" w:eastAsia="宋体"/>
                <w:sz w:val="16"/>
              </w:rPr>
              <w:t>提高干部工作效率和服务能力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063980">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947546">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43C81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B3FED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DB063">
            <w:pPr>
              <w:jc w:val="center"/>
            </w:pPr>
          </w:p>
        </w:tc>
      </w:tr>
      <w:tr w14:paraId="147218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B69C0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A2FC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6286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202D4C">
            <w:pPr>
              <w:jc w:val="center"/>
            </w:pPr>
            <w:r>
              <w:rPr>
                <w:rFonts w:ascii="宋体" w:hAnsi="宋体" w:eastAsia="宋体"/>
                <w:sz w:val="16"/>
              </w:rPr>
              <w:t>受益干部满意度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CCB11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098EE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3C10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CA4B5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52E85">
            <w:pPr>
              <w:jc w:val="center"/>
            </w:pPr>
          </w:p>
        </w:tc>
      </w:tr>
      <w:tr w14:paraId="5205EE9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F17C7B">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732741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30C8B2">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191757F">
            <w:pPr>
              <w:jc w:val="center"/>
            </w:pPr>
            <w:r>
              <w:rPr>
                <w:rFonts w:ascii="宋体" w:hAnsi="宋体" w:eastAsia="宋体"/>
                <w:sz w:val="16"/>
              </w:rPr>
              <w:t>100分</w:t>
            </w:r>
          </w:p>
        </w:tc>
      </w:tr>
    </w:tbl>
    <w:p w14:paraId="7053FC7B">
      <w:r>
        <w:br w:type="page"/>
      </w:r>
    </w:p>
    <w:p w14:paraId="387CA383"/>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2AB49EE">
        <w:tblPrEx>
          <w:tblCellMar>
            <w:top w:w="0" w:type="dxa"/>
            <w:left w:w="108" w:type="dxa"/>
            <w:bottom w:w="0" w:type="dxa"/>
            <w:right w:w="108" w:type="dxa"/>
          </w:tblCellMar>
        </w:tblPrEx>
        <w:tc>
          <w:tcPr>
            <w:tcW w:w="8847" w:type="dxa"/>
            <w:gridSpan w:val="9"/>
            <w:vAlign w:val="center"/>
          </w:tcPr>
          <w:p w14:paraId="0227113E">
            <w:pPr>
              <w:jc w:val="center"/>
            </w:pPr>
            <w:r>
              <w:rPr>
                <w:rFonts w:ascii="宋体" w:hAnsi="宋体" w:eastAsia="宋体"/>
                <w:sz w:val="24"/>
              </w:rPr>
              <w:t>项目支出绩效自评表</w:t>
            </w:r>
          </w:p>
        </w:tc>
      </w:tr>
      <w:tr w14:paraId="5C2B10AE">
        <w:tblPrEx>
          <w:tblCellMar>
            <w:top w:w="0" w:type="dxa"/>
            <w:left w:w="108" w:type="dxa"/>
            <w:bottom w:w="0" w:type="dxa"/>
            <w:right w:w="108" w:type="dxa"/>
          </w:tblCellMar>
        </w:tblPrEx>
        <w:tc>
          <w:tcPr>
            <w:tcW w:w="8847" w:type="dxa"/>
            <w:gridSpan w:val="9"/>
            <w:vAlign w:val="center"/>
          </w:tcPr>
          <w:p w14:paraId="684C5A46">
            <w:pPr>
              <w:jc w:val="center"/>
            </w:pPr>
            <w:r>
              <w:rPr>
                <w:rFonts w:ascii="宋体" w:hAnsi="宋体" w:eastAsia="宋体"/>
                <w:sz w:val="24"/>
              </w:rPr>
              <w:t>(2024年度)</w:t>
            </w:r>
          </w:p>
        </w:tc>
      </w:tr>
      <w:tr w14:paraId="1820030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AE0CA3">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877B661">
            <w:pPr>
              <w:jc w:val="center"/>
            </w:pPr>
            <w:r>
              <w:rPr>
                <w:rFonts w:ascii="宋体" w:hAnsi="宋体" w:eastAsia="宋体"/>
                <w:sz w:val="16"/>
              </w:rPr>
              <w:t>国有资本经营预算项目</w:t>
            </w:r>
          </w:p>
        </w:tc>
      </w:tr>
      <w:tr w14:paraId="1A6CCBB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1970B">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A76D437">
            <w:pPr>
              <w:jc w:val="center"/>
            </w:pPr>
            <w:r>
              <w:rPr>
                <w:rFonts w:ascii="宋体" w:hAnsi="宋体" w:eastAsia="宋体"/>
                <w:sz w:val="16"/>
              </w:rPr>
              <w:t>和田地区国有资产监督管理委员会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297E6">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2C4B6C1">
            <w:pPr>
              <w:jc w:val="center"/>
            </w:pPr>
            <w:r>
              <w:rPr>
                <w:rFonts w:ascii="宋体" w:hAnsi="宋体" w:eastAsia="宋体"/>
                <w:sz w:val="16"/>
              </w:rPr>
              <w:t>和田地区国有资产监督管理委员会</w:t>
            </w:r>
          </w:p>
        </w:tc>
      </w:tr>
      <w:tr w14:paraId="4F5E2F2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A9852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1107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39A8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E8E3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2B74F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E8B3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55EC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3F2E6B">
            <w:pPr>
              <w:jc w:val="center"/>
            </w:pPr>
            <w:r>
              <w:rPr>
                <w:rFonts w:ascii="宋体" w:hAnsi="宋体" w:eastAsia="宋体"/>
                <w:sz w:val="16"/>
              </w:rPr>
              <w:t>得分</w:t>
            </w:r>
          </w:p>
        </w:tc>
      </w:tr>
      <w:tr w14:paraId="06C609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50DC3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EE9F8">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0D33D">
            <w:pPr>
              <w:jc w:val="center"/>
            </w:pPr>
            <w:r>
              <w:rPr>
                <w:rFonts w:ascii="宋体" w:hAnsi="宋体" w:eastAsia="宋体"/>
                <w:sz w:val="16"/>
              </w:rPr>
              <w:t>1,080.00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685FA0">
            <w:pPr>
              <w:jc w:val="center"/>
            </w:pPr>
            <w:r>
              <w:rPr>
                <w:rFonts w:ascii="宋体" w:hAnsi="宋体" w:eastAsia="宋体"/>
                <w:sz w:val="16"/>
              </w:rPr>
              <w:t>1,080.00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39C7D2">
            <w:pPr>
              <w:jc w:val="center"/>
            </w:pPr>
            <w:r>
              <w:rPr>
                <w:rFonts w:ascii="宋体" w:hAnsi="宋体" w:eastAsia="宋体"/>
                <w:sz w:val="16"/>
              </w:rPr>
              <w:t>1,030.00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52421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42393">
            <w:pPr>
              <w:jc w:val="center"/>
            </w:pPr>
            <w:r>
              <w:rPr>
                <w:rFonts w:ascii="宋体" w:hAnsi="宋体" w:eastAsia="宋体"/>
                <w:sz w:val="16"/>
              </w:rPr>
              <w:t xml:space="preserve">95.37%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32B66">
            <w:pPr>
              <w:jc w:val="center"/>
            </w:pPr>
            <w:r>
              <w:rPr>
                <w:rFonts w:ascii="宋体" w:hAnsi="宋体" w:eastAsia="宋体"/>
                <w:sz w:val="16"/>
              </w:rPr>
              <w:t>8.84分</w:t>
            </w:r>
          </w:p>
        </w:tc>
      </w:tr>
      <w:tr w14:paraId="2932FF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6FC8D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C2A2D">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4A390E">
            <w:pPr>
              <w:jc w:val="center"/>
            </w:pPr>
            <w:r>
              <w:rPr>
                <w:rFonts w:ascii="宋体" w:hAnsi="宋体" w:eastAsia="宋体"/>
                <w:sz w:val="16"/>
              </w:rPr>
              <w:t>1,080.00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C347C">
            <w:pPr>
              <w:jc w:val="center"/>
            </w:pPr>
            <w:r>
              <w:rPr>
                <w:rFonts w:ascii="宋体" w:hAnsi="宋体" w:eastAsia="宋体"/>
                <w:sz w:val="16"/>
              </w:rPr>
              <w:t>1,080.00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4AD1C2">
            <w:pPr>
              <w:jc w:val="center"/>
            </w:pPr>
            <w:r>
              <w:rPr>
                <w:rFonts w:ascii="宋体" w:hAnsi="宋体" w:eastAsia="宋体"/>
                <w:sz w:val="16"/>
              </w:rPr>
              <w:t>1,030.00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D3BA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C87DE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75B2D">
            <w:pPr>
              <w:jc w:val="center"/>
            </w:pPr>
            <w:r>
              <w:rPr>
                <w:rFonts w:ascii="宋体" w:hAnsi="宋体" w:eastAsia="宋体"/>
                <w:sz w:val="16"/>
              </w:rPr>
              <w:t>—</w:t>
            </w:r>
          </w:p>
        </w:tc>
      </w:tr>
      <w:tr w14:paraId="130B7B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1407C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33069">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608E2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C7F6D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7732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BB1A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1F12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77D20">
            <w:pPr>
              <w:jc w:val="center"/>
            </w:pPr>
            <w:r>
              <w:rPr>
                <w:rFonts w:ascii="宋体" w:hAnsi="宋体" w:eastAsia="宋体"/>
                <w:sz w:val="16"/>
              </w:rPr>
              <w:t>—</w:t>
            </w:r>
          </w:p>
        </w:tc>
      </w:tr>
      <w:tr w14:paraId="5B17BB0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54F09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1751E">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D29C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2F260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38BF1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F81C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78E32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111D1">
            <w:pPr>
              <w:jc w:val="center"/>
            </w:pPr>
            <w:r>
              <w:rPr>
                <w:rFonts w:ascii="宋体" w:hAnsi="宋体" w:eastAsia="宋体"/>
                <w:sz w:val="16"/>
              </w:rPr>
              <w:t>—</w:t>
            </w:r>
          </w:p>
        </w:tc>
      </w:tr>
      <w:tr w14:paraId="7E44F22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F6100B">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B0AACC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5E05C3">
            <w:pPr>
              <w:jc w:val="center"/>
            </w:pPr>
            <w:r>
              <w:rPr>
                <w:rFonts w:ascii="宋体" w:hAnsi="宋体" w:eastAsia="宋体"/>
                <w:sz w:val="16"/>
              </w:rPr>
              <w:t>实际完成情况</w:t>
            </w:r>
          </w:p>
        </w:tc>
      </w:tr>
      <w:tr w14:paraId="0949B1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A8A5C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1C4D479">
            <w:pPr>
              <w:jc w:val="both"/>
            </w:pPr>
            <w:r>
              <w:rPr>
                <w:rFonts w:ascii="宋体" w:hAnsi="宋体" w:eastAsia="宋体"/>
                <w:sz w:val="16"/>
              </w:rPr>
              <w:t>本项目主要实施内容为：支持企业数量3个，项目总投资为1080万元，项目计划于2024年12月完成。通过本项目的实施，可有效社会服务能力提升，待项目实施完成，争取使受益人群满意度不低于95%。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E97629">
            <w:pPr>
              <w:jc w:val="both"/>
            </w:pPr>
            <w:r>
              <w:rPr>
                <w:rFonts w:hint="eastAsia" w:ascii="宋体" w:hAnsi="宋体"/>
                <w:sz w:val="16"/>
                <w:lang w:eastAsia="zh-CN"/>
              </w:rPr>
              <w:t>截至</w:t>
            </w:r>
            <w:r>
              <w:rPr>
                <w:rFonts w:ascii="宋体" w:hAnsi="宋体" w:eastAsia="宋体"/>
                <w:sz w:val="16"/>
              </w:rPr>
              <w:t>2024年12月31日，本项目实际形成支出1030万元，已完成拨付新疆和能矿业有限责任公司注册资本金1000万元、和田玉鑫公司和和田鑫泰公司聘用外部董事费30万元的任务，达到了推动全地区经济高质量发展的效益，该企业满意度达到100%。</w:t>
            </w:r>
          </w:p>
        </w:tc>
      </w:tr>
      <w:tr w14:paraId="52F4D9C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C9A809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FD5D7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5B857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8195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47097">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2DC5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6D10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383685">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3CDCF0">
            <w:pPr>
              <w:jc w:val="center"/>
            </w:pPr>
            <w:r>
              <w:rPr>
                <w:rFonts w:ascii="宋体" w:hAnsi="宋体" w:eastAsia="宋体"/>
                <w:sz w:val="16"/>
              </w:rPr>
              <w:t>偏差原因分析及改进措施</w:t>
            </w:r>
          </w:p>
        </w:tc>
      </w:tr>
      <w:tr w14:paraId="7889F07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8C55EB">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F9ADE3">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56D0F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6D15E">
            <w:pPr>
              <w:jc w:val="center"/>
            </w:pPr>
            <w:r>
              <w:rPr>
                <w:rFonts w:ascii="宋体" w:hAnsi="宋体" w:eastAsia="宋体"/>
                <w:sz w:val="16"/>
              </w:rPr>
              <w:t>支持企业数量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2FCF46">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B59362">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A4C1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DF8CE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E6315A">
            <w:pPr>
              <w:jc w:val="center"/>
            </w:pPr>
          </w:p>
        </w:tc>
      </w:tr>
      <w:tr w14:paraId="00BC5C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32376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6522A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E2559">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ADDFF0">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71C58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5D92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E9E4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AE1B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34FD4">
            <w:pPr>
              <w:jc w:val="center"/>
            </w:pPr>
          </w:p>
        </w:tc>
      </w:tr>
      <w:tr w14:paraId="0415E8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3478F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9310A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48B2F6">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8161D">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831B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F1D0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BE01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03EF1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F62F2">
            <w:pPr>
              <w:jc w:val="center"/>
            </w:pPr>
          </w:p>
        </w:tc>
      </w:tr>
      <w:tr w14:paraId="443E859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D2C81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D573C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684C0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A8C99">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D5052">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6F9A7F">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626B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97C3C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26B890">
            <w:pPr>
              <w:jc w:val="center"/>
            </w:pPr>
          </w:p>
        </w:tc>
      </w:tr>
      <w:tr w14:paraId="48361C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5BE31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5025F7">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78AB39">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C0F89E">
            <w:pPr>
              <w:jc w:val="center"/>
            </w:pPr>
            <w:r>
              <w:rPr>
                <w:rFonts w:ascii="宋体" w:hAnsi="宋体" w:eastAsia="宋体"/>
                <w:sz w:val="16"/>
              </w:rPr>
              <w:t>注册资金成本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285755">
            <w:pPr>
              <w:jc w:val="center"/>
            </w:pPr>
            <w:r>
              <w:rPr>
                <w:rFonts w:ascii="宋体" w:hAnsi="宋体" w:eastAsia="宋体"/>
                <w:sz w:val="16"/>
              </w:rPr>
              <w:t>≤1000万元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4903C9">
            <w:pPr>
              <w:jc w:val="center"/>
            </w:pPr>
            <w:r>
              <w:rPr>
                <w:rFonts w:ascii="宋体" w:hAnsi="宋体" w:eastAsia="宋体"/>
                <w:sz w:val="16"/>
              </w:rPr>
              <w:t>=1000万元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F25C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A7CC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FC8BD4">
            <w:pPr>
              <w:jc w:val="center"/>
            </w:pPr>
          </w:p>
        </w:tc>
      </w:tr>
      <w:tr w14:paraId="50854C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A9D60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2C0B3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93C5A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F18EAA">
            <w:pPr>
              <w:jc w:val="center"/>
            </w:pPr>
            <w:r>
              <w:rPr>
                <w:rFonts w:ascii="宋体" w:hAnsi="宋体" w:eastAsia="宋体"/>
                <w:sz w:val="16"/>
              </w:rPr>
              <w:t>外部董事薪酬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7909F">
            <w:pPr>
              <w:jc w:val="center"/>
            </w:pPr>
            <w:r>
              <w:rPr>
                <w:rFonts w:ascii="宋体" w:hAnsi="宋体" w:eastAsia="宋体"/>
                <w:sz w:val="16"/>
              </w:rPr>
              <w:t>≤80万元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D1B8F">
            <w:pPr>
              <w:jc w:val="center"/>
            </w:pPr>
            <w:r>
              <w:rPr>
                <w:rFonts w:ascii="宋体" w:hAnsi="宋体" w:eastAsia="宋体"/>
                <w:sz w:val="16"/>
              </w:rPr>
              <w:t>=30万元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9E4B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B6648B">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225D9F">
            <w:pPr>
              <w:jc w:val="center"/>
            </w:pPr>
            <w:r>
              <w:rPr>
                <w:rFonts w:ascii="宋体" w:hAnsi="宋体" w:eastAsia="宋体"/>
                <w:sz w:val="16"/>
              </w:rPr>
              <w:t>偏差原因：由于2024年国企改革企业进行重组，导致多家外部董事被解聘，工作时间端未支付其待遇。改进措施：建立健全项目后续各项监督管理制度，确保项目正常运转，长期发挥效益。</w:t>
            </w:r>
          </w:p>
        </w:tc>
      </w:tr>
      <w:tr w14:paraId="0A85256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3071E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3E3785">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72D5E">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191C8D">
            <w:pPr>
              <w:jc w:val="center"/>
            </w:pPr>
            <w:r>
              <w:rPr>
                <w:rFonts w:ascii="宋体" w:hAnsi="宋体" w:eastAsia="宋体"/>
                <w:sz w:val="16"/>
              </w:rPr>
              <w:t>社会服务能力提升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4435B">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6D2AA3">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5CB6E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ADA0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015DDA">
            <w:pPr>
              <w:jc w:val="center"/>
            </w:pPr>
          </w:p>
        </w:tc>
      </w:tr>
      <w:tr w14:paraId="7331A6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D5D3C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72DB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E08E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103038">
            <w:pPr>
              <w:jc w:val="center"/>
            </w:pPr>
            <w:r>
              <w:rPr>
                <w:rFonts w:ascii="宋体" w:hAnsi="宋体" w:eastAsia="宋体"/>
                <w:sz w:val="16"/>
              </w:rPr>
              <w:t>受益企业满意度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69D4B">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3BA2B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2B8D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F61C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C32D86">
            <w:pPr>
              <w:jc w:val="center"/>
            </w:pPr>
          </w:p>
        </w:tc>
      </w:tr>
      <w:tr w14:paraId="335C786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B006C">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9B23CD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78B9F7">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C248A72">
            <w:pPr>
              <w:jc w:val="center"/>
            </w:pPr>
            <w:r>
              <w:rPr>
                <w:rFonts w:ascii="宋体" w:hAnsi="宋体" w:eastAsia="宋体"/>
                <w:sz w:val="16"/>
              </w:rPr>
              <w:t>88.84分</w:t>
            </w:r>
          </w:p>
        </w:tc>
      </w:tr>
    </w:tbl>
    <w:p w14:paraId="27A2049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2C25FA6">
        <w:tblPrEx>
          <w:tblCellMar>
            <w:top w:w="0" w:type="dxa"/>
            <w:left w:w="108" w:type="dxa"/>
            <w:bottom w:w="0" w:type="dxa"/>
            <w:right w:w="108" w:type="dxa"/>
          </w:tblCellMar>
        </w:tblPrEx>
        <w:tc>
          <w:tcPr>
            <w:tcW w:w="8847" w:type="dxa"/>
            <w:gridSpan w:val="9"/>
            <w:vAlign w:val="center"/>
          </w:tcPr>
          <w:p w14:paraId="4A480D82">
            <w:pPr>
              <w:jc w:val="center"/>
            </w:pPr>
            <w:r>
              <w:rPr>
                <w:rFonts w:ascii="宋体" w:hAnsi="宋体" w:eastAsia="宋体"/>
                <w:sz w:val="24"/>
              </w:rPr>
              <w:t>项目支出绩效自评表</w:t>
            </w:r>
          </w:p>
        </w:tc>
      </w:tr>
      <w:tr w14:paraId="3BD1825E">
        <w:tblPrEx>
          <w:tblCellMar>
            <w:top w:w="0" w:type="dxa"/>
            <w:left w:w="108" w:type="dxa"/>
            <w:bottom w:w="0" w:type="dxa"/>
            <w:right w:w="108" w:type="dxa"/>
          </w:tblCellMar>
        </w:tblPrEx>
        <w:tc>
          <w:tcPr>
            <w:tcW w:w="8847" w:type="dxa"/>
            <w:gridSpan w:val="9"/>
            <w:vAlign w:val="center"/>
          </w:tcPr>
          <w:p w14:paraId="5AA613C7">
            <w:pPr>
              <w:jc w:val="center"/>
            </w:pPr>
            <w:r>
              <w:rPr>
                <w:rFonts w:ascii="宋体" w:hAnsi="宋体" w:eastAsia="宋体"/>
                <w:sz w:val="24"/>
              </w:rPr>
              <w:t>(2024年度)</w:t>
            </w:r>
          </w:p>
        </w:tc>
      </w:tr>
      <w:tr w14:paraId="547ADF5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696A0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BE6AFF7">
            <w:pPr>
              <w:jc w:val="center"/>
            </w:pPr>
            <w:r>
              <w:rPr>
                <w:rFonts w:ascii="宋体" w:hAnsi="宋体" w:eastAsia="宋体"/>
                <w:sz w:val="16"/>
              </w:rPr>
              <w:t>国资管理及国企改革业务经费项目</w:t>
            </w:r>
          </w:p>
        </w:tc>
      </w:tr>
      <w:tr w14:paraId="3561C40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1A047">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23396B0">
            <w:pPr>
              <w:jc w:val="center"/>
            </w:pPr>
            <w:r>
              <w:rPr>
                <w:rFonts w:ascii="宋体" w:hAnsi="宋体" w:eastAsia="宋体"/>
                <w:sz w:val="16"/>
              </w:rPr>
              <w:t>和田地区国有资产监督管理委员会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60BDFD">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D969610">
            <w:pPr>
              <w:jc w:val="center"/>
            </w:pPr>
            <w:r>
              <w:rPr>
                <w:rFonts w:ascii="宋体" w:hAnsi="宋体" w:eastAsia="宋体"/>
                <w:sz w:val="16"/>
              </w:rPr>
              <w:t>和田地区国有资产监督管理委员会</w:t>
            </w:r>
          </w:p>
        </w:tc>
      </w:tr>
      <w:tr w14:paraId="551CDAF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C3FC46">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AA73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32F9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0633FD">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33EAD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86E0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8BA4F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26735">
            <w:pPr>
              <w:jc w:val="center"/>
            </w:pPr>
            <w:r>
              <w:rPr>
                <w:rFonts w:ascii="宋体" w:hAnsi="宋体" w:eastAsia="宋体"/>
                <w:sz w:val="16"/>
              </w:rPr>
              <w:t>得分</w:t>
            </w:r>
          </w:p>
        </w:tc>
      </w:tr>
      <w:tr w14:paraId="55B53CA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680C5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CAD67">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DB572">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9843D">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33DB49">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7617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8C8C3D">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F9A5A0">
            <w:pPr>
              <w:jc w:val="center"/>
            </w:pPr>
            <w:r>
              <w:rPr>
                <w:rFonts w:ascii="宋体" w:hAnsi="宋体" w:eastAsia="宋体"/>
                <w:sz w:val="16"/>
              </w:rPr>
              <w:t>10.00分</w:t>
            </w:r>
          </w:p>
        </w:tc>
      </w:tr>
      <w:tr w14:paraId="156799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8BF12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32B7F">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6C386">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C079D">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09C16D">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1E3B0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064C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2E82C">
            <w:pPr>
              <w:jc w:val="center"/>
            </w:pPr>
            <w:r>
              <w:rPr>
                <w:rFonts w:ascii="宋体" w:hAnsi="宋体" w:eastAsia="宋体"/>
                <w:sz w:val="16"/>
              </w:rPr>
              <w:t>—</w:t>
            </w:r>
          </w:p>
        </w:tc>
      </w:tr>
      <w:tr w14:paraId="3090AA4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C2758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8864A">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D17F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4EC1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BDC3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9345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7BC0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9AB4F">
            <w:pPr>
              <w:jc w:val="center"/>
            </w:pPr>
            <w:r>
              <w:rPr>
                <w:rFonts w:ascii="宋体" w:hAnsi="宋体" w:eastAsia="宋体"/>
                <w:sz w:val="16"/>
              </w:rPr>
              <w:t>—</w:t>
            </w:r>
          </w:p>
        </w:tc>
      </w:tr>
      <w:tr w14:paraId="4AD1B7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F86EE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60CA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1599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8C61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45CE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00BA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13ABB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EE1B67">
            <w:pPr>
              <w:jc w:val="center"/>
            </w:pPr>
            <w:r>
              <w:rPr>
                <w:rFonts w:ascii="宋体" w:hAnsi="宋体" w:eastAsia="宋体"/>
                <w:sz w:val="16"/>
              </w:rPr>
              <w:t>—</w:t>
            </w:r>
          </w:p>
        </w:tc>
      </w:tr>
      <w:tr w14:paraId="690DBBF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2E569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1789CA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605F45">
            <w:pPr>
              <w:jc w:val="center"/>
            </w:pPr>
            <w:r>
              <w:rPr>
                <w:rFonts w:ascii="宋体" w:hAnsi="宋体" w:eastAsia="宋体"/>
                <w:sz w:val="16"/>
              </w:rPr>
              <w:t>实际完成情况</w:t>
            </w:r>
          </w:p>
        </w:tc>
      </w:tr>
      <w:tr w14:paraId="68B33A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093D2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4A6CA65">
            <w:pPr>
              <w:jc w:val="both"/>
            </w:pPr>
            <w:r>
              <w:rPr>
                <w:rFonts w:ascii="宋体" w:hAnsi="宋体" w:eastAsia="宋体"/>
                <w:sz w:val="16"/>
              </w:rPr>
              <w:t>本项目主要实施内容为：国资国企管理人员培训出差次数5次，以及为了工作方便和保密传输安全，单位保密室建设需采购涉密域终端设备一套，项目总投资20万元，项目计划于2024年12月完成。通过本项目的实施，可有效提高办公效率，可持续提高单位服务能力，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9FEC1A">
            <w:pPr>
              <w:jc w:val="both"/>
            </w:pPr>
            <w:r>
              <w:rPr>
                <w:rFonts w:hint="eastAsia" w:ascii="宋体" w:hAnsi="宋体"/>
                <w:sz w:val="16"/>
                <w:lang w:eastAsia="zh-CN"/>
              </w:rPr>
              <w:t>截至</w:t>
            </w:r>
            <w:r>
              <w:rPr>
                <w:rFonts w:ascii="宋体" w:hAnsi="宋体" w:eastAsia="宋体"/>
                <w:sz w:val="16"/>
              </w:rPr>
              <w:t>2024年12月31日，本项目实际形成支出20万元，已完成国资管理及国企改革业务工作;保障项目中的购买保密设备1套，国资国企管理人员培训出差5次，为各项国资工作顺利开展提供了资金保障，国资业务提升良好，通过项目的实施，提高了办公效率和单位服务能力，被服务对象满意度达到100%。</w:t>
            </w:r>
          </w:p>
        </w:tc>
      </w:tr>
      <w:tr w14:paraId="13409A7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8A8201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8E11C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6B1D1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8DA4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E7F50">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2698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795E8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9AAE9E">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48433">
            <w:pPr>
              <w:jc w:val="center"/>
            </w:pPr>
            <w:r>
              <w:rPr>
                <w:rFonts w:ascii="宋体" w:hAnsi="宋体" w:eastAsia="宋体"/>
                <w:sz w:val="16"/>
              </w:rPr>
              <w:t>偏差原因分析及改进措施</w:t>
            </w:r>
          </w:p>
        </w:tc>
      </w:tr>
      <w:tr w14:paraId="1F5020F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564F5F">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BB42A5">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5AC27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19D6C">
            <w:pPr>
              <w:jc w:val="center"/>
            </w:pPr>
            <w:r>
              <w:rPr>
                <w:rFonts w:ascii="宋体" w:hAnsi="宋体" w:eastAsia="宋体"/>
                <w:sz w:val="16"/>
              </w:rPr>
              <w:t>国资国企管理人员培训出差次数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23C0D">
            <w:pPr>
              <w:jc w:val="center"/>
            </w:pPr>
            <w:r>
              <w:rPr>
                <w:rFonts w:ascii="宋体" w:hAnsi="宋体" w:eastAsia="宋体"/>
                <w:sz w:val="16"/>
              </w:rPr>
              <w: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CEC14">
            <w:pPr>
              <w:jc w:val="center"/>
            </w:pPr>
            <w:r>
              <w:rPr>
                <w:rFonts w:ascii="宋体" w:hAnsi="宋体" w:eastAsia="宋体"/>
                <w:sz w:val="16"/>
              </w:rPr>
              <w: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1D91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C824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08C40">
            <w:pPr>
              <w:jc w:val="center"/>
            </w:pPr>
          </w:p>
        </w:tc>
      </w:tr>
      <w:tr w14:paraId="1057C2E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EAB15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AAC46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F9F4F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247CB9">
            <w:pPr>
              <w:jc w:val="center"/>
            </w:pPr>
            <w:r>
              <w:rPr>
                <w:rFonts w:ascii="宋体" w:hAnsi="宋体" w:eastAsia="宋体"/>
                <w:sz w:val="16"/>
              </w:rPr>
              <w:t>购买涉密域终端设备数量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3856D3">
            <w:pPr>
              <w:jc w:val="center"/>
            </w:pPr>
            <w:r>
              <w:rPr>
                <w:rFonts w:ascii="宋体" w:hAnsi="宋体" w:eastAsia="宋体"/>
                <w:sz w:val="16"/>
              </w:rPr>
              <w:t>≥1套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2D4043">
            <w:pPr>
              <w:jc w:val="center"/>
            </w:pPr>
            <w:r>
              <w:rPr>
                <w:rFonts w:ascii="宋体" w:hAnsi="宋体" w:eastAsia="宋体"/>
                <w:sz w:val="16"/>
              </w:rPr>
              <w:t>=1套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A7B3A7">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666AA">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BC6BA">
            <w:pPr>
              <w:jc w:val="center"/>
            </w:pPr>
          </w:p>
        </w:tc>
      </w:tr>
      <w:tr w14:paraId="247C32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396F0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02499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836747">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59DCBF">
            <w:pPr>
              <w:jc w:val="center"/>
            </w:pPr>
            <w:r>
              <w:rPr>
                <w:rFonts w:ascii="宋体" w:hAnsi="宋体" w:eastAsia="宋体"/>
                <w:sz w:val="16"/>
              </w:rPr>
              <w:t>质量验收合格率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BFF7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0F6C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779B6">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F66E3">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4EBFE">
            <w:pPr>
              <w:jc w:val="center"/>
            </w:pPr>
          </w:p>
        </w:tc>
      </w:tr>
      <w:tr w14:paraId="34C87E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5D6F0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C30A6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5407F9">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45538">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22C6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23E13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0AE07">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ABE1C5">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F8B46">
            <w:pPr>
              <w:jc w:val="center"/>
            </w:pPr>
          </w:p>
        </w:tc>
      </w:tr>
      <w:tr w14:paraId="26B64A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377A2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922A5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4EAE0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0241C">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05072">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2B8780">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AAE93">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46A4C">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1EF6A">
            <w:pPr>
              <w:jc w:val="center"/>
            </w:pPr>
          </w:p>
        </w:tc>
      </w:tr>
      <w:tr w14:paraId="22DC04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54D88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882049">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91DCEF">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C1BC5">
            <w:pPr>
              <w:jc w:val="center"/>
            </w:pPr>
            <w:r>
              <w:rPr>
                <w:rFonts w:ascii="宋体" w:hAnsi="宋体" w:eastAsia="宋体"/>
                <w:sz w:val="16"/>
              </w:rPr>
              <w:t>国企改革咨询服务费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7D065">
            <w:pPr>
              <w:jc w:val="center"/>
            </w:pPr>
            <w:r>
              <w:rPr>
                <w:rFonts w:ascii="宋体" w:hAnsi="宋体" w:eastAsia="宋体"/>
                <w:sz w:val="16"/>
              </w:rPr>
              <w:t>≤12万元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74FDBA">
            <w:pPr>
              <w:jc w:val="center"/>
            </w:pPr>
            <w:r>
              <w:rPr>
                <w:rFonts w:ascii="宋体" w:hAnsi="宋体" w:eastAsia="宋体"/>
                <w:sz w:val="16"/>
              </w:rPr>
              <w:t>=12万元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8B5D7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369B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AF5A6">
            <w:pPr>
              <w:jc w:val="center"/>
            </w:pPr>
          </w:p>
        </w:tc>
      </w:tr>
      <w:tr w14:paraId="3C4ED52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4FFD1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925D0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7250A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85F01">
            <w:pPr>
              <w:jc w:val="center"/>
            </w:pPr>
            <w:r>
              <w:rPr>
                <w:rFonts w:ascii="宋体" w:hAnsi="宋体" w:eastAsia="宋体"/>
                <w:sz w:val="16"/>
              </w:rPr>
              <w:t>办公设备购置费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B90AA">
            <w:pPr>
              <w:jc w:val="center"/>
            </w:pPr>
            <w:r>
              <w:rPr>
                <w:rFonts w:ascii="宋体" w:hAnsi="宋体" w:eastAsia="宋体"/>
                <w:sz w:val="16"/>
              </w:rPr>
              <w:t>≤3万元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2928A">
            <w:pPr>
              <w:jc w:val="center"/>
            </w:pPr>
            <w:r>
              <w:rPr>
                <w:rFonts w:ascii="宋体" w:hAnsi="宋体" w:eastAsia="宋体"/>
                <w:sz w:val="16"/>
              </w:rPr>
              <w:t>=3万元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981915">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4F5B0C">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0BBD9">
            <w:pPr>
              <w:jc w:val="center"/>
            </w:pPr>
          </w:p>
        </w:tc>
      </w:tr>
      <w:tr w14:paraId="6729182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7D18E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66873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FE71E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4D4D6F">
            <w:pPr>
              <w:jc w:val="center"/>
            </w:pPr>
            <w:r>
              <w:rPr>
                <w:rFonts w:ascii="宋体" w:hAnsi="宋体" w:eastAsia="宋体"/>
                <w:sz w:val="16"/>
              </w:rPr>
              <w:t>国资国企管理人员培训差旅费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51C369">
            <w:pPr>
              <w:jc w:val="center"/>
            </w:pPr>
            <w:r>
              <w:rPr>
                <w:rFonts w:ascii="宋体" w:hAnsi="宋体" w:eastAsia="宋体"/>
                <w:sz w:val="16"/>
              </w:rPr>
              <w:t>≤5万元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11B9D">
            <w:pPr>
              <w:jc w:val="center"/>
            </w:pPr>
            <w:r>
              <w:rPr>
                <w:rFonts w:ascii="宋体" w:hAnsi="宋体" w:eastAsia="宋体"/>
                <w:sz w:val="16"/>
              </w:rPr>
              <w:t>=5万元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9D5520">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385B9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8F9368">
            <w:pPr>
              <w:jc w:val="center"/>
            </w:pPr>
          </w:p>
        </w:tc>
      </w:tr>
      <w:tr w14:paraId="6826314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44334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1C1BFF">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3D3CD3">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216D7">
            <w:pPr>
              <w:jc w:val="center"/>
            </w:pPr>
            <w:r>
              <w:rPr>
                <w:rFonts w:ascii="宋体" w:hAnsi="宋体" w:eastAsia="宋体"/>
                <w:sz w:val="16"/>
              </w:rPr>
              <w:t>提高办公效率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BCC10">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BFF14">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4023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D66E7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F77E9">
            <w:pPr>
              <w:jc w:val="center"/>
            </w:pPr>
          </w:p>
        </w:tc>
      </w:tr>
      <w:tr w14:paraId="670F96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47290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0DF9A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F055E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AB7C3">
            <w:pPr>
              <w:jc w:val="center"/>
            </w:pPr>
            <w:r>
              <w:rPr>
                <w:rFonts w:ascii="宋体" w:hAnsi="宋体" w:eastAsia="宋体"/>
                <w:sz w:val="16"/>
              </w:rPr>
              <w:t>提高单位服务能力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D030A">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EDD7E1">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6A9A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7BF8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0A2BDC">
            <w:pPr>
              <w:jc w:val="center"/>
            </w:pPr>
          </w:p>
        </w:tc>
      </w:tr>
      <w:tr w14:paraId="7F62800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D8E24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9A15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5B32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83E8C">
            <w:pPr>
              <w:jc w:val="center"/>
            </w:pPr>
            <w:r>
              <w:rPr>
                <w:rFonts w:ascii="宋体" w:hAnsi="宋体" w:eastAsia="宋体"/>
                <w:sz w:val="16"/>
              </w:rPr>
              <w:t>受益职工满意度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44AAA5">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4EFAD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F375B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27CAA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F11352">
            <w:pPr>
              <w:jc w:val="center"/>
            </w:pPr>
          </w:p>
        </w:tc>
      </w:tr>
      <w:tr w14:paraId="4F825D7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FCF5D">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D877B6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5E625">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1C031C2">
            <w:pPr>
              <w:jc w:val="center"/>
            </w:pPr>
            <w:r>
              <w:rPr>
                <w:rFonts w:ascii="宋体" w:hAnsi="宋体" w:eastAsia="宋体"/>
                <w:sz w:val="16"/>
              </w:rPr>
              <w:t>100分</w:t>
            </w:r>
          </w:p>
        </w:tc>
      </w:tr>
    </w:tbl>
    <w:p w14:paraId="53E4A81B">
      <w:r>
        <w:br w:type="page"/>
      </w:r>
    </w:p>
    <w:p w14:paraId="232A093D"/>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D304D64">
        <w:tblPrEx>
          <w:tblCellMar>
            <w:top w:w="0" w:type="dxa"/>
            <w:left w:w="108" w:type="dxa"/>
            <w:bottom w:w="0" w:type="dxa"/>
            <w:right w:w="108" w:type="dxa"/>
          </w:tblCellMar>
        </w:tblPrEx>
        <w:tc>
          <w:tcPr>
            <w:tcW w:w="8847" w:type="dxa"/>
            <w:gridSpan w:val="9"/>
            <w:vAlign w:val="center"/>
          </w:tcPr>
          <w:p w14:paraId="6411F77F">
            <w:pPr>
              <w:jc w:val="center"/>
            </w:pPr>
            <w:r>
              <w:rPr>
                <w:rFonts w:ascii="宋体" w:hAnsi="宋体" w:eastAsia="宋体"/>
                <w:sz w:val="24"/>
              </w:rPr>
              <w:t>项目支出绩效自评表</w:t>
            </w:r>
          </w:p>
        </w:tc>
      </w:tr>
      <w:tr w14:paraId="09C8BEF5">
        <w:tblPrEx>
          <w:tblCellMar>
            <w:top w:w="0" w:type="dxa"/>
            <w:left w:w="108" w:type="dxa"/>
            <w:bottom w:w="0" w:type="dxa"/>
            <w:right w:w="108" w:type="dxa"/>
          </w:tblCellMar>
        </w:tblPrEx>
        <w:tc>
          <w:tcPr>
            <w:tcW w:w="8847" w:type="dxa"/>
            <w:gridSpan w:val="9"/>
            <w:vAlign w:val="center"/>
          </w:tcPr>
          <w:p w14:paraId="1202932B">
            <w:pPr>
              <w:jc w:val="center"/>
            </w:pPr>
            <w:r>
              <w:rPr>
                <w:rFonts w:ascii="宋体" w:hAnsi="宋体" w:eastAsia="宋体"/>
                <w:sz w:val="24"/>
              </w:rPr>
              <w:t>(2024年度)</w:t>
            </w:r>
          </w:p>
        </w:tc>
      </w:tr>
      <w:tr w14:paraId="29BC849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C1173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8A2C241">
            <w:pPr>
              <w:jc w:val="center"/>
            </w:pPr>
            <w:r>
              <w:rPr>
                <w:rFonts w:ascii="宋体" w:hAnsi="宋体" w:eastAsia="宋体"/>
                <w:sz w:val="16"/>
              </w:rPr>
              <w:t>机场改扩建工程偿还本金项目</w:t>
            </w:r>
          </w:p>
        </w:tc>
      </w:tr>
      <w:tr w14:paraId="63F55BA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B5ECD9">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F14699F">
            <w:pPr>
              <w:jc w:val="center"/>
            </w:pPr>
            <w:r>
              <w:rPr>
                <w:rFonts w:ascii="宋体" w:hAnsi="宋体" w:eastAsia="宋体"/>
                <w:sz w:val="16"/>
              </w:rPr>
              <w:t>和田地区国有资产监督管理委员会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41086">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3B90874">
            <w:pPr>
              <w:jc w:val="center"/>
            </w:pPr>
            <w:r>
              <w:rPr>
                <w:rFonts w:ascii="宋体" w:hAnsi="宋体" w:eastAsia="宋体"/>
                <w:sz w:val="16"/>
              </w:rPr>
              <w:t>和田地区国有资产监督管理委员会</w:t>
            </w:r>
          </w:p>
        </w:tc>
      </w:tr>
      <w:tr w14:paraId="25AC5F4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7924F3">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C55F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96E42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8EC2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52840">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D6A5C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1816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39376C">
            <w:pPr>
              <w:jc w:val="center"/>
            </w:pPr>
            <w:r>
              <w:rPr>
                <w:rFonts w:ascii="宋体" w:hAnsi="宋体" w:eastAsia="宋体"/>
                <w:sz w:val="16"/>
              </w:rPr>
              <w:t>得分</w:t>
            </w:r>
          </w:p>
        </w:tc>
      </w:tr>
      <w:tr w14:paraId="7EBA14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AC7BC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23F42">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738B9">
            <w:pPr>
              <w:jc w:val="center"/>
            </w:pPr>
            <w:r>
              <w:rPr>
                <w:rFonts w:ascii="宋体" w:hAnsi="宋体" w:eastAsia="宋体"/>
                <w:sz w:val="16"/>
              </w:rPr>
              <w:t>52.57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FBBB8">
            <w:pPr>
              <w:jc w:val="center"/>
            </w:pPr>
            <w:r>
              <w:rPr>
                <w:rFonts w:ascii="宋体" w:hAnsi="宋体" w:eastAsia="宋体"/>
                <w:sz w:val="16"/>
              </w:rPr>
              <w:t>52.57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F3AD5">
            <w:pPr>
              <w:jc w:val="center"/>
            </w:pPr>
            <w:r>
              <w:rPr>
                <w:rFonts w:ascii="宋体" w:hAnsi="宋体" w:eastAsia="宋体"/>
                <w:sz w:val="16"/>
              </w:rPr>
              <w:t>52.57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CCB0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F601F">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32265">
            <w:pPr>
              <w:jc w:val="center"/>
            </w:pPr>
            <w:r>
              <w:rPr>
                <w:rFonts w:ascii="宋体" w:hAnsi="宋体" w:eastAsia="宋体"/>
                <w:sz w:val="16"/>
              </w:rPr>
              <w:t>10.00分</w:t>
            </w:r>
          </w:p>
        </w:tc>
      </w:tr>
      <w:tr w14:paraId="566316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8FA3C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164CD">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646802">
            <w:pPr>
              <w:jc w:val="center"/>
            </w:pPr>
            <w:r>
              <w:rPr>
                <w:rFonts w:ascii="宋体" w:hAnsi="宋体" w:eastAsia="宋体"/>
                <w:sz w:val="16"/>
              </w:rPr>
              <w:t>52.57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A08C5">
            <w:pPr>
              <w:jc w:val="center"/>
            </w:pPr>
            <w:r>
              <w:rPr>
                <w:rFonts w:ascii="宋体" w:hAnsi="宋体" w:eastAsia="宋体"/>
                <w:sz w:val="16"/>
              </w:rPr>
              <w:t>52.57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684E55">
            <w:pPr>
              <w:jc w:val="center"/>
            </w:pPr>
            <w:r>
              <w:rPr>
                <w:rFonts w:ascii="宋体" w:hAnsi="宋体" w:eastAsia="宋体"/>
                <w:sz w:val="16"/>
              </w:rPr>
              <w:t>52.57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DEB97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34A75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92691">
            <w:pPr>
              <w:jc w:val="center"/>
            </w:pPr>
            <w:r>
              <w:rPr>
                <w:rFonts w:ascii="宋体" w:hAnsi="宋体" w:eastAsia="宋体"/>
                <w:sz w:val="16"/>
              </w:rPr>
              <w:t>—</w:t>
            </w:r>
          </w:p>
        </w:tc>
      </w:tr>
      <w:tr w14:paraId="22A34A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3B586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9DD73">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DA3B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80374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054E9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529C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DC33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22CAD1">
            <w:pPr>
              <w:jc w:val="center"/>
            </w:pPr>
            <w:r>
              <w:rPr>
                <w:rFonts w:ascii="宋体" w:hAnsi="宋体" w:eastAsia="宋体"/>
                <w:sz w:val="16"/>
              </w:rPr>
              <w:t>—</w:t>
            </w:r>
          </w:p>
        </w:tc>
      </w:tr>
      <w:tr w14:paraId="24FAE8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BE77A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49A4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171EC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A42A4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1ED4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D03EF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C446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54E00">
            <w:pPr>
              <w:jc w:val="center"/>
            </w:pPr>
            <w:r>
              <w:rPr>
                <w:rFonts w:ascii="宋体" w:hAnsi="宋体" w:eastAsia="宋体"/>
                <w:sz w:val="16"/>
              </w:rPr>
              <w:t>—</w:t>
            </w:r>
          </w:p>
        </w:tc>
      </w:tr>
      <w:tr w14:paraId="398A154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BD2C4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4DF129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EAFA4C">
            <w:pPr>
              <w:jc w:val="center"/>
            </w:pPr>
            <w:r>
              <w:rPr>
                <w:rFonts w:ascii="宋体" w:hAnsi="宋体" w:eastAsia="宋体"/>
                <w:sz w:val="16"/>
              </w:rPr>
              <w:t>实际完成情况</w:t>
            </w:r>
          </w:p>
        </w:tc>
      </w:tr>
      <w:tr w14:paraId="6F4F2C0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B2025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162B99F">
            <w:pPr>
              <w:jc w:val="both"/>
            </w:pPr>
            <w:r>
              <w:rPr>
                <w:rFonts w:ascii="宋体" w:hAnsi="宋体" w:eastAsia="宋体"/>
                <w:sz w:val="16"/>
              </w:rPr>
              <w:t>项目总投资52.57万元，确保和田玉鑫国有投资经营有限责任公司将剩余本金40万元及利息12.57万元在2024年及时足额进行偿还，保证其投资收益和股权回购并长期保障用款人债务履行信誉度，使受益企业满意度达到100%。</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E649BD">
            <w:pPr>
              <w:jc w:val="both"/>
            </w:pPr>
            <w:r>
              <w:rPr>
                <w:rFonts w:hint="eastAsia" w:ascii="宋体" w:hAnsi="宋体"/>
                <w:sz w:val="16"/>
                <w:lang w:eastAsia="zh-CN"/>
              </w:rPr>
              <w:t>截至</w:t>
            </w:r>
            <w:r>
              <w:rPr>
                <w:rFonts w:ascii="宋体" w:hAnsi="宋体" w:eastAsia="宋体"/>
                <w:sz w:val="16"/>
              </w:rPr>
              <w:t>2024年12月31日，本项目实际形成支出52.57万元，本项目已完成偿还本金项目企业个数1个等任务，初步达到了保障债务履行信用度等效益，受益偿还本金企业满意度达到100%。</w:t>
            </w:r>
          </w:p>
        </w:tc>
      </w:tr>
      <w:tr w14:paraId="178B892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EEEA98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5E37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CFD73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BC8B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0C941">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E695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703D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A44648">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70F6B">
            <w:pPr>
              <w:jc w:val="center"/>
            </w:pPr>
            <w:r>
              <w:rPr>
                <w:rFonts w:ascii="宋体" w:hAnsi="宋体" w:eastAsia="宋体"/>
                <w:sz w:val="16"/>
              </w:rPr>
              <w:t>偏差原因分析及改进措施</w:t>
            </w:r>
          </w:p>
        </w:tc>
      </w:tr>
      <w:tr w14:paraId="0D7645B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1121C4">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F4876E">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CE1EE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7B372">
            <w:pPr>
              <w:jc w:val="center"/>
            </w:pPr>
            <w:r>
              <w:rPr>
                <w:rFonts w:ascii="宋体" w:hAnsi="宋体" w:eastAsia="宋体"/>
                <w:sz w:val="16"/>
              </w:rPr>
              <w:t>涉及偿还本金项</w:t>
            </w:r>
            <w:r>
              <w:rPr>
                <w:rFonts w:hint="eastAsia" w:ascii="宋体" w:hAnsi="宋体"/>
                <w:sz w:val="16"/>
                <w:lang w:eastAsia="zh-CN"/>
              </w:rPr>
              <w:t>目的</w:t>
            </w:r>
            <w:r>
              <w:rPr>
                <w:rFonts w:ascii="宋体" w:hAnsi="宋体" w:eastAsia="宋体"/>
                <w:sz w:val="16"/>
              </w:rPr>
              <w:t>企业个数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2AEE6">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95F18">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5D4406">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380702">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D7C71">
            <w:pPr>
              <w:jc w:val="center"/>
            </w:pPr>
          </w:p>
        </w:tc>
      </w:tr>
      <w:tr w14:paraId="7DFC9A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095B9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ACB5F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82317">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77BCAE">
            <w:pPr>
              <w:jc w:val="center"/>
            </w:pPr>
            <w:r>
              <w:rPr>
                <w:rFonts w:ascii="宋体" w:hAnsi="宋体" w:eastAsia="宋体"/>
                <w:sz w:val="16"/>
              </w:rPr>
              <w:t>依据《国开发展基金投资协议》约定利率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086916">
            <w:pPr>
              <w:jc w:val="center"/>
            </w:pPr>
            <w:r>
              <w:rPr>
                <w:rFonts w:ascii="宋体" w:hAnsi="宋体" w:eastAsia="宋体"/>
                <w:sz w:val="16"/>
              </w:rPr>
              <w:t>=1.50%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93163">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2545A">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398A1">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442DCA">
            <w:pPr>
              <w:jc w:val="center"/>
            </w:pPr>
          </w:p>
        </w:tc>
      </w:tr>
      <w:tr w14:paraId="4EACA0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4693C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EF765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AE75A5">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3E7555">
            <w:pPr>
              <w:jc w:val="center"/>
            </w:pPr>
            <w:r>
              <w:rPr>
                <w:rFonts w:ascii="宋体" w:hAnsi="宋体" w:eastAsia="宋体"/>
                <w:sz w:val="16"/>
              </w:rPr>
              <w:t>合同履行完成率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C946C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32606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8EC04">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68BE6">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B4685">
            <w:pPr>
              <w:jc w:val="center"/>
            </w:pPr>
          </w:p>
        </w:tc>
      </w:tr>
      <w:tr w14:paraId="429F8E1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28916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BCA97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8688A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9B92F">
            <w:pPr>
              <w:jc w:val="center"/>
            </w:pPr>
            <w:r>
              <w:rPr>
                <w:rFonts w:ascii="宋体" w:hAnsi="宋体" w:eastAsia="宋体"/>
                <w:sz w:val="16"/>
              </w:rPr>
              <w:t>本金偿还足额支付及时率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9F1E2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C4AE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67CBF">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045E4">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3B0B8F">
            <w:pPr>
              <w:jc w:val="center"/>
            </w:pPr>
          </w:p>
        </w:tc>
      </w:tr>
      <w:tr w14:paraId="520FD3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D9DF4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82E47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952B8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6FEC6">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F2B23">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AFFE0C">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F04E4">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2FB08">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7904A">
            <w:pPr>
              <w:jc w:val="center"/>
            </w:pPr>
          </w:p>
        </w:tc>
      </w:tr>
      <w:tr w14:paraId="2D98F1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50A27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837E7F">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6E6222">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D63B5">
            <w:pPr>
              <w:jc w:val="center"/>
            </w:pPr>
            <w:r>
              <w:rPr>
                <w:rFonts w:ascii="宋体" w:hAnsi="宋体" w:eastAsia="宋体"/>
                <w:sz w:val="16"/>
              </w:rPr>
              <w:t>偿还2024年项目利息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482B6">
            <w:pPr>
              <w:jc w:val="center"/>
            </w:pPr>
            <w:r>
              <w:rPr>
                <w:rFonts w:ascii="宋体" w:hAnsi="宋体" w:eastAsia="宋体"/>
                <w:sz w:val="16"/>
              </w:rPr>
              <w:t>≤12.57万元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06B6A">
            <w:pPr>
              <w:jc w:val="center"/>
            </w:pPr>
            <w:r>
              <w:rPr>
                <w:rFonts w:ascii="宋体" w:hAnsi="宋体" w:eastAsia="宋体"/>
                <w:sz w:val="16"/>
              </w:rPr>
              <w:t>=12.57万元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0F702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3EC8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55718">
            <w:pPr>
              <w:jc w:val="center"/>
            </w:pPr>
          </w:p>
        </w:tc>
      </w:tr>
      <w:tr w14:paraId="11D89A3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75A5E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81715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8C38E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3BF93F">
            <w:pPr>
              <w:jc w:val="center"/>
            </w:pPr>
            <w:r>
              <w:rPr>
                <w:rFonts w:ascii="宋体" w:hAnsi="宋体" w:eastAsia="宋体"/>
                <w:sz w:val="16"/>
              </w:rPr>
              <w:t>偿还2024年项目本金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B9C8F">
            <w:pPr>
              <w:jc w:val="center"/>
            </w:pPr>
            <w:r>
              <w:rPr>
                <w:rFonts w:ascii="宋体" w:hAnsi="宋体" w:eastAsia="宋体"/>
                <w:sz w:val="16"/>
              </w:rPr>
              <w:t>≤40万元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AF328">
            <w:pPr>
              <w:jc w:val="center"/>
            </w:pPr>
            <w:r>
              <w:rPr>
                <w:rFonts w:ascii="宋体" w:hAnsi="宋体" w:eastAsia="宋体"/>
                <w:sz w:val="16"/>
              </w:rPr>
              <w:t>=40万元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3667F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56AEF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B7DBD4">
            <w:pPr>
              <w:jc w:val="center"/>
            </w:pPr>
          </w:p>
        </w:tc>
      </w:tr>
      <w:tr w14:paraId="0C0138B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55A39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32636">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DCA6D">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E45DD">
            <w:pPr>
              <w:jc w:val="center"/>
            </w:pPr>
            <w:r>
              <w:rPr>
                <w:rFonts w:ascii="宋体" w:hAnsi="宋体" w:eastAsia="宋体"/>
                <w:sz w:val="16"/>
              </w:rPr>
              <w:t>长期保障债务履行信用度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71122E">
            <w:pPr>
              <w:jc w:val="center"/>
            </w:pPr>
            <w:r>
              <w:rPr>
                <w:rFonts w:ascii="宋体" w:hAnsi="宋体" w:eastAsia="宋体"/>
                <w:sz w:val="16"/>
              </w:rPr>
              <w:t>长期保障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B3CA3B">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4308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AA0E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BF474">
            <w:pPr>
              <w:jc w:val="center"/>
            </w:pPr>
          </w:p>
        </w:tc>
      </w:tr>
      <w:tr w14:paraId="04A758E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76E6D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40AC4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10024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B49C49">
            <w:pPr>
              <w:jc w:val="center"/>
            </w:pPr>
            <w:r>
              <w:rPr>
                <w:rFonts w:ascii="宋体" w:hAnsi="宋体" w:eastAsia="宋体"/>
                <w:sz w:val="16"/>
              </w:rPr>
              <w:t>受益偿还本金企业满意度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F4B1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851B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9D771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57C1B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DBB02">
            <w:pPr>
              <w:jc w:val="center"/>
            </w:pPr>
          </w:p>
        </w:tc>
      </w:tr>
      <w:tr w14:paraId="09D67E4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F6442">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2C7EF5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330E8">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E630C54">
            <w:pPr>
              <w:jc w:val="center"/>
            </w:pPr>
            <w:r>
              <w:rPr>
                <w:rFonts w:ascii="宋体" w:hAnsi="宋体" w:eastAsia="宋体"/>
                <w:sz w:val="16"/>
              </w:rPr>
              <w:t>100分</w:t>
            </w:r>
          </w:p>
        </w:tc>
      </w:tr>
    </w:tbl>
    <w:p w14:paraId="365C1D47">
      <w:r>
        <w:br w:type="page"/>
      </w:r>
    </w:p>
    <w:p w14:paraId="5E7D69B8"/>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97CC13B">
        <w:tblPrEx>
          <w:tblCellMar>
            <w:top w:w="0" w:type="dxa"/>
            <w:left w:w="108" w:type="dxa"/>
            <w:bottom w:w="0" w:type="dxa"/>
            <w:right w:w="108" w:type="dxa"/>
          </w:tblCellMar>
        </w:tblPrEx>
        <w:tc>
          <w:tcPr>
            <w:tcW w:w="8847" w:type="dxa"/>
            <w:gridSpan w:val="9"/>
            <w:vAlign w:val="center"/>
          </w:tcPr>
          <w:p w14:paraId="6E61BC8F">
            <w:pPr>
              <w:jc w:val="center"/>
            </w:pPr>
            <w:r>
              <w:rPr>
                <w:rFonts w:ascii="宋体" w:hAnsi="宋体" w:eastAsia="宋体"/>
                <w:sz w:val="24"/>
              </w:rPr>
              <w:t>项目支出绩效自评表</w:t>
            </w:r>
          </w:p>
        </w:tc>
      </w:tr>
      <w:tr w14:paraId="5D944E51">
        <w:tblPrEx>
          <w:tblCellMar>
            <w:top w:w="0" w:type="dxa"/>
            <w:left w:w="108" w:type="dxa"/>
            <w:bottom w:w="0" w:type="dxa"/>
            <w:right w:w="108" w:type="dxa"/>
          </w:tblCellMar>
        </w:tblPrEx>
        <w:tc>
          <w:tcPr>
            <w:tcW w:w="8847" w:type="dxa"/>
            <w:gridSpan w:val="9"/>
            <w:vAlign w:val="center"/>
          </w:tcPr>
          <w:p w14:paraId="4598FDDF">
            <w:pPr>
              <w:jc w:val="center"/>
            </w:pPr>
            <w:r>
              <w:rPr>
                <w:rFonts w:ascii="宋体" w:hAnsi="宋体" w:eastAsia="宋体"/>
                <w:sz w:val="24"/>
              </w:rPr>
              <w:t>(2024年度)</w:t>
            </w:r>
          </w:p>
        </w:tc>
      </w:tr>
      <w:tr w14:paraId="3694C14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E7543">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25ADA36">
            <w:pPr>
              <w:jc w:val="center"/>
            </w:pPr>
            <w:r>
              <w:rPr>
                <w:rFonts w:ascii="宋体" w:hAnsi="宋体" w:eastAsia="宋体"/>
                <w:sz w:val="16"/>
              </w:rPr>
              <w:t>注册资本金2</w:t>
            </w:r>
          </w:p>
        </w:tc>
      </w:tr>
      <w:tr w14:paraId="20DA8F3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84B6CD">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3809D8F">
            <w:pPr>
              <w:jc w:val="center"/>
            </w:pPr>
            <w:r>
              <w:rPr>
                <w:rFonts w:ascii="宋体" w:hAnsi="宋体" w:eastAsia="宋体"/>
                <w:sz w:val="16"/>
              </w:rPr>
              <w:t>和田地区国有资产监督管理委员会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F9A81">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5FFC8A4">
            <w:pPr>
              <w:jc w:val="center"/>
            </w:pPr>
            <w:r>
              <w:rPr>
                <w:rFonts w:ascii="宋体" w:hAnsi="宋体" w:eastAsia="宋体"/>
                <w:sz w:val="16"/>
              </w:rPr>
              <w:t>和田地区国有资产监督管理委员会</w:t>
            </w:r>
          </w:p>
        </w:tc>
      </w:tr>
      <w:tr w14:paraId="3801302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178C61">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FCBF2">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24534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F4A9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E94D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B4279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2CE6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2239E4">
            <w:pPr>
              <w:jc w:val="center"/>
            </w:pPr>
            <w:r>
              <w:rPr>
                <w:rFonts w:ascii="宋体" w:hAnsi="宋体" w:eastAsia="宋体"/>
                <w:sz w:val="16"/>
              </w:rPr>
              <w:t>得分</w:t>
            </w:r>
          </w:p>
        </w:tc>
      </w:tr>
      <w:tr w14:paraId="4E9282B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DE23E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C83BE">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1FB2D4">
            <w:pPr>
              <w:jc w:val="center"/>
            </w:pPr>
            <w:r>
              <w:rPr>
                <w:rFonts w:ascii="宋体" w:hAnsi="宋体" w:eastAsia="宋体"/>
                <w:sz w:val="16"/>
              </w:rPr>
              <w:t>4,000.00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17D27">
            <w:pPr>
              <w:jc w:val="center"/>
            </w:pPr>
            <w:r>
              <w:rPr>
                <w:rFonts w:ascii="宋体" w:hAnsi="宋体" w:eastAsia="宋体"/>
                <w:sz w:val="16"/>
              </w:rPr>
              <w:t>4,000.00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2E838">
            <w:pPr>
              <w:jc w:val="center"/>
            </w:pPr>
            <w:r>
              <w:rPr>
                <w:rFonts w:ascii="宋体" w:hAnsi="宋体" w:eastAsia="宋体"/>
                <w:sz w:val="16"/>
              </w:rPr>
              <w:t>4,000.00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F496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86659">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C34252">
            <w:pPr>
              <w:jc w:val="center"/>
            </w:pPr>
            <w:r>
              <w:rPr>
                <w:rFonts w:ascii="宋体" w:hAnsi="宋体" w:eastAsia="宋体"/>
                <w:sz w:val="16"/>
              </w:rPr>
              <w:t>10.00分</w:t>
            </w:r>
          </w:p>
        </w:tc>
      </w:tr>
      <w:tr w14:paraId="7D99B9F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127FB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A17BE">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8A426">
            <w:pPr>
              <w:jc w:val="center"/>
            </w:pPr>
            <w:r>
              <w:rPr>
                <w:rFonts w:ascii="宋体" w:hAnsi="宋体" w:eastAsia="宋体"/>
                <w:sz w:val="16"/>
              </w:rPr>
              <w:t>4,000.00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F6FC2">
            <w:pPr>
              <w:jc w:val="center"/>
            </w:pPr>
            <w:r>
              <w:rPr>
                <w:rFonts w:ascii="宋体" w:hAnsi="宋体" w:eastAsia="宋体"/>
                <w:sz w:val="16"/>
              </w:rPr>
              <w:t>4,000.00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01374">
            <w:pPr>
              <w:jc w:val="center"/>
            </w:pPr>
            <w:r>
              <w:rPr>
                <w:rFonts w:ascii="宋体" w:hAnsi="宋体" w:eastAsia="宋体"/>
                <w:sz w:val="16"/>
              </w:rPr>
              <w:t>4,000.00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1AE5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2C566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220EFF">
            <w:pPr>
              <w:jc w:val="center"/>
            </w:pPr>
            <w:r>
              <w:rPr>
                <w:rFonts w:ascii="宋体" w:hAnsi="宋体" w:eastAsia="宋体"/>
                <w:sz w:val="16"/>
              </w:rPr>
              <w:t>—</w:t>
            </w:r>
          </w:p>
        </w:tc>
      </w:tr>
      <w:tr w14:paraId="0F432A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15C8E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66DEF">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B8E8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81DC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CAC29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24594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F6EC1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2C5E5">
            <w:pPr>
              <w:jc w:val="center"/>
            </w:pPr>
            <w:r>
              <w:rPr>
                <w:rFonts w:ascii="宋体" w:hAnsi="宋体" w:eastAsia="宋体"/>
                <w:sz w:val="16"/>
              </w:rPr>
              <w:t>—</w:t>
            </w:r>
          </w:p>
        </w:tc>
      </w:tr>
      <w:tr w14:paraId="5855C74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77244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75B32">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2C946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D193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AB8E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A544F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5BB5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0D54E">
            <w:pPr>
              <w:jc w:val="center"/>
            </w:pPr>
            <w:r>
              <w:rPr>
                <w:rFonts w:ascii="宋体" w:hAnsi="宋体" w:eastAsia="宋体"/>
                <w:sz w:val="16"/>
              </w:rPr>
              <w:t>—</w:t>
            </w:r>
          </w:p>
        </w:tc>
      </w:tr>
      <w:tr w14:paraId="2199BAA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3BC75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1F24A9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19C102">
            <w:pPr>
              <w:jc w:val="center"/>
            </w:pPr>
            <w:r>
              <w:rPr>
                <w:rFonts w:ascii="宋体" w:hAnsi="宋体" w:eastAsia="宋体"/>
                <w:sz w:val="16"/>
              </w:rPr>
              <w:t>实际完成情况</w:t>
            </w:r>
          </w:p>
        </w:tc>
      </w:tr>
      <w:tr w14:paraId="30E4696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76833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D2E78AF">
            <w:pPr>
              <w:jc w:val="both"/>
            </w:pPr>
            <w:r>
              <w:rPr>
                <w:rFonts w:ascii="宋体" w:hAnsi="宋体" w:eastAsia="宋体"/>
                <w:sz w:val="16"/>
              </w:rPr>
              <w:t>根据第四次财委会会议精神，按照《</w:t>
            </w:r>
            <w:r>
              <w:rPr>
                <w:rFonts w:hint="eastAsia" w:ascii="宋体" w:hAnsi="宋体"/>
                <w:sz w:val="16"/>
                <w:lang w:eastAsia="zh-CN"/>
              </w:rPr>
              <w:t>中华人民共和国公司法</w:t>
            </w:r>
            <w:r>
              <w:rPr>
                <w:rFonts w:ascii="宋体" w:hAnsi="宋体" w:eastAsia="宋体"/>
                <w:sz w:val="16"/>
              </w:rPr>
              <w:t>》规定及各公司开展业务需要，地方财政给地区国有企业拨付4000万元注册资本金确保企业平稳运营，涉及1家企业，目标资金使用合规率达到100%，资金拨付及时率达到100%，资金支持企业满意度达到95%以上。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A85447">
            <w:pPr>
              <w:jc w:val="both"/>
            </w:pPr>
            <w:r>
              <w:rPr>
                <w:rFonts w:hint="eastAsia" w:ascii="宋体" w:hAnsi="宋体"/>
                <w:sz w:val="16"/>
                <w:lang w:eastAsia="zh-CN"/>
              </w:rPr>
              <w:t>截至</w:t>
            </w:r>
            <w:r>
              <w:rPr>
                <w:rFonts w:ascii="宋体" w:hAnsi="宋体" w:eastAsia="宋体"/>
                <w:sz w:val="16"/>
              </w:rPr>
              <w:t>2024年12月31日，本项目实际形成支出4000万元，本项目已完成投资1家企业的任务，达到了确保企业平稳运营的效益，受益企业满意度达到100%。</w:t>
            </w:r>
          </w:p>
        </w:tc>
      </w:tr>
      <w:tr w14:paraId="52FB8B1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C7699F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8D193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D27FC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F994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13AB4E">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0529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6A046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7454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42D47">
            <w:pPr>
              <w:jc w:val="center"/>
            </w:pPr>
            <w:r>
              <w:rPr>
                <w:rFonts w:ascii="宋体" w:hAnsi="宋体" w:eastAsia="宋体"/>
                <w:sz w:val="16"/>
              </w:rPr>
              <w:t>偏差原因分析及改进措施</w:t>
            </w:r>
          </w:p>
        </w:tc>
      </w:tr>
      <w:tr w14:paraId="00FD1DA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FF07C8">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9ECC9C">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4AE8F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B9E073">
            <w:pPr>
              <w:jc w:val="center"/>
            </w:pPr>
            <w:r>
              <w:rPr>
                <w:rFonts w:ascii="宋体" w:hAnsi="宋体" w:eastAsia="宋体"/>
                <w:sz w:val="16"/>
              </w:rPr>
              <w:t>支持企业数量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A1725">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A64DA">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2639B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0515E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29A28A">
            <w:pPr>
              <w:jc w:val="center"/>
            </w:pPr>
          </w:p>
        </w:tc>
      </w:tr>
      <w:tr w14:paraId="6274F1B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2F372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8B198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2F30FE">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BED9A1">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6D93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FF421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CF5F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12036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02E5D">
            <w:pPr>
              <w:jc w:val="center"/>
            </w:pPr>
          </w:p>
        </w:tc>
      </w:tr>
      <w:tr w14:paraId="147C81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633CA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6842C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2FAF7D">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D00473">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201A8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4C85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C7AD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80ED7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8D459B">
            <w:pPr>
              <w:jc w:val="center"/>
            </w:pPr>
          </w:p>
        </w:tc>
      </w:tr>
      <w:tr w14:paraId="59C154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26C70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ACEB2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77DBC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D6540">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FE3CA">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CE904">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4313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2D87C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D5624E">
            <w:pPr>
              <w:jc w:val="center"/>
            </w:pPr>
          </w:p>
        </w:tc>
      </w:tr>
      <w:tr w14:paraId="52B9790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0FB0E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B273DB">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EC7DF4">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BE2533">
            <w:pPr>
              <w:jc w:val="center"/>
            </w:pPr>
            <w:r>
              <w:rPr>
                <w:rFonts w:ascii="宋体" w:hAnsi="宋体" w:eastAsia="宋体"/>
                <w:sz w:val="16"/>
              </w:rPr>
              <w:t>注册资金成本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0A5AF6">
            <w:pPr>
              <w:jc w:val="center"/>
            </w:pPr>
            <w:r>
              <w:rPr>
                <w:rFonts w:ascii="宋体" w:hAnsi="宋体" w:eastAsia="宋体"/>
                <w:sz w:val="16"/>
              </w:rPr>
              <w:t>≤4000万元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F846AE">
            <w:pPr>
              <w:jc w:val="center"/>
            </w:pPr>
            <w:r>
              <w:rPr>
                <w:rFonts w:ascii="宋体" w:hAnsi="宋体" w:eastAsia="宋体"/>
                <w:sz w:val="16"/>
              </w:rPr>
              <w:t>=4000万元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BC65B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36476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17098">
            <w:pPr>
              <w:jc w:val="center"/>
            </w:pPr>
          </w:p>
        </w:tc>
      </w:tr>
      <w:tr w14:paraId="2E8646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A4B25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B483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8438D">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3D6908">
            <w:pPr>
              <w:jc w:val="center"/>
            </w:pPr>
            <w:r>
              <w:rPr>
                <w:rFonts w:ascii="宋体" w:hAnsi="宋体" w:eastAsia="宋体"/>
                <w:sz w:val="16"/>
              </w:rPr>
              <w:t>社会服务能力提升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7FE356">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33450">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DF76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BF9A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D6926E">
            <w:pPr>
              <w:jc w:val="center"/>
            </w:pPr>
          </w:p>
        </w:tc>
      </w:tr>
      <w:tr w14:paraId="0611F8D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46499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434D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7AFA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1DEA4E">
            <w:pPr>
              <w:jc w:val="center"/>
            </w:pPr>
            <w:r>
              <w:rPr>
                <w:rFonts w:ascii="宋体" w:hAnsi="宋体" w:eastAsia="宋体"/>
                <w:sz w:val="16"/>
              </w:rPr>
              <w:t>受益企业满意度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8F0F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D3C4E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64EF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F9FB0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3C841">
            <w:pPr>
              <w:jc w:val="center"/>
            </w:pPr>
          </w:p>
        </w:tc>
      </w:tr>
      <w:tr w14:paraId="0901F6B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56901">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04F22B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DD3EF2">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64CF99F">
            <w:pPr>
              <w:jc w:val="center"/>
            </w:pPr>
            <w:r>
              <w:rPr>
                <w:rFonts w:ascii="宋体" w:hAnsi="宋体" w:eastAsia="宋体"/>
                <w:sz w:val="16"/>
              </w:rPr>
              <w:t>100分</w:t>
            </w:r>
          </w:p>
        </w:tc>
      </w:tr>
    </w:tbl>
    <w:p w14:paraId="5060EB4C">
      <w:r>
        <w:br w:type="page"/>
      </w:r>
    </w:p>
    <w:p w14:paraId="0186EB8F">
      <w:pPr>
        <w:spacing w:line="640" w:lineRule="exact"/>
        <w:ind w:firstLine="640"/>
        <w:jc w:val="both"/>
        <w:outlineLvl w:val="2"/>
      </w:pPr>
      <w:r>
        <w:rPr>
          <w:rFonts w:ascii="黑体" w:hAnsi="黑体" w:eastAsia="黑体"/>
          <w:sz w:val="32"/>
        </w:rPr>
        <w:t>十二、其他需说明的事项</w:t>
      </w:r>
    </w:p>
    <w:p w14:paraId="55B5B563">
      <w:pPr>
        <w:spacing w:line="580" w:lineRule="exact"/>
        <w:ind w:firstLine="640"/>
        <w:jc w:val="both"/>
      </w:pPr>
      <w:r>
        <w:rPr>
          <w:rFonts w:ascii="仿宋_GB2312" w:hAnsi="仿宋_GB2312" w:eastAsia="仿宋_GB2312"/>
          <w:b w:val="0"/>
          <w:sz w:val="32"/>
        </w:rPr>
        <w:t>本单位无其他需说明的事项。</w:t>
      </w:r>
    </w:p>
    <w:p w14:paraId="2D010560">
      <w:r>
        <w:br w:type="page"/>
      </w:r>
    </w:p>
    <w:p w14:paraId="0892FD84">
      <w:pPr>
        <w:spacing w:line="240" w:lineRule="auto"/>
        <w:jc w:val="center"/>
        <w:outlineLvl w:val="1"/>
      </w:pPr>
      <w:r>
        <w:rPr>
          <w:rFonts w:ascii="黑体" w:hAnsi="黑体" w:eastAsia="黑体"/>
          <w:sz w:val="32"/>
        </w:rPr>
        <w:t>第三部分 专业名词解释</w:t>
      </w:r>
    </w:p>
    <w:p w14:paraId="162DC9EA">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19709B7">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6A6DCF1">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6D73CB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55F79AB">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8FAAE44">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82FDB7E">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77263CE">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0D2ABD0">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E1DE989">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B4C3CB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7A3BDC5">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35B9AF2">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9D1249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B144BEA">
      <w:r>
        <w:br w:type="page"/>
      </w:r>
    </w:p>
    <w:p w14:paraId="50ECA306">
      <w:pPr>
        <w:spacing w:line="240" w:lineRule="auto"/>
        <w:jc w:val="center"/>
        <w:outlineLvl w:val="1"/>
      </w:pPr>
      <w:r>
        <w:rPr>
          <w:rFonts w:ascii="黑体" w:hAnsi="黑体" w:eastAsia="黑体"/>
          <w:sz w:val="32"/>
        </w:rPr>
        <w:t>第四部分 部门决算报表（见附表）</w:t>
      </w:r>
    </w:p>
    <w:p w14:paraId="3EF7870F">
      <w:pPr>
        <w:spacing w:line="240" w:lineRule="auto"/>
        <w:ind w:firstLine="640"/>
        <w:jc w:val="both"/>
      </w:pPr>
      <w:r>
        <w:rPr>
          <w:rFonts w:ascii="仿宋_GB2312" w:hAnsi="仿宋_GB2312" w:eastAsia="仿宋_GB2312"/>
          <w:b w:val="0"/>
          <w:sz w:val="32"/>
        </w:rPr>
        <w:t>一、《收入支出决算总表》</w:t>
      </w:r>
    </w:p>
    <w:p w14:paraId="3351C19F">
      <w:pPr>
        <w:spacing w:line="240" w:lineRule="auto"/>
        <w:ind w:firstLine="640"/>
        <w:jc w:val="both"/>
      </w:pPr>
      <w:r>
        <w:rPr>
          <w:rFonts w:ascii="仿宋_GB2312" w:hAnsi="仿宋_GB2312" w:eastAsia="仿宋_GB2312"/>
          <w:b w:val="0"/>
          <w:sz w:val="32"/>
        </w:rPr>
        <w:t>二、《收入决算表》</w:t>
      </w:r>
    </w:p>
    <w:p w14:paraId="33B3AFB1">
      <w:pPr>
        <w:spacing w:line="240" w:lineRule="auto"/>
        <w:ind w:firstLine="640"/>
        <w:jc w:val="both"/>
      </w:pPr>
      <w:r>
        <w:rPr>
          <w:rFonts w:ascii="仿宋_GB2312" w:hAnsi="仿宋_GB2312" w:eastAsia="仿宋_GB2312"/>
          <w:b w:val="0"/>
          <w:sz w:val="32"/>
        </w:rPr>
        <w:t>三、《支出决算表》</w:t>
      </w:r>
    </w:p>
    <w:p w14:paraId="28D6738A">
      <w:pPr>
        <w:spacing w:line="240" w:lineRule="auto"/>
        <w:ind w:firstLine="640"/>
        <w:jc w:val="both"/>
      </w:pPr>
      <w:r>
        <w:rPr>
          <w:rFonts w:ascii="仿宋_GB2312" w:hAnsi="仿宋_GB2312" w:eastAsia="仿宋_GB2312"/>
          <w:b w:val="0"/>
          <w:sz w:val="32"/>
        </w:rPr>
        <w:t>四、《财政拨款收入支出决算总表》</w:t>
      </w:r>
    </w:p>
    <w:p w14:paraId="12A0B385">
      <w:pPr>
        <w:spacing w:line="240" w:lineRule="auto"/>
        <w:ind w:firstLine="640"/>
        <w:jc w:val="both"/>
      </w:pPr>
      <w:r>
        <w:rPr>
          <w:rFonts w:ascii="仿宋_GB2312" w:hAnsi="仿宋_GB2312" w:eastAsia="仿宋_GB2312"/>
          <w:b w:val="0"/>
          <w:sz w:val="32"/>
        </w:rPr>
        <w:t>五、《一般公共预算财政拨款支出决算表》</w:t>
      </w:r>
    </w:p>
    <w:p w14:paraId="4D713325">
      <w:pPr>
        <w:spacing w:line="240" w:lineRule="auto"/>
        <w:ind w:firstLine="640"/>
        <w:jc w:val="both"/>
      </w:pPr>
      <w:r>
        <w:rPr>
          <w:rFonts w:ascii="仿宋_GB2312" w:hAnsi="仿宋_GB2312" w:eastAsia="仿宋_GB2312"/>
          <w:b w:val="0"/>
          <w:sz w:val="32"/>
        </w:rPr>
        <w:t>六、《一般公共预算财政拨款基本支出决算表》</w:t>
      </w:r>
    </w:p>
    <w:p w14:paraId="075FDA08">
      <w:pPr>
        <w:spacing w:line="240" w:lineRule="auto"/>
        <w:ind w:firstLine="640"/>
        <w:jc w:val="both"/>
      </w:pPr>
      <w:r>
        <w:rPr>
          <w:rFonts w:ascii="仿宋_GB2312" w:hAnsi="仿宋_GB2312" w:eastAsia="仿宋_GB2312"/>
          <w:b w:val="0"/>
          <w:sz w:val="32"/>
        </w:rPr>
        <w:t>七、《政府性基金预算财政拨款收入支出决算表》</w:t>
      </w:r>
    </w:p>
    <w:p w14:paraId="0E3FBDEB">
      <w:pPr>
        <w:spacing w:line="240" w:lineRule="auto"/>
        <w:ind w:firstLine="640"/>
        <w:jc w:val="both"/>
      </w:pPr>
      <w:r>
        <w:rPr>
          <w:rFonts w:ascii="仿宋_GB2312" w:hAnsi="仿宋_GB2312" w:eastAsia="仿宋_GB2312"/>
          <w:b w:val="0"/>
          <w:sz w:val="32"/>
        </w:rPr>
        <w:t>八、《国有资本经营预算财政拨款收入支出决算表》</w:t>
      </w:r>
    </w:p>
    <w:p w14:paraId="43FF4C7B">
      <w:pPr>
        <w:spacing w:line="240" w:lineRule="auto"/>
        <w:ind w:firstLine="640"/>
        <w:jc w:val="both"/>
      </w:pPr>
      <w:r>
        <w:rPr>
          <w:rFonts w:ascii="仿宋_GB2312" w:hAnsi="仿宋_GB2312" w:eastAsia="仿宋_GB2312"/>
          <w:b w:val="0"/>
          <w:sz w:val="32"/>
        </w:rPr>
        <w:t>九、《财政拨款“三公”经费支出决算表》</w:t>
      </w:r>
    </w:p>
    <w:p w14:paraId="1C53A9CF">
      <w:pPr>
        <w:spacing w:line="240" w:lineRule="auto"/>
        <w:ind w:firstLine="640"/>
        <w:jc w:val="both"/>
      </w:pPr>
    </w:p>
    <w:p w14:paraId="2B008BF4">
      <w:pPr>
        <w:spacing w:line="240" w:lineRule="auto"/>
        <w:ind w:firstLine="640"/>
        <w:jc w:val="both"/>
      </w:pPr>
    </w:p>
    <w:p w14:paraId="7D2D73E1">
      <w:pPr>
        <w:spacing w:line="240" w:lineRule="auto"/>
        <w:ind w:firstLine="640"/>
        <w:jc w:val="both"/>
      </w:pPr>
    </w:p>
    <w:p w14:paraId="1E88A678">
      <w:pPr>
        <w:spacing w:line="240" w:lineRule="auto"/>
        <w:ind w:firstLine="640"/>
        <w:jc w:val="both"/>
      </w:pPr>
    </w:p>
    <w:p w14:paraId="23993EC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027C45"/>
    <w:rsid w:val="0B8C3ECC"/>
    <w:rsid w:val="0C3613A3"/>
    <w:rsid w:val="0C7227A7"/>
    <w:rsid w:val="0DCA6EF7"/>
    <w:rsid w:val="0E4B1576"/>
    <w:rsid w:val="0EA04331"/>
    <w:rsid w:val="0F9811B3"/>
    <w:rsid w:val="11E15093"/>
    <w:rsid w:val="120E0809"/>
    <w:rsid w:val="14794591"/>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9B1349D"/>
    <w:rsid w:val="2A053397"/>
    <w:rsid w:val="2A444FB1"/>
    <w:rsid w:val="2A6064E2"/>
    <w:rsid w:val="2C1965E9"/>
    <w:rsid w:val="2D1136DF"/>
    <w:rsid w:val="2DAE0E44"/>
    <w:rsid w:val="2FD27414"/>
    <w:rsid w:val="313F1D52"/>
    <w:rsid w:val="318029AB"/>
    <w:rsid w:val="31C63837"/>
    <w:rsid w:val="31F3697B"/>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D9160A5"/>
    <w:rsid w:val="4F3F074E"/>
    <w:rsid w:val="50DB5F45"/>
    <w:rsid w:val="52F92565"/>
    <w:rsid w:val="543D17CB"/>
    <w:rsid w:val="55DA564E"/>
    <w:rsid w:val="55F51CA3"/>
    <w:rsid w:val="56E07045"/>
    <w:rsid w:val="583059FA"/>
    <w:rsid w:val="587E6212"/>
    <w:rsid w:val="5AFC6609"/>
    <w:rsid w:val="5FA17648"/>
    <w:rsid w:val="5FD320BD"/>
    <w:rsid w:val="60DE4D57"/>
    <w:rsid w:val="61333E65"/>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35</Pages>
  <Words>7480</Words>
  <Characters>8475</Characters>
  <Lines>0</Lines>
  <Paragraphs>0</Paragraphs>
  <TotalTime>61</TotalTime>
  <ScaleCrop>false</ScaleCrop>
  <LinksUpToDate>false</LinksUpToDate>
  <CharactersWithSpaces>8483</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2025-09-11T10:34:14Z</cp:lastPrinted>
  <dcterms:modified xsi:type="dcterms:W3CDTF">2025-09-11T10:42:33Z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