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64D636">
      <w:pPr>
        <w:spacing w:line="540" w:lineRule="exact"/>
        <w:jc w:val="left"/>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附件2：</w:t>
      </w:r>
    </w:p>
    <w:p w14:paraId="3CC361BE">
      <w:pPr>
        <w:spacing w:line="540" w:lineRule="exact"/>
        <w:jc w:val="center"/>
        <w:rPr>
          <w:rFonts w:hint="default" w:ascii="Times New Roman" w:hAnsi="Times New Roman" w:eastAsia="华文中宋" w:cs="Times New Roman"/>
          <w:b/>
          <w:kern w:val="0"/>
          <w:sz w:val="52"/>
          <w:szCs w:val="52"/>
        </w:rPr>
      </w:pPr>
    </w:p>
    <w:p w14:paraId="21E1E410">
      <w:pPr>
        <w:spacing w:line="540" w:lineRule="exact"/>
        <w:jc w:val="center"/>
        <w:rPr>
          <w:rFonts w:hint="default" w:ascii="Times New Roman" w:hAnsi="Times New Roman" w:eastAsia="华文中宋" w:cs="Times New Roman"/>
          <w:b/>
          <w:kern w:val="0"/>
          <w:sz w:val="52"/>
          <w:szCs w:val="52"/>
        </w:rPr>
      </w:pPr>
    </w:p>
    <w:p w14:paraId="0107A38E">
      <w:pPr>
        <w:spacing w:line="540" w:lineRule="exact"/>
        <w:jc w:val="center"/>
        <w:rPr>
          <w:rFonts w:hint="default" w:ascii="Times New Roman" w:hAnsi="Times New Roman" w:eastAsia="华文中宋" w:cs="Times New Roman"/>
          <w:b/>
          <w:kern w:val="0"/>
          <w:sz w:val="52"/>
          <w:szCs w:val="52"/>
        </w:rPr>
      </w:pPr>
    </w:p>
    <w:p w14:paraId="2CA8F622">
      <w:pPr>
        <w:spacing w:line="540" w:lineRule="exact"/>
        <w:jc w:val="center"/>
        <w:rPr>
          <w:rFonts w:hint="default" w:ascii="Times New Roman" w:hAnsi="Times New Roman" w:eastAsia="华文中宋" w:cs="Times New Roman"/>
          <w:b/>
          <w:kern w:val="0"/>
          <w:sz w:val="52"/>
          <w:szCs w:val="52"/>
        </w:rPr>
      </w:pPr>
    </w:p>
    <w:p w14:paraId="38CBC779">
      <w:pPr>
        <w:spacing w:line="540" w:lineRule="exact"/>
        <w:jc w:val="center"/>
        <w:rPr>
          <w:rFonts w:hint="default" w:ascii="Times New Roman" w:hAnsi="Times New Roman" w:eastAsia="华文中宋" w:cs="Times New Roman"/>
          <w:b/>
          <w:kern w:val="0"/>
          <w:sz w:val="52"/>
          <w:szCs w:val="52"/>
        </w:rPr>
      </w:pPr>
    </w:p>
    <w:p w14:paraId="5A938AAE">
      <w:pPr>
        <w:spacing w:line="540" w:lineRule="exact"/>
        <w:jc w:val="center"/>
        <w:rPr>
          <w:rFonts w:hint="default" w:ascii="Times New Roman" w:hAnsi="Times New Roman" w:eastAsia="华文中宋" w:cs="Times New Roman"/>
          <w:b/>
          <w:kern w:val="0"/>
          <w:sz w:val="52"/>
          <w:szCs w:val="52"/>
        </w:rPr>
      </w:pPr>
    </w:p>
    <w:p w14:paraId="10BDF298">
      <w:pPr>
        <w:spacing w:line="540" w:lineRule="exact"/>
        <w:jc w:val="center"/>
        <w:rPr>
          <w:rFonts w:hint="default" w:ascii="Times New Roman" w:hAnsi="Times New Roman" w:eastAsia="方正小标宋_GBK" w:cs="Times New Roman"/>
          <w:b w:val="0"/>
          <w:bCs/>
          <w:kern w:val="0"/>
          <w:sz w:val="48"/>
          <w:szCs w:val="48"/>
        </w:rPr>
      </w:pPr>
      <w:r>
        <w:rPr>
          <w:rFonts w:hint="default" w:ascii="Times New Roman" w:hAnsi="Times New Roman" w:eastAsia="方正小标宋_GBK" w:cs="Times New Roman"/>
          <w:b w:val="0"/>
          <w:bCs/>
          <w:kern w:val="0"/>
          <w:sz w:val="48"/>
          <w:szCs w:val="48"/>
        </w:rPr>
        <w:t>项目支出绩效自评报告</w:t>
      </w:r>
    </w:p>
    <w:p w14:paraId="28A8F133">
      <w:pPr>
        <w:spacing w:line="540" w:lineRule="exact"/>
        <w:jc w:val="center"/>
        <w:rPr>
          <w:rFonts w:hint="default" w:ascii="Times New Roman" w:hAnsi="Times New Roman" w:eastAsia="华文中宋" w:cs="Times New Roman"/>
          <w:b/>
          <w:kern w:val="0"/>
          <w:sz w:val="52"/>
          <w:szCs w:val="52"/>
        </w:rPr>
      </w:pPr>
    </w:p>
    <w:p w14:paraId="36551CD0">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w:t>
      </w:r>
      <w:r>
        <w:rPr>
          <w:rStyle w:val="18"/>
          <w:rFonts w:hint="default" w:ascii="Times New Roman" w:hAnsi="Times New Roman" w:eastAsia="楷体" w:cs="Times New Roman"/>
          <w:spacing w:val="-4"/>
          <w:sz w:val="32"/>
          <w:szCs w:val="32"/>
        </w:rPr>
        <w:t>2024</w:t>
      </w:r>
      <w:r>
        <w:rPr>
          <w:rFonts w:hint="default" w:ascii="Times New Roman" w:hAnsi="Times New Roman" w:eastAsia="仿宋_GB2312" w:cs="Times New Roman"/>
          <w:kern w:val="0"/>
          <w:sz w:val="36"/>
          <w:szCs w:val="36"/>
        </w:rPr>
        <w:t>年度）</w:t>
      </w:r>
    </w:p>
    <w:p w14:paraId="025199E0">
      <w:pPr>
        <w:spacing w:line="540" w:lineRule="exact"/>
        <w:jc w:val="center"/>
        <w:rPr>
          <w:rFonts w:hint="default" w:ascii="Times New Roman" w:hAnsi="Times New Roman" w:eastAsia="仿宋_GB2312" w:cs="Times New Roman"/>
          <w:kern w:val="0"/>
          <w:sz w:val="30"/>
          <w:szCs w:val="30"/>
        </w:rPr>
      </w:pPr>
    </w:p>
    <w:p w14:paraId="7DD05C94">
      <w:pPr>
        <w:spacing w:line="540" w:lineRule="exact"/>
        <w:jc w:val="center"/>
        <w:rPr>
          <w:rFonts w:hint="default" w:ascii="Times New Roman" w:hAnsi="Times New Roman" w:eastAsia="仿宋_GB2312" w:cs="Times New Roman"/>
          <w:kern w:val="0"/>
          <w:sz w:val="30"/>
          <w:szCs w:val="30"/>
        </w:rPr>
      </w:pPr>
    </w:p>
    <w:p w14:paraId="03634269">
      <w:pPr>
        <w:spacing w:line="540" w:lineRule="exact"/>
        <w:jc w:val="center"/>
        <w:rPr>
          <w:rFonts w:hint="default" w:ascii="Times New Roman" w:hAnsi="Times New Roman" w:eastAsia="仿宋_GB2312" w:cs="Times New Roman"/>
          <w:kern w:val="0"/>
          <w:sz w:val="30"/>
          <w:szCs w:val="30"/>
        </w:rPr>
      </w:pPr>
    </w:p>
    <w:p w14:paraId="0F66BFFA">
      <w:pPr>
        <w:spacing w:line="540" w:lineRule="exact"/>
        <w:jc w:val="center"/>
        <w:rPr>
          <w:rFonts w:hint="default" w:ascii="Times New Roman" w:hAnsi="Times New Roman" w:eastAsia="仿宋_GB2312" w:cs="Times New Roman"/>
          <w:kern w:val="0"/>
          <w:sz w:val="30"/>
          <w:szCs w:val="30"/>
        </w:rPr>
      </w:pPr>
    </w:p>
    <w:p w14:paraId="13675E2F">
      <w:pPr>
        <w:spacing w:line="540" w:lineRule="exact"/>
        <w:jc w:val="center"/>
        <w:rPr>
          <w:rFonts w:hint="default" w:ascii="Times New Roman" w:hAnsi="Times New Roman" w:eastAsia="仿宋_GB2312" w:cs="Times New Roman"/>
          <w:kern w:val="0"/>
          <w:sz w:val="30"/>
          <w:szCs w:val="30"/>
        </w:rPr>
      </w:pPr>
    </w:p>
    <w:p w14:paraId="0733DC31">
      <w:pPr>
        <w:spacing w:line="540" w:lineRule="exact"/>
        <w:jc w:val="center"/>
        <w:rPr>
          <w:rFonts w:hint="default" w:ascii="Times New Roman" w:hAnsi="Times New Roman" w:eastAsia="仿宋_GB2312" w:cs="Times New Roman"/>
          <w:kern w:val="0"/>
          <w:sz w:val="30"/>
          <w:szCs w:val="30"/>
        </w:rPr>
      </w:pPr>
    </w:p>
    <w:p w14:paraId="13098F90">
      <w:pPr>
        <w:spacing w:line="540" w:lineRule="exact"/>
        <w:rPr>
          <w:rFonts w:hint="default" w:ascii="Times New Roman" w:hAnsi="Times New Roman" w:eastAsia="仿宋_GB2312" w:cs="Times New Roman"/>
          <w:kern w:val="0"/>
          <w:sz w:val="30"/>
          <w:szCs w:val="30"/>
        </w:rPr>
      </w:pPr>
    </w:p>
    <w:p w14:paraId="78408799">
      <w:pPr>
        <w:spacing w:line="700" w:lineRule="exact"/>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 xml:space="preserve">     </w:t>
      </w:r>
    </w:p>
    <w:p w14:paraId="6CFB1C48">
      <w:pPr>
        <w:spacing w:line="700" w:lineRule="exact"/>
        <w:ind w:firstLine="900" w:firstLineChars="250"/>
        <w:jc w:val="left"/>
        <w:rPr>
          <w:rFonts w:hint="default" w:ascii="Times New Roman" w:hAnsi="Times New Roman" w:eastAsia="仿宋_GB2312" w:cs="Times New Roman"/>
          <w:b w:val="0"/>
          <w:bCs w:val="0"/>
          <w:kern w:val="0"/>
          <w:sz w:val="36"/>
          <w:szCs w:val="36"/>
        </w:rPr>
      </w:pPr>
      <w:r>
        <w:rPr>
          <w:rFonts w:hint="default" w:ascii="Times New Roman" w:hAnsi="Times New Roman" w:eastAsia="仿宋_GB2312" w:cs="Times New Roman"/>
          <w:b w:val="0"/>
          <w:bCs w:val="0"/>
          <w:kern w:val="0"/>
          <w:sz w:val="36"/>
          <w:szCs w:val="36"/>
        </w:rPr>
        <w:t>项目名称：</w:t>
      </w:r>
      <w:r>
        <w:rPr>
          <w:rStyle w:val="18"/>
          <w:rFonts w:hint="default" w:ascii="仿宋_GB2312" w:hAnsi="仿宋_GB2312" w:eastAsia="仿宋_GB2312" w:cs="仿宋_GB2312"/>
          <w:b w:val="0"/>
          <w:bCs w:val="0"/>
          <w:spacing w:val="-4"/>
          <w:sz w:val="32"/>
          <w:szCs w:val="32"/>
        </w:rPr>
        <w:t>注册资本金2</w:t>
      </w:r>
    </w:p>
    <w:p w14:paraId="6BBD7DB1">
      <w:pPr>
        <w:spacing w:line="540" w:lineRule="exact"/>
        <w:ind w:firstLine="567"/>
        <w:rPr>
          <w:rFonts w:hint="default" w:ascii="Times New Roman" w:hAnsi="Times New Roman" w:eastAsia="楷体" w:cs="Times New Roman"/>
          <w:b w:val="0"/>
          <w:bCs w:val="0"/>
          <w:spacing w:val="-11"/>
          <w:sz w:val="32"/>
          <w:szCs w:val="32"/>
        </w:rPr>
      </w:pPr>
      <w:r>
        <w:rPr>
          <w:rFonts w:hint="default" w:ascii="Times New Roman" w:hAnsi="Times New Roman" w:eastAsia="仿宋_GB2312" w:cs="Times New Roman"/>
          <w:b w:val="0"/>
          <w:bCs w:val="0"/>
          <w:kern w:val="0"/>
          <w:sz w:val="36"/>
          <w:szCs w:val="36"/>
        </w:rPr>
        <w:t xml:space="preserve">  实施单位（公章）：</w:t>
      </w:r>
      <w:r>
        <w:rPr>
          <w:rStyle w:val="18"/>
          <w:rFonts w:hint="default" w:ascii="仿宋_GB2312" w:hAnsi="仿宋_GB2312" w:eastAsia="仿宋_GB2312" w:cs="仿宋_GB2312"/>
          <w:b w:val="0"/>
          <w:bCs w:val="0"/>
          <w:spacing w:val="-11"/>
          <w:sz w:val="32"/>
          <w:szCs w:val="32"/>
        </w:rPr>
        <w:t>和田地区国有资产监督管理委员会</w:t>
      </w:r>
    </w:p>
    <w:p w14:paraId="53CCE0CF">
      <w:pPr>
        <w:spacing w:line="540" w:lineRule="exact"/>
        <w:ind w:firstLine="900" w:firstLineChars="250"/>
        <w:rPr>
          <w:rFonts w:hint="default" w:ascii="Times New Roman" w:hAnsi="Times New Roman" w:eastAsia="楷体" w:cs="Times New Roman"/>
          <w:b w:val="0"/>
          <w:bCs w:val="0"/>
          <w:spacing w:val="-4"/>
          <w:sz w:val="28"/>
          <w:szCs w:val="28"/>
        </w:rPr>
      </w:pPr>
      <w:r>
        <w:rPr>
          <w:rFonts w:hint="default" w:ascii="Times New Roman" w:hAnsi="Times New Roman" w:eastAsia="仿宋_GB2312" w:cs="Times New Roman"/>
          <w:b w:val="0"/>
          <w:bCs w:val="0"/>
          <w:kern w:val="0"/>
          <w:sz w:val="36"/>
          <w:szCs w:val="36"/>
        </w:rPr>
        <w:t>主管部门（公章）：</w:t>
      </w:r>
      <w:r>
        <w:rPr>
          <w:rStyle w:val="18"/>
          <w:rFonts w:hint="default" w:ascii="仿宋_GB2312" w:hAnsi="仿宋_GB2312" w:eastAsia="仿宋_GB2312" w:cs="仿宋_GB2312"/>
          <w:b w:val="0"/>
          <w:bCs w:val="0"/>
          <w:spacing w:val="-11"/>
          <w:sz w:val="32"/>
          <w:szCs w:val="32"/>
        </w:rPr>
        <w:t>和田地区国有资产监督管理委员</w:t>
      </w:r>
      <w:r>
        <w:rPr>
          <w:rStyle w:val="18"/>
          <w:rFonts w:hint="default" w:ascii="仿宋_GB2312" w:hAnsi="仿宋_GB2312" w:eastAsia="仿宋_GB2312" w:cs="仿宋_GB2312"/>
          <w:b w:val="0"/>
          <w:bCs w:val="0"/>
          <w:spacing w:val="-4"/>
          <w:sz w:val="32"/>
          <w:szCs w:val="32"/>
        </w:rPr>
        <w:t>会</w:t>
      </w:r>
    </w:p>
    <w:p w14:paraId="59929094">
      <w:pPr>
        <w:spacing w:line="540" w:lineRule="exact"/>
        <w:ind w:firstLine="900" w:firstLineChars="250"/>
        <w:rPr>
          <w:rFonts w:hint="default" w:ascii="Times New Roman" w:hAnsi="Times New Roman" w:eastAsia="楷体" w:cs="Times New Roman"/>
          <w:b w:val="0"/>
          <w:bCs w:val="0"/>
          <w:spacing w:val="-4"/>
          <w:sz w:val="32"/>
          <w:szCs w:val="32"/>
        </w:rPr>
      </w:pPr>
      <w:r>
        <w:rPr>
          <w:rFonts w:hint="default" w:ascii="Times New Roman" w:hAnsi="Times New Roman" w:eastAsia="仿宋_GB2312" w:cs="Times New Roman"/>
          <w:b w:val="0"/>
          <w:bCs w:val="0"/>
          <w:kern w:val="0"/>
          <w:sz w:val="36"/>
          <w:szCs w:val="36"/>
        </w:rPr>
        <w:t>项目负责人（签章）：</w:t>
      </w:r>
      <w:r>
        <w:rPr>
          <w:rStyle w:val="18"/>
          <w:rFonts w:hint="eastAsia" w:ascii="仿宋_GB2312" w:hAnsi="仿宋_GB2312" w:eastAsia="仿宋_GB2312" w:cs="仿宋_GB2312"/>
          <w:b w:val="0"/>
          <w:bCs w:val="0"/>
          <w:spacing w:val="-4"/>
          <w:sz w:val="32"/>
          <w:szCs w:val="32"/>
        </w:rPr>
        <w:t>刘一多</w:t>
      </w:r>
    </w:p>
    <w:p w14:paraId="1708832F">
      <w:pPr>
        <w:spacing w:line="540" w:lineRule="exact"/>
        <w:ind w:left="273" w:firstLine="567"/>
        <w:rPr>
          <w:rStyle w:val="18"/>
          <w:rFonts w:hint="default" w:ascii="Times New Roman" w:hAnsi="Times New Roman" w:eastAsia="楷体" w:cs="Times New Roman"/>
          <w:b w:val="0"/>
          <w:bCs w:val="0"/>
          <w:spacing w:val="-4"/>
          <w:sz w:val="32"/>
          <w:szCs w:val="32"/>
        </w:rPr>
      </w:pPr>
      <w:r>
        <w:rPr>
          <w:rFonts w:hint="default" w:ascii="Times New Roman" w:hAnsi="Times New Roman" w:eastAsia="仿宋_GB2312" w:cs="Times New Roman"/>
          <w:b w:val="0"/>
          <w:bCs w:val="0"/>
          <w:kern w:val="0"/>
          <w:sz w:val="36"/>
          <w:szCs w:val="36"/>
        </w:rPr>
        <w:t>填报时间：</w:t>
      </w:r>
      <w:r>
        <w:rPr>
          <w:rStyle w:val="18"/>
          <w:rFonts w:hint="default" w:ascii="Times New Roman" w:hAnsi="Times New Roman" w:eastAsia="楷体" w:cs="Times New Roman"/>
          <w:b w:val="0"/>
          <w:bCs w:val="0"/>
          <w:spacing w:val="-4"/>
          <w:sz w:val="32"/>
          <w:szCs w:val="32"/>
        </w:rPr>
        <w:t>2025年03月17日</w:t>
      </w:r>
    </w:p>
    <w:p w14:paraId="2AF86F00">
      <w:pPr>
        <w:spacing w:line="700" w:lineRule="exact"/>
        <w:ind w:firstLine="708" w:firstLineChars="236"/>
        <w:jc w:val="left"/>
        <w:rPr>
          <w:rFonts w:hint="default" w:ascii="Times New Roman" w:hAnsi="Times New Roman" w:eastAsia="仿宋_GB2312" w:cs="Times New Roman"/>
          <w:kern w:val="0"/>
          <w:sz w:val="30"/>
          <w:szCs w:val="30"/>
        </w:rPr>
      </w:pPr>
    </w:p>
    <w:p w14:paraId="1E76EC72">
      <w:pPr>
        <w:spacing w:line="540" w:lineRule="exact"/>
        <w:rPr>
          <w:rStyle w:val="18"/>
          <w:rFonts w:hint="default" w:ascii="Times New Roman" w:hAnsi="Times New Roman" w:eastAsia="黑体" w:cs="Times New Roman"/>
          <w:b w:val="0"/>
          <w:spacing w:val="-4"/>
          <w:sz w:val="32"/>
          <w:szCs w:val="32"/>
        </w:rPr>
      </w:pPr>
    </w:p>
    <w:p w14:paraId="6D4FE5E4">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黑体" w:cs="Times New Roman"/>
          <w:b w:val="0"/>
          <w:spacing w:val="-4"/>
          <w:sz w:val="32"/>
          <w:szCs w:val="32"/>
        </w:rPr>
      </w:pPr>
      <w:r>
        <w:rPr>
          <w:rStyle w:val="18"/>
          <w:rFonts w:hint="default" w:ascii="Times New Roman" w:hAnsi="Times New Roman" w:eastAsia="黑体" w:cs="Times New Roman"/>
          <w:b w:val="0"/>
          <w:spacing w:val="-4"/>
          <w:sz w:val="32"/>
          <w:szCs w:val="32"/>
        </w:rPr>
        <w:t>一、基本情况</w:t>
      </w:r>
    </w:p>
    <w:p w14:paraId="2DF98796">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8"/>
          <w:rFonts w:hint="default" w:ascii="Times New Roman" w:hAnsi="Times New Roman" w:eastAsia="楷体" w:cs="Times New Roman"/>
          <w:spacing w:val="-4"/>
          <w:sz w:val="32"/>
          <w:szCs w:val="32"/>
        </w:rPr>
      </w:pPr>
      <w:r>
        <w:rPr>
          <w:rStyle w:val="18"/>
          <w:rFonts w:hint="default" w:ascii="Times New Roman" w:hAnsi="Times New Roman" w:eastAsia="楷体" w:cs="Times New Roman"/>
          <w:spacing w:val="-4"/>
          <w:sz w:val="32"/>
          <w:szCs w:val="32"/>
        </w:rPr>
        <w:t>（一）项目概况</w:t>
      </w:r>
    </w:p>
    <w:p w14:paraId="29BBC170">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1.项目背景根据遵循第四次地委财委会会议精神，符合《中华人民共和国公司法》规定及各公司开展业务需要符合行业发展规划和政策要求；为切实履行国有资产出资人职责，强化对所出资企业的全方位监管，本部门严格依据《中华人民共和国公司法》《中华人民共和国企业国有资产法》等法律法规，通过完善法人治理结构、健全产权管理制度、强化财务动态监测及经营业绩考核等举措，全面压实国有资产保值增值责任。针对当前区域经济环境下国有企业及其控股、参股公司因市场波动、产业链承压等因素导致的阶段性资金紧张与经营周转困难，现根据企业实际经营需求及战略发展规划，申请注入注册资本金专项用于补充企业流动性资金、优化资产负债结构、保障重大项目建设及核心技术研发投入。履行出资人职责，监管所出资企业的国有资产，加强国有资产的管理工作，为确保地区本级国有企业及其控股、参股公司的平稳运营。</w:t>
      </w:r>
    </w:p>
    <w:p w14:paraId="64CC28EB">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2.主要内容</w:t>
      </w:r>
    </w:p>
    <w:p w14:paraId="52AB7960">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本项目主要是根据地委第四次财经委员会议，为地区国有企业注入资本金4000万元，用于国有企业开展业务需要。用于补充企业流动性资金、优化资产负债结构、保障重大项目建设及核心技术研发投入。</w:t>
      </w:r>
    </w:p>
    <w:p w14:paraId="2B36D72C">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3.实施情况</w:t>
      </w:r>
    </w:p>
    <w:p w14:paraId="5743875A">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实施主体：和田地区国有资产监督管理委员会。</w:t>
      </w:r>
    </w:p>
    <w:p w14:paraId="696928C0">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实施时间：本项目实施期限为2024年1月—2024年12月。</w:t>
      </w:r>
    </w:p>
    <w:p w14:paraId="3B68D7A4">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实施情况：本部门严格依据《中华人民共和国公司法》《中华人民共和国企业国有资产法》等法律法规确保国有企业平稳运营，按照《中华人民共和国公司法》规定及各公司开展业务需要，地方财政给地区国有企业拨付4000万元注册资本金，涉及1家企业，目标资金使用合规率达到100%，资金拨付及时率达到100%。用于补充企业流动性资金、优化资产负债结构、保障重大项目建设及核心技术研发投入。</w:t>
      </w:r>
    </w:p>
    <w:p w14:paraId="360C9412">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4.资金投入和使用情况</w:t>
      </w:r>
    </w:p>
    <w:p w14:paraId="6A9878C2">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（1）项目资金安排落实、总投入等情况分析</w:t>
      </w:r>
    </w:p>
    <w:p w14:paraId="3AC29405">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本项目预算安排总额为4000万元，资金来源为本级部门预算，其中：财政资金4000万元，其他资金0万元，2024年实际收到预算资金4000万元，预算资金到位率为100%。</w:t>
      </w:r>
    </w:p>
    <w:p w14:paraId="7953F920">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项目资金实际使用情况分析</w:t>
      </w:r>
    </w:p>
    <w:p w14:paraId="33552E17">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本项目实际支付资金4000万元，预算执行率100%。本项目资金主要用于支付和田地区国有企业注册资本金4000万元。</w:t>
      </w:r>
    </w:p>
    <w:p w14:paraId="5219C36D">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8"/>
          <w:rFonts w:hint="default" w:ascii="Times New Roman" w:hAnsi="Times New Roman" w:eastAsia="楷体" w:cs="Times New Roman"/>
          <w:spacing w:val="-4"/>
          <w:sz w:val="32"/>
          <w:szCs w:val="32"/>
        </w:rPr>
      </w:pPr>
      <w:r>
        <w:rPr>
          <w:rStyle w:val="18"/>
          <w:rFonts w:hint="default" w:ascii="Times New Roman" w:hAnsi="Times New Roman" w:eastAsia="楷体" w:cs="Times New Roman"/>
          <w:spacing w:val="-4"/>
          <w:sz w:val="32"/>
          <w:szCs w:val="32"/>
        </w:rPr>
        <w:t>（二）项目绩效目标</w:t>
      </w:r>
    </w:p>
    <w:p w14:paraId="1B714F8B">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1.总体目标</w:t>
      </w:r>
    </w:p>
    <w:p w14:paraId="1F582618">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根据第四次财委会会议精神，按照《中华人民共和国公司法》规定及各公司开展业务需要，地方财政给地区国有企业拨付4000万元注册资本金，确保企业平稳运营，涉及1家企业，目标资金使用合规率达到100%，资金拨付及时率达到100%，资金支持企业满意度达到100%。</w:t>
      </w:r>
    </w:p>
    <w:p w14:paraId="26F107FF">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阶段性目标</w:t>
      </w:r>
    </w:p>
    <w:p w14:paraId="72E7A95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项目前期准备工作：本部门严格依据《中华人民共和国公司法》《中华人民共和国企业国有资产法》等法律法规，向和田地区国资委申请资金。开展注册资本金2项目。</w:t>
      </w:r>
    </w:p>
    <w:p w14:paraId="482D93D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项目实施：截止到2024年12月31日，保障涉及1家企业，目标资金使用合规率达到100%，资金拨付及时率达到100%，资金支持企业满意度达到100%。现根据企业实际经营需求及战略发展规划，申请注入注册资本金专项用于补充企业流动性资金、优化资产负债结构、保障重大项目建设及核心技术研发投入。履行出资人职责，监管所出资企业的国有资产，加强国有资产的管理工作，为确保地区本级国有企业及其控股、参股公司的平稳运营。</w:t>
      </w:r>
    </w:p>
    <w:p w14:paraId="0CE1FA10">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黑体" w:cs="Times New Roman"/>
          <w:b w:val="0"/>
          <w:spacing w:val="-4"/>
          <w:sz w:val="32"/>
          <w:szCs w:val="32"/>
        </w:rPr>
      </w:pPr>
      <w:r>
        <w:rPr>
          <w:rStyle w:val="18"/>
          <w:rFonts w:hint="default" w:ascii="Times New Roman" w:hAnsi="Times New Roman" w:eastAsia="黑体" w:cs="Times New Roman"/>
          <w:b w:val="0"/>
          <w:spacing w:val="-4"/>
          <w:sz w:val="32"/>
          <w:szCs w:val="32"/>
        </w:rPr>
        <w:t>二、绩效评价工作开展情况</w:t>
      </w:r>
    </w:p>
    <w:p w14:paraId="6FA353C4">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8"/>
          <w:rFonts w:hint="default" w:ascii="Times New Roman" w:hAnsi="Times New Roman" w:eastAsia="楷体" w:cs="Times New Roman"/>
          <w:spacing w:val="-4"/>
          <w:sz w:val="32"/>
          <w:szCs w:val="32"/>
        </w:rPr>
      </w:pPr>
      <w:r>
        <w:rPr>
          <w:rStyle w:val="18"/>
          <w:rFonts w:hint="default" w:ascii="Times New Roman" w:hAnsi="Times New Roman" w:eastAsia="楷体" w:cs="Times New Roman"/>
          <w:spacing w:val="-4"/>
          <w:sz w:val="32"/>
          <w:szCs w:val="32"/>
        </w:rPr>
        <w:t>（一）绩效评价目的、对象和范围</w:t>
      </w:r>
    </w:p>
    <w:p w14:paraId="45B0C532">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1.绩效评价的目的</w:t>
      </w:r>
    </w:p>
    <w:p w14:paraId="789F9AC3">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注册资本金2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14:paraId="54A26483">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14:paraId="756DCE2B">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695B36D0">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36C9B3B0">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0F0BD693">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2.绩效评价对象</w:t>
      </w:r>
    </w:p>
    <w:p w14:paraId="10A77978">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此次我单位根据《财政支出绩效评价管理暂行办法》（财预〔2020〕10号）文件要求实施评价工作，本次评价对象为注册资本金2项目，评价核心为项目的资金投入、产出及效益。</w:t>
      </w:r>
    </w:p>
    <w:p w14:paraId="39977ABD">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3.绩效评价范围</w:t>
      </w:r>
    </w:p>
    <w:p w14:paraId="31D7C67B">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6777D02D">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8"/>
          <w:rFonts w:hint="default" w:ascii="Times New Roman" w:hAnsi="Times New Roman" w:eastAsia="楷体" w:cs="Times New Roman"/>
          <w:spacing w:val="-4"/>
          <w:sz w:val="32"/>
          <w:szCs w:val="32"/>
        </w:rPr>
      </w:pPr>
      <w:r>
        <w:rPr>
          <w:rStyle w:val="18"/>
          <w:rFonts w:hint="default" w:ascii="Times New Roman" w:hAnsi="Times New Roman" w:eastAsia="楷体" w:cs="Times New Roman"/>
          <w:spacing w:val="-4"/>
          <w:sz w:val="32"/>
          <w:szCs w:val="32"/>
        </w:rPr>
        <w:t>（二）绩效评价原则、评价指标体系、评价方法、评价标准</w:t>
      </w:r>
    </w:p>
    <w:p w14:paraId="77BF7A4E">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1.绩效评价原则</w:t>
      </w:r>
    </w:p>
    <w:p w14:paraId="5593E300">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14:paraId="36891BA9">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（1）科学公正。绩效评价应当运用科学合理的方法，按照规范的程序，对项目绩效进行客观、公正地反映。</w:t>
      </w:r>
    </w:p>
    <w:p w14:paraId="3EF7C826">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4840C52E">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（3）激励约束。绩效评价结果应与预算安排、政策调整、改进管理实质性挂钩，体现奖优罚劣和激励相容导向，有效要安排、低效要压减、无效要问责。</w:t>
      </w:r>
    </w:p>
    <w:p w14:paraId="209E0429">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（4）公开透明。绩效评价结果应依法依规公开，并自觉接受社会监督。</w:t>
      </w:r>
    </w:p>
    <w:p w14:paraId="0C3B48C5">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根据以上原则，绩效评价应遵循如下要求:</w:t>
      </w:r>
    </w:p>
    <w:p w14:paraId="26606F1E">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（1）在数据采集时，采取客观数据，主管部门审查、社会中介组织复查，与问卷调查相结合的形式，以保证各项指标的真实性。</w:t>
      </w:r>
    </w:p>
    <w:p w14:paraId="62365327">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（2）保证评价结果的真实性、公正性，提高评价报告的公信力。</w:t>
      </w:r>
    </w:p>
    <w:p w14:paraId="1B8E6756">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14:paraId="015E52C7">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2.绩效评价指标体系</w:t>
      </w:r>
    </w:p>
    <w:p w14:paraId="1D327EA0">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p>
    <w:p w14:paraId="3347C5AE">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3.评价方法</w:t>
      </w:r>
    </w:p>
    <w:p w14:paraId="54CFC6D1">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61633C4E">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三级指标分析环节：总体采用比较法，同时辅以文献法、成本效益法、因素分析法以及公众评判法，根据不同三级指标类型进行逐项分析。</w:t>
      </w:r>
    </w:p>
    <w:p w14:paraId="7C68B70F">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6108B4E8">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②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p>
    <w:p w14:paraId="5C44CD47">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立项依据充分性：比较法、文献法，查找法律法规政策以及规划，对比实际执行内容和政策支持内容是否匹配。</w:t>
      </w:r>
      <w:r>
        <w:rPr>
          <w:rStyle w:val="18"/>
          <w:rFonts w:hint="default" w:ascii="Times New Roman" w:hAnsi="Times New Roman" w:eastAsia="仿宋_GB2312" w:cs="Times New Roman"/>
          <w:b w:val="0"/>
          <w:bCs w:val="0"/>
          <w:spacing w:val="-4"/>
          <w:sz w:val="32"/>
          <w:szCs w:val="32"/>
        </w:rPr>
        <w:cr/>
      </w:r>
      <w:r>
        <w:rPr>
          <w:rStyle w:val="18"/>
          <w:rFonts w:hint="default" w:ascii="Times New Roman" w:hAnsi="Times New Roman" w:eastAsia="仿宋_GB2312" w:cs="Times New Roman"/>
          <w:b w:val="0"/>
          <w:bCs w:val="0"/>
          <w:spacing w:val="-4"/>
          <w:sz w:val="32"/>
          <w:szCs w:val="32"/>
        </w:rPr>
        <w:t>立项程序规范性：比较法、文献法，查找相关项目设立的政策和文件要求，对比分析实际执行程序是否按照政策及文件要求执行，分析立项程序的规范性。</w:t>
      </w:r>
    </w:p>
    <w:p w14:paraId="007FCB33">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绩效目标合理性：比较法，对比分析年初编制项目支出绩效目标表与项目内容的相关性、资金的匹配性等。</w:t>
      </w:r>
    </w:p>
    <w:p w14:paraId="3FF095E0">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绩效指标明确性：比较法，比较分析年初编制项目支出绩效目标表是否符合双七原则，是否可衡量。</w:t>
      </w:r>
    </w:p>
    <w:p w14:paraId="4CE778B7">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预算编制科学性：成本效益分析法，分析在产出一定的情况下，成本取值是否有依据，是否经过询价，是否按照市场最低成本编制。</w:t>
      </w:r>
    </w:p>
    <w:p w14:paraId="7C2351A8">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资金分配合理性：因素分析法，综合分析资金的分配依据是否充分，分配金额是否与项目实施单位需求金额一致，</w:t>
      </w:r>
    </w:p>
    <w:p w14:paraId="18FA6A60">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资金到位率：比较法，资金到位率预期指标值应为100%，通过实际计算，分析实际完成值和预期指标值之间的差距和原因。</w:t>
      </w:r>
    </w:p>
    <w:p w14:paraId="7878F076">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预算执行率：比较法，预算执行率预期指标值应为100%，通过实际计算，分析实际完成值和预期指标值之间的差距和原因。</w:t>
      </w:r>
    </w:p>
    <w:p w14:paraId="5033A61F">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p>
    <w:p w14:paraId="0122608B">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p>
    <w:p w14:paraId="05539D57">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制度执行有效性：比较法，结合项目实际实施过程性文件，根据已建设的财务管理制度和项目管理制度综合分析制度执行的有效性。</w:t>
      </w:r>
    </w:p>
    <w:p w14:paraId="4A1BD96B">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591F7EB8">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定性指标：公众评判法，通过问卷及抽样调查等方式评价本项目实施后社会公众对于其实施效果的满意程度。</w:t>
      </w:r>
    </w:p>
    <w:p w14:paraId="5F0886F5">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4.评价标准</w:t>
      </w:r>
    </w:p>
    <w:p w14:paraId="1D033910">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261EFA51">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8"/>
          <w:rFonts w:hint="default" w:ascii="Times New Roman" w:hAnsi="Times New Roman" w:eastAsia="楷体" w:cs="Times New Roman"/>
          <w:spacing w:val="-4"/>
          <w:sz w:val="32"/>
          <w:szCs w:val="32"/>
        </w:rPr>
      </w:pPr>
      <w:r>
        <w:rPr>
          <w:rStyle w:val="18"/>
          <w:rFonts w:hint="default" w:ascii="Times New Roman" w:hAnsi="Times New Roman" w:eastAsia="楷体" w:cs="Times New Roman"/>
          <w:spacing w:val="-4"/>
          <w:sz w:val="32"/>
          <w:szCs w:val="32"/>
        </w:rPr>
        <w:t>（三）绩效评价工作过程</w:t>
      </w:r>
    </w:p>
    <w:p w14:paraId="4451F232">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1.前期准备</w:t>
      </w:r>
    </w:p>
    <w:p w14:paraId="07F757F2">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24ADF2D1">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范思（评价小组组长）：主要负责审核并解决项目实施过程所有相关问题，复核绩效评价报告质量;</w:t>
      </w:r>
    </w:p>
    <w:p w14:paraId="5A564065">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李慧（评价小组组员）：主要负责收集项目绩效相关所有资料，负责报告中数据的核实;</w:t>
      </w:r>
    </w:p>
    <w:p w14:paraId="467C2FCD">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高尚（评价小组组员）：主要负责编制绩效评价报告，编制绩效评价附件表格。</w:t>
      </w:r>
    </w:p>
    <w:p w14:paraId="74F99BC5">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2.组织实施</w:t>
      </w:r>
    </w:p>
    <w:p w14:paraId="09F78F65">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2025年3月10日—3月15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0F10A937">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3.分析评价</w:t>
      </w:r>
    </w:p>
    <w:p w14:paraId="400D0489">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2025年3月16日—3月20日，评价小组按照绩效评价的原则和规范，对取得的资料进行审查核实，对采集的数据进行分析，按照绩效评价指标评分表逐项进行打分、分析、汇总各方评价结果。</w:t>
      </w:r>
    </w:p>
    <w:p w14:paraId="6C64A87D">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4.撰写与提交评价报告</w:t>
      </w:r>
    </w:p>
    <w:p w14:paraId="4A3F96B9">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2025年3月21日—3月31日评价小组撰写绩效评价报告，按照新疆维吾尔自治区财政绩效管理信息系统绩效评价模块中统一格式和文本框架撰写绩效评价报告并提交审核。</w:t>
      </w:r>
    </w:p>
    <w:p w14:paraId="0462A7BF">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5.问题整改</w:t>
      </w:r>
    </w:p>
    <w:p w14:paraId="4A7AA109">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252C05A7">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6.档案整理</w:t>
      </w:r>
    </w:p>
    <w:p w14:paraId="14CB3998">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建立和落实档案管理制度，将项目相关资料存档，包括但不限于：评价项目基本情况和相关文件、评价实施方案、项目支付资料等相关档案。</w:t>
      </w:r>
    </w:p>
    <w:p w14:paraId="7306798C">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黑体" w:cs="Times New Roman"/>
          <w:b w:val="0"/>
          <w:spacing w:val="-4"/>
          <w:sz w:val="32"/>
          <w:szCs w:val="32"/>
        </w:rPr>
      </w:pPr>
      <w:r>
        <w:rPr>
          <w:rStyle w:val="18"/>
          <w:rFonts w:hint="default" w:ascii="Times New Roman" w:hAnsi="Times New Roman" w:eastAsia="黑体" w:cs="Times New Roman"/>
          <w:b w:val="0"/>
          <w:spacing w:val="-4"/>
          <w:sz w:val="32"/>
          <w:szCs w:val="32"/>
        </w:rPr>
        <w:t>三、综合评价情况及评价结论</w:t>
      </w:r>
    </w:p>
    <w:p w14:paraId="288240BE">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楷体" w:cs="Times New Roman"/>
          <w:b w:val="0"/>
          <w:bCs w:val="0"/>
          <w:spacing w:val="-4"/>
          <w:sz w:val="32"/>
          <w:szCs w:val="32"/>
        </w:rPr>
      </w:pPr>
      <w:r>
        <w:rPr>
          <w:rStyle w:val="18"/>
          <w:rFonts w:hint="default" w:ascii="Times New Roman" w:hAnsi="Times New Roman" w:eastAsia="楷体" w:cs="Times New Roman"/>
          <w:b w:val="0"/>
          <w:bCs w:val="0"/>
          <w:spacing w:val="-4"/>
          <w:sz w:val="32"/>
          <w:szCs w:val="32"/>
        </w:rPr>
        <w:t>（一）综合评价情况</w:t>
      </w:r>
    </w:p>
    <w:p w14:paraId="05A5C467">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经评价，本项目达成年初设立的绩效目标，在实施过程中取得了良好的成效，具体表现在以下三方面：</w:t>
      </w:r>
    </w:p>
    <w:p w14:paraId="32DE3BC3">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一是落实政策，根据部门主要职能履行出资人职责，进一步做好提高国有企业经营状况。严格履行审核职责，强化资金拨付全链条闭环管理，以高度的政治责任感和专业精准度确保财政资金安全高效运转。通过全流程跟踪资金审批进度、动态监测拨付节点、压实各环节主体责任。</w:t>
      </w:r>
    </w:p>
    <w:p w14:paraId="2849C945">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二是：按照《中华人民共和国公司法》规定及各公司开展业务需要，地方财政给地区国有企业拨付注册资本金确保企业平稳运营。切实保障资金按政策要求及时足额直达国有企业，坚决杜绝截留挪用或延迟滞留现象，为国有企业纾困增效、转型升级提供有力支撑，有效激发市场主体活力，为经济平稳运行提供坚实保障。</w:t>
      </w:r>
    </w:p>
    <w:p w14:paraId="48E12395">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三是：认真审核，确保资金及时到位，及时足额拨付至国有企业。注重政策协同性与精准性，统筹国有资本布局结构调整与功能作用发挥，着力破解制约企业可持续发展的瓶颈问题，确保国有资产保值增值与国有经济高质量发展目标同频共振，为服务国家战略和区域经济社会发展大局提供坚实支撑。</w:t>
      </w:r>
    </w:p>
    <w:p w14:paraId="3255A230">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楷体" w:cs="Times New Roman"/>
          <w:b w:val="0"/>
          <w:bCs w:val="0"/>
          <w:spacing w:val="-4"/>
          <w:sz w:val="32"/>
          <w:szCs w:val="32"/>
        </w:rPr>
      </w:pPr>
      <w:r>
        <w:rPr>
          <w:rStyle w:val="18"/>
          <w:rFonts w:hint="default" w:ascii="Times New Roman" w:hAnsi="Times New Roman" w:eastAsia="楷体" w:cs="Times New Roman"/>
          <w:b w:val="0"/>
          <w:bCs w:val="0"/>
          <w:spacing w:val="-4"/>
          <w:sz w:val="32"/>
          <w:szCs w:val="32"/>
        </w:rPr>
        <w:t>（二）评价结论</w:t>
      </w:r>
    </w:p>
    <w:p w14:paraId="117CD8EC">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此次绩效评价通过绩效评价小组论证的评价指标体系及评分标准，采用因素分析法和比较法对本项目绩效进行客观评价，最终评分结果：总分为100分，绩效评级为“优”。综合评价结论如下：本项目共设置三级指标数量18个，实现三级指标数量18个，总体完成率为100%。</w:t>
      </w:r>
    </w:p>
    <w:p w14:paraId="317EEF31">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项目决策类指标共设置6个，满分指标6个，权重分21分，得分21分，得分率100%；</w:t>
      </w:r>
    </w:p>
    <w:p w14:paraId="78EAD834">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过程管理类指标共设置5个，满分指标5个，权重分19分，得分19分，得分率100%；</w:t>
      </w:r>
    </w:p>
    <w:p w14:paraId="08333B67">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项目产出类指标共设置5个，满分指标5个，权重分20分，得分20分，得分率100%；</w:t>
      </w:r>
    </w:p>
    <w:p w14:paraId="1E0AF2A8">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项目效益类指标共设置2个，满分指标2个，权重分40分，得分40分，得分率100%。</w:t>
      </w:r>
    </w:p>
    <w:p w14:paraId="44A0C167">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详细情况见“附件2：项目综合得分表”。</w:t>
      </w:r>
    </w:p>
    <w:p w14:paraId="1D69AB79">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黑体" w:cs="Times New Roman"/>
          <w:sz w:val="32"/>
          <w:szCs w:val="32"/>
        </w:rPr>
      </w:pPr>
      <w:r>
        <w:rPr>
          <w:rStyle w:val="18"/>
          <w:rFonts w:hint="default" w:ascii="Times New Roman" w:hAnsi="Times New Roman" w:eastAsia="黑体" w:cs="Times New Roman"/>
          <w:b w:val="0"/>
          <w:spacing w:val="-4"/>
          <w:sz w:val="32"/>
          <w:szCs w:val="32"/>
        </w:rPr>
        <w:t>四、绩效评价指标分析</w:t>
      </w:r>
      <w:r>
        <w:rPr>
          <w:rStyle w:val="18"/>
          <w:rFonts w:hint="default" w:ascii="Times New Roman" w:hAnsi="Times New Roman" w:eastAsia="黑体" w:cs="Times New Roman"/>
          <w:sz w:val="32"/>
          <w:szCs w:val="32"/>
        </w:rPr>
        <w:t xml:space="preserve"> </w:t>
      </w:r>
    </w:p>
    <w:p w14:paraId="3229FBE2">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w:t>
      </w:r>
      <w:r>
        <w:rPr>
          <w:rStyle w:val="18"/>
          <w:rFonts w:hint="default" w:ascii="Times New Roman" w:hAnsi="Times New Roman" w:eastAsia="楷体" w:cs="Times New Roman"/>
          <w:spacing w:val="-4"/>
          <w:sz w:val="32"/>
          <w:szCs w:val="32"/>
        </w:rPr>
        <w:t>项目决策情况</w:t>
      </w:r>
    </w:p>
    <w:p w14:paraId="41D9AAA7">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项目决策类指标由3个二级指标和6个三级指标构成，权重分21分，实际得分21分。</w:t>
      </w:r>
    </w:p>
    <w:p w14:paraId="6076421E">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楷体" w:cs="Times New Roman"/>
          <w:b w:val="0"/>
          <w:bCs w:val="0"/>
          <w:spacing w:val="-4"/>
          <w:sz w:val="32"/>
          <w:szCs w:val="32"/>
        </w:rPr>
      </w:pPr>
      <w:r>
        <w:rPr>
          <w:rStyle w:val="18"/>
          <w:rFonts w:hint="default" w:ascii="Times New Roman" w:hAnsi="Times New Roman" w:eastAsia="楷体" w:cs="Times New Roman"/>
          <w:b w:val="0"/>
          <w:bCs w:val="0"/>
          <w:spacing w:val="-4"/>
          <w:sz w:val="32"/>
          <w:szCs w:val="32"/>
        </w:rPr>
        <w:t>1.项目立项情况分析</w:t>
      </w:r>
    </w:p>
    <w:p w14:paraId="4F3AFA46">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楷体" w:cs="Times New Roman"/>
          <w:b w:val="0"/>
          <w:bCs w:val="0"/>
          <w:spacing w:val="-4"/>
          <w:sz w:val="32"/>
          <w:szCs w:val="32"/>
        </w:rPr>
      </w:pPr>
      <w:r>
        <w:rPr>
          <w:rStyle w:val="18"/>
          <w:rFonts w:hint="default" w:ascii="Times New Roman" w:hAnsi="Times New Roman" w:eastAsia="楷体" w:cs="Times New Roman"/>
          <w:b w:val="0"/>
          <w:bCs w:val="0"/>
          <w:spacing w:val="-4"/>
          <w:sz w:val="32"/>
          <w:szCs w:val="32"/>
        </w:rPr>
        <w:t>（1）立项依据充分性</w:t>
      </w:r>
    </w:p>
    <w:p w14:paraId="4DAD9232">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本项目立项符合第四次地委财委会会议精神，符合行业发展规划和政策要求；本项目立项符合《和田地区国有资产监督管理委员会单位配置内设机构和人员编制规定》中职责范围中的“根据行署授权，依照《中华人民共和国公司法》《中华人民共和国企业国有资产法》等法律和行政法规履行出资人职责，监管所出资企业的国有资产，加强国有资产的管理工作”，属于我单位履职所需；根据《财政资金直接支付申请书》，本项目资金性质为“公共财政预算”功能分类为“2170199其他国有资产监管支出”经济分类为“50601资本性支出（一）”属于公共财政支持范围，符合中央、地方事权支出责任划分原则；经检查我单位财政应用平台指标，本项目不存在重复。</w:t>
      </w:r>
    </w:p>
    <w:p w14:paraId="0A557588">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综上所述，本指标满分为5分，根据评分标准得5分，本项目立项依据充分。</w:t>
      </w:r>
    </w:p>
    <w:p w14:paraId="3D53ED3A">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楷体" w:cs="Times New Roman"/>
          <w:b w:val="0"/>
          <w:bCs w:val="0"/>
          <w:spacing w:val="-4"/>
          <w:sz w:val="32"/>
          <w:szCs w:val="32"/>
        </w:rPr>
      </w:pPr>
      <w:r>
        <w:rPr>
          <w:rStyle w:val="18"/>
          <w:rFonts w:hint="default" w:ascii="Times New Roman" w:hAnsi="Times New Roman" w:eastAsia="楷体" w:cs="Times New Roman"/>
          <w:b w:val="0"/>
          <w:bCs w:val="0"/>
          <w:spacing w:val="-4"/>
          <w:sz w:val="32"/>
          <w:szCs w:val="32"/>
        </w:rPr>
        <w:t>（2）立项程序规范性</w:t>
      </w:r>
    </w:p>
    <w:p w14:paraId="71F86AA0">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本项目为非基础建设类项目，属于专项资金安排项目，由我单位严格按照第四次地委财委会会议精神要求实施项目。经查看，该项目申请设立过程产生的相关文件，符合相关要求。不涉及发改立项批复流程，由我单位自行编制项目实施方案和项目预算申请计划，经过与党委会研究确定最终预算方案。不涉及事前绩效评估、可行性研究以及风险评估。</w:t>
      </w:r>
    </w:p>
    <w:p w14:paraId="63A5DEB5">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综上所述，本指标满分为3分，根据评分标准得3分，本项目立项程序规范。</w:t>
      </w:r>
    </w:p>
    <w:p w14:paraId="01BD6C67">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楷体" w:cs="Times New Roman"/>
          <w:b w:val="0"/>
          <w:bCs w:val="0"/>
          <w:spacing w:val="-4"/>
          <w:sz w:val="32"/>
          <w:szCs w:val="32"/>
        </w:rPr>
      </w:pPr>
      <w:r>
        <w:rPr>
          <w:rStyle w:val="18"/>
          <w:rFonts w:hint="default" w:ascii="Times New Roman" w:hAnsi="Times New Roman" w:eastAsia="楷体" w:cs="Times New Roman"/>
          <w:b w:val="0"/>
          <w:bCs w:val="0"/>
          <w:spacing w:val="-4"/>
          <w:sz w:val="32"/>
          <w:szCs w:val="32"/>
        </w:rPr>
        <w:t>2.绩效目标情况分析</w:t>
      </w:r>
    </w:p>
    <w:p w14:paraId="57423C29">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楷体" w:cs="Times New Roman"/>
          <w:b w:val="0"/>
          <w:bCs w:val="0"/>
          <w:spacing w:val="-4"/>
          <w:sz w:val="32"/>
          <w:szCs w:val="32"/>
        </w:rPr>
      </w:pPr>
      <w:r>
        <w:rPr>
          <w:rStyle w:val="18"/>
          <w:rFonts w:hint="default" w:ascii="Times New Roman" w:hAnsi="Times New Roman" w:eastAsia="楷体" w:cs="Times New Roman"/>
          <w:b w:val="0"/>
          <w:bCs w:val="0"/>
          <w:spacing w:val="-4"/>
          <w:sz w:val="32"/>
          <w:szCs w:val="32"/>
        </w:rPr>
        <w:t>（1）绩效目标合理性</w:t>
      </w:r>
    </w:p>
    <w:p w14:paraId="5F430276">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本项目已设置年度绩效目标，具体内容为“根据第四次财委会会议精神，按照《中华人民共和国公司法》规定及各公司开展业务需要，地方财政给地区国有企业拨付4000万元注册资本金确保企业平稳运营，涉及1家企业，目标资金使用合规率达到100%，资金拨付及时率达到100%，资金支持企业满意度达到95%以上”；本项目实际工作内容为：截至2024年12月31日，本项目实际支出资金4000万元，预算执行率为100.00%。绩效目标与实际工作内容一致，两者具有相关性;本项目按照绩效目标完成了数量指标、质量指标、时效指标、成本指标，有效确保企业平稳运营等效益，年度绩效目标完成，预期产出效益和效果符合正常的业绩水平。</w:t>
      </w:r>
    </w:p>
    <w:p w14:paraId="29D2CA25">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综上所述，本指标满分为4分，根据评分标准得4分，本项目绩效目标设置合理。</w:t>
      </w:r>
    </w:p>
    <w:p w14:paraId="4FAC62F0">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楷体" w:cs="Times New Roman"/>
          <w:b w:val="0"/>
          <w:bCs w:val="0"/>
          <w:spacing w:val="-4"/>
          <w:sz w:val="32"/>
          <w:szCs w:val="32"/>
        </w:rPr>
      </w:pPr>
      <w:r>
        <w:rPr>
          <w:rStyle w:val="18"/>
          <w:rFonts w:hint="default" w:ascii="Times New Roman" w:hAnsi="Times New Roman" w:eastAsia="楷体" w:cs="Times New Roman"/>
          <w:b w:val="0"/>
          <w:bCs w:val="0"/>
          <w:spacing w:val="-4"/>
          <w:sz w:val="32"/>
          <w:szCs w:val="32"/>
        </w:rPr>
        <w:t>（2）绩效指标明确性</w:t>
      </w:r>
    </w:p>
    <w:p w14:paraId="4C536AE3">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经检查我单位年初设置的《项目支出绩效目标表》，得出如下结论：本项目已将年度绩效目标进行细化为绩效指标体系，共设置一级指标4个，二级指标6个，三级指标7个，定量指标5个，定性指标2个，指标量化率为71.43%，量化率达70.00%以上。</w:t>
      </w:r>
    </w:p>
    <w:p w14:paraId="2410D59F">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综上所述，本指标满分为3分，根据评分标准得3分，本项目所设置绩效指标明确。</w:t>
      </w:r>
    </w:p>
    <w:p w14:paraId="51D7B710">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楷体" w:cs="Times New Roman"/>
          <w:b w:val="0"/>
          <w:bCs w:val="0"/>
          <w:spacing w:val="-4"/>
          <w:sz w:val="32"/>
          <w:szCs w:val="32"/>
        </w:rPr>
      </w:pPr>
      <w:r>
        <w:rPr>
          <w:rStyle w:val="18"/>
          <w:rFonts w:hint="default" w:ascii="Times New Roman" w:hAnsi="Times New Roman" w:eastAsia="楷体" w:cs="Times New Roman"/>
          <w:b w:val="0"/>
          <w:bCs w:val="0"/>
          <w:spacing w:val="-4"/>
          <w:sz w:val="32"/>
          <w:szCs w:val="32"/>
        </w:rPr>
        <w:t>3.资金投入情况分析</w:t>
      </w:r>
    </w:p>
    <w:p w14:paraId="6728FE7D">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楷体" w:cs="Times New Roman"/>
          <w:b w:val="0"/>
          <w:bCs w:val="0"/>
          <w:spacing w:val="-4"/>
          <w:sz w:val="32"/>
          <w:szCs w:val="32"/>
        </w:rPr>
      </w:pPr>
      <w:r>
        <w:rPr>
          <w:rStyle w:val="18"/>
          <w:rFonts w:hint="default" w:ascii="Times New Roman" w:hAnsi="Times New Roman" w:eastAsia="楷体" w:cs="Times New Roman"/>
          <w:b w:val="0"/>
          <w:bCs w:val="0"/>
          <w:spacing w:val="-4"/>
          <w:sz w:val="32"/>
          <w:szCs w:val="32"/>
        </w:rPr>
        <w:t>（1）预算编制科学性</w:t>
      </w:r>
    </w:p>
    <w:p w14:paraId="5A2F2852">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本项目预算编制根据第四次财委会会议精神，即预算编制较科学且经过论证；</w:t>
      </w:r>
    </w:p>
    <w:p w14:paraId="4ADC5162">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预算申请内容为地区国有企业注入资本金用于国有企业开展业务需要，项目实际内容为地区国有企业注入资本金用于国有企业开展业务需要，预算申请与《注册资本金项目实施方案》中涉及的项目内容匹配；</w:t>
      </w:r>
    </w:p>
    <w:p w14:paraId="5FF9F315">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本项目预算申请资金4000万元，我单位在预算申请中严格按照单位标准和数量进行核算，本项目预算额度测算依据充分，严格按照标准编制，预算确定资金量与实际工作任务相匹配；</w:t>
      </w:r>
      <w:r>
        <w:rPr>
          <w:rStyle w:val="18"/>
          <w:rFonts w:hint="default" w:ascii="Times New Roman" w:hAnsi="Times New Roman" w:eastAsia="仿宋_GB2312" w:cs="Times New Roman"/>
          <w:b w:val="0"/>
          <w:bCs w:val="0"/>
          <w:spacing w:val="-4"/>
          <w:sz w:val="32"/>
          <w:szCs w:val="32"/>
        </w:rPr>
        <w:cr/>
      </w:r>
      <w:r>
        <w:rPr>
          <w:rStyle w:val="18"/>
          <w:rFonts w:hint="default" w:ascii="Times New Roman" w:hAnsi="Times New Roman" w:eastAsia="仿宋_GB2312" w:cs="Times New Roman"/>
          <w:b w:val="0"/>
          <w:bCs w:val="0"/>
          <w:spacing w:val="-4"/>
          <w:sz w:val="32"/>
          <w:szCs w:val="32"/>
        </w:rPr>
        <w:t>综上所述，本指标满分为4分，根据评分标准4分，本项目预算编制科学。</w:t>
      </w:r>
    </w:p>
    <w:p w14:paraId="0C180598">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楷体" w:cs="Times New Roman"/>
          <w:b w:val="0"/>
          <w:bCs w:val="0"/>
          <w:spacing w:val="-4"/>
          <w:sz w:val="32"/>
          <w:szCs w:val="32"/>
        </w:rPr>
      </w:pPr>
      <w:r>
        <w:rPr>
          <w:rStyle w:val="18"/>
          <w:rFonts w:hint="default" w:ascii="Times New Roman" w:hAnsi="Times New Roman" w:eastAsia="楷体" w:cs="Times New Roman"/>
          <w:b w:val="0"/>
          <w:bCs w:val="0"/>
          <w:spacing w:val="-4"/>
          <w:sz w:val="32"/>
          <w:szCs w:val="32"/>
        </w:rPr>
        <w:t>（2）资金分配合理性</w:t>
      </w:r>
    </w:p>
    <w:p w14:paraId="3CB553F8">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本项目实际分配资金以《关于支付4000万元注册资本金的申请》和《国有企业注册资本金项目实施方案》为依据进行资金分配，预算资金分配依据充分。根据第四次财委会会议精神显示，本项目实际到位资金4000万元，实际分配资金与我单位提交申请的资金额度一致，资金分配额度合理，与我单位实际需求相适应。</w:t>
      </w:r>
    </w:p>
    <w:p w14:paraId="18B43631">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楷体" w:cs="Times New Roman"/>
          <w:b w:val="0"/>
          <w:bCs w:val="0"/>
          <w:spacing w:val="-4"/>
          <w:sz w:val="32"/>
          <w:szCs w:val="32"/>
          <w:lang w:eastAsia="zh-CN"/>
        </w:rPr>
      </w:pPr>
      <w:r>
        <w:rPr>
          <w:rStyle w:val="18"/>
          <w:rFonts w:hint="default" w:ascii="Times New Roman" w:hAnsi="Times New Roman" w:eastAsia="仿宋_GB2312" w:cs="Times New Roman"/>
          <w:b w:val="0"/>
          <w:bCs w:val="0"/>
          <w:spacing w:val="-4"/>
          <w:sz w:val="32"/>
          <w:szCs w:val="32"/>
        </w:rPr>
        <w:t>综上所述，本指标满分为2分，根据评分标准得2分，本项目资金分配合理。</w:t>
      </w:r>
      <w:r>
        <w:rPr>
          <w:rStyle w:val="18"/>
          <w:rFonts w:hint="default" w:ascii="Times New Roman" w:hAnsi="Times New Roman" w:eastAsia="楷体" w:cs="Times New Roman"/>
          <w:b w:val="0"/>
          <w:bCs w:val="0"/>
          <w:spacing w:val="-4"/>
          <w:sz w:val="32"/>
          <w:szCs w:val="32"/>
          <w:lang w:eastAsia="zh-CN"/>
        </w:rPr>
        <w:tab/>
      </w:r>
    </w:p>
    <w:p w14:paraId="21462A3D">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8"/>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w:t>
      </w:r>
      <w:r>
        <w:rPr>
          <w:rFonts w:hint="default" w:ascii="Times New Roman" w:hAnsi="Times New Roman" w:eastAsia="楷体" w:cs="Times New Roman"/>
          <w:b/>
          <w:spacing w:val="-4"/>
          <w:sz w:val="32"/>
          <w:szCs w:val="32"/>
          <w:lang w:val="en-US" w:eastAsia="zh-CN"/>
        </w:rPr>
        <w:t>二</w:t>
      </w:r>
      <w:r>
        <w:rPr>
          <w:rFonts w:hint="default" w:ascii="Times New Roman" w:hAnsi="Times New Roman" w:eastAsia="楷体" w:cs="Times New Roman"/>
          <w:b/>
          <w:spacing w:val="-4"/>
          <w:sz w:val="32"/>
          <w:szCs w:val="32"/>
        </w:rPr>
        <w:t>）</w:t>
      </w:r>
      <w:r>
        <w:rPr>
          <w:rStyle w:val="18"/>
          <w:rFonts w:hint="default" w:ascii="Times New Roman" w:hAnsi="Times New Roman" w:eastAsia="楷体" w:cs="Times New Roman"/>
          <w:spacing w:val="-4"/>
          <w:sz w:val="32"/>
          <w:szCs w:val="32"/>
        </w:rPr>
        <w:t>项目过程情况</w:t>
      </w:r>
    </w:p>
    <w:p w14:paraId="02D49575">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项目过程管理类指标由2个二级指标和5个三级指标构成，权重分19分，实际得分19分。</w:t>
      </w:r>
    </w:p>
    <w:p w14:paraId="371BF95F">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1.资金管理情况分析</w:t>
      </w:r>
    </w:p>
    <w:p w14:paraId="63591947">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（1）资金到位率</w:t>
      </w:r>
    </w:p>
    <w:p w14:paraId="15EEE93E">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本项目预算资金为4000万元，其中：其中：本级财政安排资金4000万元，其他资金4000万元，实际到位资金4000万元，资金到位率=（实际到位资金/预算资金）×100%=（4000/4000）*100%=100%。得分=资金到位率*分值=100%*4=4分。</w:t>
      </w:r>
    </w:p>
    <w:p w14:paraId="72A28134">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综上所述，本指标满分为4分，根据评分标准得4分，本项目资金分配合理。</w:t>
      </w:r>
    </w:p>
    <w:p w14:paraId="0994F7B1">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（2）预算执行率</w:t>
      </w:r>
    </w:p>
    <w:p w14:paraId="2EA6B8E1">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本项目实际支出资金4000万元，预算执行率=（实际支出资金/实际到位资金）×100%=（4000/4000）*100%=100%。得分=预算执行率*分值=100%*5=5分。</w:t>
      </w:r>
    </w:p>
    <w:p w14:paraId="1B951189">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综上所述，本指标满分为5分，根据评分标准得5分，本项目资金分配合理。</w:t>
      </w:r>
    </w:p>
    <w:p w14:paraId="6986E95C">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（3）资金使用合规性</w:t>
      </w:r>
    </w:p>
    <w:p w14:paraId="6B7D15B1">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通过检查本项目签订的合同、资金申请文件、发票等财务付款凭证，得出本项目资金支出符合国家财经法规、《政府会计制度》以及《和田地区国资委单位资金管理办法》《和田地区国资委专项资金管理办法》，资金的拨付有完整的审批程序和手续，资金实际使用方向与预算批复用途一致，不存在截留、挤占、挪用、虚列支出的情况。</w:t>
      </w:r>
    </w:p>
    <w:p w14:paraId="4CB6A937">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综上所述，本指标满分为4分，根据评分标准得4分，资金支出符合我单位财务管理制度规定。</w:t>
      </w:r>
    </w:p>
    <w:p w14:paraId="7D9B01AD">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2.组织实施情况分析</w:t>
      </w:r>
    </w:p>
    <w:p w14:paraId="64A4D873">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（1）管理制度健全性</w:t>
      </w:r>
    </w:p>
    <w:p w14:paraId="3850717F">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我单位已制定《和田地区国资委资金管理办法》《和田地区国资委收支业务管理制度》《和田地区国资委政府采购业务管理制度》《和田地区国资委合同管理制度》，上述已建立的制度均符合行政事业单位内控管理要求，财务和业务管理制度合法、合规、完整，本项目执行符合上述制度规定。</w:t>
      </w:r>
    </w:p>
    <w:p w14:paraId="7A7E38AE">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综上所述，本指标满分为2分，根据评分标准得2分，项目制度建设健全。</w:t>
      </w:r>
    </w:p>
    <w:p w14:paraId="6FB7AD36">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（2）制度执行有效性</w:t>
      </w:r>
    </w:p>
    <w:p w14:paraId="15BEFE45">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经对比分析本项目实际执行过程资料和已建立的项目管理制度和财务管理制度，得出本项目严格按照本单位已建立制度执行。项目资金支出严格按照自治区、地区</w:t>
      </w:r>
      <w:bookmarkStart w:id="0" w:name="_GoBack"/>
      <w:bookmarkEnd w:id="0"/>
      <w:r>
        <w:rPr>
          <w:rStyle w:val="18"/>
          <w:rFonts w:hint="default" w:ascii="Times New Roman" w:hAnsi="Times New Roman" w:eastAsia="仿宋_GB2312" w:cs="Times New Roman"/>
          <w:b w:val="0"/>
          <w:bCs w:val="0"/>
          <w:spacing w:val="-4"/>
          <w:sz w:val="32"/>
          <w:szCs w:val="32"/>
        </w:rPr>
        <w:t>以及本单位资金管理办法执行，项目启动实施后，为了加快本项目的实施，成立了注册资本金项目工作领导小组，由党组书记庄永宏任组长，负责项目的组织工作；刘一多任副组长，负责项目的实施工作；组员包括：寇珺和李勇杰，主要负责项目监督管理、验收以及资金核拨等工作。</w:t>
      </w:r>
    </w:p>
    <w:p w14:paraId="6BC85574">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综上所述，本指标满分为4分，根据评分标准得4分，本项目所建立制度执行有效。</w:t>
      </w:r>
    </w:p>
    <w:p w14:paraId="204A3E11">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w:t>
      </w:r>
      <w:r>
        <w:rPr>
          <w:rFonts w:hint="default" w:ascii="Times New Roman" w:hAnsi="Times New Roman" w:eastAsia="楷体" w:cs="Times New Roman"/>
          <w:b/>
          <w:spacing w:val="-4"/>
          <w:sz w:val="32"/>
          <w:szCs w:val="32"/>
          <w:lang w:val="en-US" w:eastAsia="zh-CN"/>
        </w:rPr>
        <w:t>三</w:t>
      </w:r>
      <w:r>
        <w:rPr>
          <w:rFonts w:hint="default" w:ascii="Times New Roman" w:hAnsi="Times New Roman" w:eastAsia="楷体" w:cs="Times New Roman"/>
          <w:b/>
          <w:spacing w:val="-4"/>
          <w:sz w:val="32"/>
          <w:szCs w:val="32"/>
        </w:rPr>
        <w:t>）</w:t>
      </w:r>
      <w:r>
        <w:rPr>
          <w:rStyle w:val="18"/>
          <w:rFonts w:hint="default" w:ascii="Times New Roman" w:hAnsi="Times New Roman" w:eastAsia="楷体" w:cs="Times New Roman"/>
          <w:spacing w:val="-4"/>
          <w:sz w:val="32"/>
          <w:szCs w:val="32"/>
        </w:rPr>
        <w:t>项目产出情况</w:t>
      </w:r>
    </w:p>
    <w:p w14:paraId="6EE5D149">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项目产出类指标由4个二级指标和5个三级指标构成，权重分20分，实际得分20分。</w:t>
      </w:r>
    </w:p>
    <w:p w14:paraId="7FCAD734">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1.数量指标完成情况分析</w:t>
      </w:r>
    </w:p>
    <w:p w14:paraId="7EA6F6C6">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“支持企业数量”指标：预期指标值为≥1个，实际完成值为=1个,指标完成率为100%。"</w:t>
      </w:r>
    </w:p>
    <w:p w14:paraId="2962F9E3">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2.质量指标完成情况分析</w:t>
      </w:r>
    </w:p>
    <w:p w14:paraId="195F9E65">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“资金使用合规率”指标：预期指标值为=100%，实际完成指标值为=100%，指标完成率为100%。</w:t>
      </w:r>
    </w:p>
    <w:p w14:paraId="0FED8BF5">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3.时效指标完成情况分析</w:t>
      </w:r>
    </w:p>
    <w:p w14:paraId="24F92051">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“资金支付及时率”指标：预期指标值为=100%，实际完成指标值为=100%，指标完成率为100%。</w:t>
      </w:r>
    </w:p>
    <w:p w14:paraId="0B1466BA">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“项目完成时间”指标：预期指标值为2024年12月底前，实际完成指标值为2024年12月31日，指标完成率为100%。</w:t>
      </w:r>
    </w:p>
    <w:p w14:paraId="212EBDF9">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4.成本指标完成情况分析</w:t>
      </w:r>
    </w:p>
    <w:p w14:paraId="617B4145">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“注册资金成本”指标：预期指标值为≤4000万元，实际完成指标值为=4000万元，指标完成率为100%。</w:t>
      </w:r>
    </w:p>
    <w:p w14:paraId="588BD28F">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w:t>
      </w:r>
      <w:r>
        <w:rPr>
          <w:rFonts w:hint="default" w:ascii="Times New Roman" w:hAnsi="Times New Roman" w:eastAsia="楷体" w:cs="Times New Roman"/>
          <w:b/>
          <w:spacing w:val="-4"/>
          <w:sz w:val="32"/>
          <w:szCs w:val="32"/>
          <w:lang w:val="en-US" w:eastAsia="zh-CN"/>
        </w:rPr>
        <w:t>四</w:t>
      </w:r>
      <w:r>
        <w:rPr>
          <w:rFonts w:hint="default" w:ascii="Times New Roman" w:hAnsi="Times New Roman" w:eastAsia="楷体" w:cs="Times New Roman"/>
          <w:b/>
          <w:spacing w:val="-4"/>
          <w:sz w:val="32"/>
          <w:szCs w:val="32"/>
        </w:rPr>
        <w:t>）</w:t>
      </w:r>
      <w:r>
        <w:rPr>
          <w:rStyle w:val="18"/>
          <w:rFonts w:hint="default" w:ascii="Times New Roman" w:hAnsi="Times New Roman" w:eastAsia="楷体" w:cs="Times New Roman"/>
          <w:spacing w:val="-4"/>
          <w:sz w:val="32"/>
          <w:szCs w:val="32"/>
        </w:rPr>
        <w:t>项目效益情况</w:t>
      </w:r>
    </w:p>
    <w:p w14:paraId="02EE6EEB">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项目效益类指标由2个二级指标和2个三级指标构成，权重分40分，实际得分40分。</w:t>
      </w:r>
    </w:p>
    <w:p w14:paraId="77E5981F">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1.数量指标完成情况分析</w:t>
      </w:r>
    </w:p>
    <w:p w14:paraId="084AC026">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无。</w:t>
      </w:r>
    </w:p>
    <w:p w14:paraId="03A7A9EB">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2.社会效益完成情况分析</w:t>
      </w:r>
    </w:p>
    <w:p w14:paraId="3C439253">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“社会服务能力提升”指标：预期指标值为有效提升，实际完成指标值为基本达成目标，指标完成率为100%。</w:t>
      </w:r>
    </w:p>
    <w:p w14:paraId="350B63E5">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3.生态效益完成情况分析</w:t>
      </w:r>
    </w:p>
    <w:p w14:paraId="4D712C65">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无。</w:t>
      </w:r>
    </w:p>
    <w:p w14:paraId="53A4BA6C">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4.可持续影响完成情况分析</w:t>
      </w:r>
    </w:p>
    <w:p w14:paraId="7B4E8CF7">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无。</w:t>
      </w:r>
    </w:p>
    <w:p w14:paraId="417C6643">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5.满意度指标完成情况分析</w:t>
      </w:r>
    </w:p>
    <w:p w14:paraId="6D938984">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楷体"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“受益企业满意度”指标：预期指标值为=100%，实际完成指标值为100%，指标完成率为100%。</w:t>
      </w:r>
    </w:p>
    <w:p w14:paraId="237F258C">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黑体" w:cs="Times New Roman"/>
          <w:b w:val="0"/>
          <w:spacing w:val="-4"/>
          <w:sz w:val="32"/>
          <w:szCs w:val="32"/>
        </w:rPr>
      </w:pPr>
      <w:r>
        <w:rPr>
          <w:rStyle w:val="18"/>
          <w:rFonts w:hint="default" w:ascii="Times New Roman" w:hAnsi="Times New Roman" w:eastAsia="黑体" w:cs="Times New Roman"/>
          <w:b w:val="0"/>
          <w:spacing w:val="-4"/>
          <w:sz w:val="32"/>
          <w:szCs w:val="32"/>
        </w:rPr>
        <w:t>五、预算执行进度与绩效指标偏差</w:t>
      </w:r>
    </w:p>
    <w:p w14:paraId="477CB51F">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本项目年初预算资金总额为4000万元，全年预算数为4000万元，全年执行数为4000万元，预算执行率为100%。</w:t>
      </w:r>
    </w:p>
    <w:p w14:paraId="49AFE572">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本项目共设置三级指标数量7个，满分指标数量7个，扣分指标数量0个，经分析计算所有三级指标完成率得出，本项目总体完成率为100%。</w:t>
      </w:r>
    </w:p>
    <w:p w14:paraId="13A9ED64">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楷体" w:cs="Times New Roman"/>
          <w:spacing w:val="-4"/>
          <w:sz w:val="32"/>
          <w:szCs w:val="32"/>
        </w:rPr>
      </w:pPr>
      <w:r>
        <w:rPr>
          <w:rStyle w:val="18"/>
          <w:rFonts w:hint="default" w:ascii="Times New Roman" w:hAnsi="Times New Roman" w:eastAsia="仿宋_GB2312" w:cs="Times New Roman"/>
          <w:b w:val="0"/>
          <w:bCs w:val="0"/>
          <w:spacing w:val="-4"/>
          <w:sz w:val="32"/>
          <w:szCs w:val="32"/>
        </w:rPr>
        <w:t>综上所述本项目预算执行率与总体完成率之间的偏差为0%。</w:t>
      </w:r>
    </w:p>
    <w:p w14:paraId="2FEEFDBE">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黑体" w:cs="Times New Roman"/>
          <w:b w:val="0"/>
          <w:spacing w:val="-4"/>
          <w:sz w:val="32"/>
          <w:szCs w:val="32"/>
        </w:rPr>
      </w:pPr>
      <w:r>
        <w:rPr>
          <w:rStyle w:val="18"/>
          <w:rFonts w:hint="default" w:ascii="Times New Roman" w:hAnsi="Times New Roman" w:eastAsia="黑体" w:cs="Times New Roman"/>
          <w:b w:val="0"/>
          <w:spacing w:val="-4"/>
          <w:sz w:val="32"/>
          <w:szCs w:val="32"/>
        </w:rPr>
        <w:t>六、主要经验及做法、存在的问题及原因分析</w:t>
      </w:r>
    </w:p>
    <w:p w14:paraId="6F9DB6AC">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楷体" w:cs="Times New Roman"/>
          <w:b w:val="0"/>
          <w:bCs w:val="0"/>
          <w:spacing w:val="-4"/>
          <w:sz w:val="32"/>
          <w:szCs w:val="32"/>
        </w:rPr>
      </w:pPr>
      <w:r>
        <w:rPr>
          <w:rStyle w:val="18"/>
          <w:rFonts w:hint="default" w:ascii="Times New Roman" w:hAnsi="Times New Roman" w:eastAsia="楷体" w:cs="Times New Roman"/>
          <w:b w:val="0"/>
          <w:bCs w:val="0"/>
          <w:spacing w:val="-4"/>
          <w:sz w:val="32"/>
          <w:szCs w:val="32"/>
        </w:rPr>
        <w:t>（一）主要经验及做法</w:t>
      </w:r>
    </w:p>
    <w:p w14:paraId="2B33F8A8">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我单位在项目开工建设前期便组织开始完善项目管理方面的建设管理办法，从制定岗位责任制入手，细化指挥部工作人员的岗位职责，学习其他建设项目好的管理经验，充分结合本项目实际，制定了本项目的建设管理办法，并按照精细化管理、过程控制要求，在施工中不断补充完善。以本次绩效评价为契机，合理设置内部管理机构和岗位，明确职责权限，明确业务各环节流程、时间要求、审批权限等，明确单位内部各个业务归口管理责任，强化预算绩效意识。通过部门绩效评价来总结经验和教训，促进项目成果转化和应用，为今后采购类项目的长效管理，提供可行性参考建议。</w:t>
      </w:r>
    </w:p>
    <w:p w14:paraId="2372727F">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建立经费支出定期汇报和公示机制，不断提高经费支出透明度。根据经费支出情况，我局定期进行经费支出财务统计和分析，定期向分管领导进行汇报，对经费支出的管理状况提出财务建议；经费支出定期进行公示，对经费支出使用的合理性、项目经费支出使用进度管理和监督发挥了较好的作用。</w:t>
      </w:r>
    </w:p>
    <w:p w14:paraId="7400A102">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楷体" w:cs="Times New Roman"/>
          <w:b w:val="0"/>
          <w:bCs w:val="0"/>
          <w:spacing w:val="-4"/>
          <w:sz w:val="32"/>
          <w:szCs w:val="32"/>
        </w:rPr>
      </w:pPr>
      <w:r>
        <w:rPr>
          <w:rStyle w:val="18"/>
          <w:rFonts w:hint="default" w:ascii="Times New Roman" w:hAnsi="Times New Roman" w:eastAsia="楷体" w:cs="Times New Roman"/>
          <w:b w:val="0"/>
          <w:bCs w:val="0"/>
          <w:spacing w:val="-4"/>
          <w:sz w:val="32"/>
          <w:szCs w:val="32"/>
        </w:rPr>
        <w:t>（二）存在的问题及原因分析</w:t>
      </w:r>
    </w:p>
    <w:p w14:paraId="43CC7312">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1.企业专业人才力量薄弱。和田国有企业发展起步晚，底子薄，企业管理人员专业化水平和管理经验相对不足，与高质量发展的新任务新要求还有一定差距；特别是在企业的高质量发展中缺乏高端人才和复合型人才，难以满足企业在科技创新和产业升级方面的需求。</w:t>
      </w:r>
    </w:p>
    <w:p w14:paraId="52A16DE5">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2.企业核心功能尚未形成。在产业布局上，符合地区“六大产业”战略布局的比重较低，虽进行不断优化，仍处于起步阶段，实体经济规模不大，综合实力不强，战略性新兴产业短缺，突出表现为对地区核心资源的掌控力不足，对全地区产业的带动力和牵引力仍未体现，对地区构建现代产业体系保障支撑作用未能有效发挥。</w:t>
      </w:r>
    </w:p>
    <w:p w14:paraId="6CCD9640">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3.资金拨付缓慢。事前明确绩效自评工作责任分工和完成时限，并提出具体要求。项目资金监督和管理需进一步完善。严格按照合同约定和工程建设进度支付资金，每笔工程款的支付均按照施工单位申请、监理审核、项目管理部门确认、财务部门审查、领导审批等程序进行。加快专项资金拨付。企业专项资金计划还未全部下发，影响专项资金使用效益。督促协调相关企业与地区工信局就专项资金落实到位进行衔接。促进企业加快项目建设进度。切实落实工作责任，加强对尚未完工建设项目的监督检查和协调，督促相关企业积极筹措资金，确保项目资金到位，促进项目尽快建成投产。提高单个项目资金支持额度。目前专项资金规模小，项目申报数量大幅增加，致使每个项目安排的资金额度偏小。</w:t>
      </w:r>
    </w:p>
    <w:p w14:paraId="39C9999B">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黑体" w:cs="Times New Roman"/>
          <w:b w:val="0"/>
          <w:spacing w:val="-4"/>
          <w:sz w:val="32"/>
          <w:szCs w:val="32"/>
        </w:rPr>
      </w:pPr>
      <w:r>
        <w:rPr>
          <w:rStyle w:val="18"/>
          <w:rFonts w:hint="default" w:ascii="Times New Roman" w:hAnsi="Times New Roman" w:eastAsia="黑体" w:cs="Times New Roman"/>
          <w:b w:val="0"/>
          <w:spacing w:val="-4"/>
          <w:sz w:val="32"/>
          <w:szCs w:val="32"/>
          <w:lang w:val="en-US" w:eastAsia="zh-CN"/>
        </w:rPr>
        <w:t>七</w:t>
      </w:r>
      <w:r>
        <w:rPr>
          <w:rStyle w:val="18"/>
          <w:rFonts w:hint="default" w:ascii="Times New Roman" w:hAnsi="Times New Roman" w:eastAsia="黑体" w:cs="Times New Roman"/>
          <w:b w:val="0"/>
          <w:spacing w:val="-4"/>
          <w:sz w:val="32"/>
          <w:szCs w:val="32"/>
        </w:rPr>
        <w:t>、有关建议</w:t>
      </w:r>
    </w:p>
    <w:p w14:paraId="41B4466B">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（一）实施 “引育结合、政策激励” 的人才振兴战略。一方面，强化外部人才引进，制定专项引才计划，通过提供住房补贴、科研启动资金、子女入学便利等优惠政策，靶向引进战略管理、科技创新、资本运作等领域高端人才；与内地发达地区国有企业建立人才交流机制，柔性引进专家顾问。另一方面，完善内部人才培养体系，与疆内外高校、职业院校共建人才培养基地，开展定制化学历教育和技能培训；建立 “师徒制”“轮岗制” 培养模式，提升管理人员实践能力；同时，优化薪酬绩效体系，设立创新奖励基金，畅通职业晋升通道，营造良好的人才发展环境，为企业高质量发展提供坚实人才支撑。</w:t>
      </w:r>
    </w:p>
    <w:p w14:paraId="4EEB912D">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二）优化资金拨付流程，加强各部门间的沟通协调，确保施工单位申请、监理审核、项目管理部门确认、财务部门审查、领导审批等环节高效衔接，减少不必要的延误；建立资金拨付进度预警机制，对即将逾期的支付环节进行预警提醒，督促相关部门加快办理；强化资金使用过程的监督，定期对资金使用情况进行专项检查，确保资金专款专用，严格按照合同约定和工程建设进度支付资金，防止因资金管理不善导致的拨付延迟。</w:t>
      </w:r>
    </w:p>
    <w:p w14:paraId="7EBB96F0">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三）优化资金拨付流程，加强各部门间的沟通协调，确保施工单位申请、监理审核、项目管理部门确认、财务部门审查、领导审批等环节高效衔接，减少不必要的延误；建立资金拨付进度预警机制，对即将逾期的支付环节进行预警提醒，督促相关部门加快办理；强化资金使用过程的监督，定期对资金使用情况进行专项检查，确保资金专款专用，严格按照合同约定和工程建设进度支付资金，防止因资金管理不善导致的拨付延迟。</w:t>
      </w:r>
    </w:p>
    <w:p w14:paraId="4824BA52">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黑体" w:cs="Times New Roman"/>
          <w:b w:val="0"/>
          <w:spacing w:val="-4"/>
          <w:sz w:val="32"/>
          <w:szCs w:val="32"/>
        </w:rPr>
      </w:pPr>
      <w:r>
        <w:rPr>
          <w:rStyle w:val="18"/>
          <w:rFonts w:hint="default" w:ascii="Times New Roman" w:hAnsi="Times New Roman" w:eastAsia="黑体" w:cs="Times New Roman"/>
          <w:b w:val="0"/>
          <w:spacing w:val="-4"/>
          <w:sz w:val="32"/>
          <w:szCs w:val="32"/>
          <w:lang w:val="en-US" w:eastAsia="zh-CN"/>
        </w:rPr>
        <w:t>八</w:t>
      </w:r>
      <w:r>
        <w:rPr>
          <w:rStyle w:val="18"/>
          <w:rFonts w:hint="default" w:ascii="Times New Roman" w:hAnsi="Times New Roman" w:eastAsia="黑体" w:cs="Times New Roman"/>
          <w:b w:val="0"/>
          <w:spacing w:val="-4"/>
          <w:sz w:val="32"/>
          <w:szCs w:val="32"/>
        </w:rPr>
        <w:t>、其他需要说明的问题</w:t>
      </w:r>
    </w:p>
    <w:p w14:paraId="74BC0D67">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（一）本项目部分间接产生的效果无法准确在短期内衡量，因此很难认定项目产生的全部效果。通过指标来反映绩效，指标的科学性和全面性需要不断地完善和研究。</w:t>
      </w:r>
    </w:p>
    <w:p w14:paraId="20F74E8D">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p>
    <w:p w14:paraId="034CE0E7">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（三）评价结果分别编入政府决算和部门预算，报送本级人民代表大会常务委员会，并依法予以公开。</w:t>
      </w:r>
    </w:p>
    <w:p w14:paraId="3FF36AC9">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146F962A">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仿宋_GB2312" w:cs="Times New Roman"/>
          <w:b w:val="0"/>
          <w:bCs w:val="0"/>
          <w:spacing w:val="-4"/>
          <w:sz w:val="32"/>
          <w:szCs w:val="32"/>
        </w:rPr>
      </w:pPr>
      <w:r>
        <w:rPr>
          <w:rStyle w:val="18"/>
          <w:rFonts w:hint="default" w:ascii="Times New Roman" w:hAnsi="Times New Roman" w:eastAsia="仿宋_GB2312" w:cs="Times New Roman"/>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FreeSerif">
    <w:panose1 w:val="02020603050405020304"/>
    <w:charset w:val="00"/>
    <w:family w:val="auto"/>
    <w:pitch w:val="default"/>
    <w:sig w:usb0="E59FAFFF" w:usb1="C200FDFF" w:usb2="43501B29" w:usb3="04000043" w:csb0="600101FF" w:csb1="FFFF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Liberation Serif">
    <w:panose1 w:val="02020603050405020304"/>
    <w:charset w:val="00"/>
    <w:family w:val="auto"/>
    <w:pitch w:val="default"/>
    <w:sig w:usb0="A00002AF" w:usb1="500078FB" w:usb2="00000000" w:usb3="00000000" w:csb0="6000009F" w:csb1="DFD7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0B8C84BF">
        <w:pPr>
          <w:pStyle w:val="12"/>
          <w:jc w:val="center"/>
        </w:pPr>
        <w:r>
          <w:fldChar w:fldCharType="begin"/>
        </w:r>
        <w:r>
          <w:instrText xml:space="preserve">PAGE   \* MERGEFORMAT</w:instrText>
        </w:r>
        <w:r>
          <w:fldChar w:fldCharType="separate"/>
        </w:r>
        <w:r>
          <w:rPr>
            <w:lang w:val="zh-CN"/>
          </w:rPr>
          <w:t>1</w:t>
        </w:r>
        <w:r>
          <w:fldChar w:fldCharType="end"/>
        </w:r>
      </w:p>
    </w:sdtContent>
  </w:sdt>
  <w:p w14:paraId="4EEAC73B">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DFCBC6"/>
    <w:multiLevelType w:val="singleLevel"/>
    <w:tmpl w:val="2DDFCBC6"/>
    <w:lvl w:ilvl="0" w:tentative="0">
      <w:start w:val="2"/>
      <w:numFmt w:val="decimal"/>
      <w:suff w:val="nothing"/>
      <w:lvlText w:val="（%1）"/>
      <w:lvlJc w:val="left"/>
    </w:lvl>
  </w:abstractNum>
  <w:abstractNum w:abstractNumId="1">
    <w:nsid w:val="4154BEDD"/>
    <w:multiLevelType w:val="singleLevel"/>
    <w:tmpl w:val="4154BEDD"/>
    <w:lvl w:ilvl="0" w:tentative="0">
      <w:start w:val="2"/>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4715A84"/>
    <w:rsid w:val="0856517C"/>
    <w:rsid w:val="0BFB189F"/>
    <w:rsid w:val="11BD75F7"/>
    <w:rsid w:val="13BE561A"/>
    <w:rsid w:val="15392994"/>
    <w:rsid w:val="18FE139B"/>
    <w:rsid w:val="27D84E8E"/>
    <w:rsid w:val="288F421B"/>
    <w:rsid w:val="2E1661E6"/>
    <w:rsid w:val="3029612C"/>
    <w:rsid w:val="32A221C5"/>
    <w:rsid w:val="33F20F2A"/>
    <w:rsid w:val="34C44675"/>
    <w:rsid w:val="36DD0212"/>
    <w:rsid w:val="38C102FE"/>
    <w:rsid w:val="3B5B5607"/>
    <w:rsid w:val="3CE21B3C"/>
    <w:rsid w:val="41097F27"/>
    <w:rsid w:val="440941EF"/>
    <w:rsid w:val="4D2606A1"/>
    <w:rsid w:val="51830480"/>
    <w:rsid w:val="53A616BE"/>
    <w:rsid w:val="54662BFB"/>
    <w:rsid w:val="5F741157"/>
    <w:rsid w:val="62051CA5"/>
    <w:rsid w:val="6C3A69EF"/>
    <w:rsid w:val="7DB12889"/>
    <w:rsid w:val="FF5569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273</Words>
  <Characters>581</Characters>
  <Lines>5</Lines>
  <Paragraphs>1</Paragraphs>
  <TotalTime>227</TotalTime>
  <ScaleCrop>false</ScaleCrop>
  <LinksUpToDate>false</LinksUpToDate>
  <CharactersWithSpaces>595</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恺（预算处）</dc:creator>
  <cp:lastModifiedBy>sugon</cp:lastModifiedBy>
  <cp:lastPrinted>2025-09-28T13:05:12Z</cp:lastPrinted>
  <dcterms:modified xsi:type="dcterms:W3CDTF">2025-09-28T13:05:26Z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C734C92AAAF24344A0E4232D8EB3359B</vt:lpwstr>
  </property>
</Properties>
</file>