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和田地区干休所2024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1617B174">
      <w:r>
        <w:br w:type="page"/>
      </w:r>
    </w:p>
    <w:p w14:paraId="25EB3EF9">
      <w:pPr>
        <w:spacing w:line="640" w:lineRule="exact"/>
        <w:jc w:val="center"/>
        <w:outlineLvl w:val="1"/>
      </w:pPr>
      <w:r>
        <w:rPr>
          <w:rFonts w:ascii="黑体" w:hAnsi="黑体" w:eastAsia="黑体"/>
          <w:sz w:val="32"/>
        </w:rPr>
        <w:t>第一部分 单位概况</w:t>
      </w:r>
    </w:p>
    <w:p w14:paraId="0060F4F2">
      <w:pPr>
        <w:spacing w:line="640" w:lineRule="exact"/>
        <w:ind w:firstLine="640"/>
        <w:jc w:val="both"/>
        <w:outlineLvl w:val="2"/>
      </w:pPr>
      <w:r>
        <w:rPr>
          <w:rFonts w:ascii="黑体" w:hAnsi="黑体" w:eastAsia="黑体"/>
          <w:sz w:val="32"/>
        </w:rPr>
        <w:t>一、主要职能</w:t>
      </w:r>
    </w:p>
    <w:p w14:paraId="66208870">
      <w:pPr>
        <w:spacing w:line="580" w:lineRule="exact"/>
        <w:ind w:firstLine="640"/>
        <w:jc w:val="both"/>
      </w:pPr>
      <w:r>
        <w:rPr>
          <w:rFonts w:ascii="仿宋_GB2312" w:hAnsi="仿宋_GB2312" w:eastAsia="仿宋_GB2312"/>
          <w:sz w:val="32"/>
        </w:rPr>
        <w:t>1、指导、督促老干部工作对外交流活动，研究、制定、落实中央和自治区党委有关老干部工作事业发展战略及重大决策、法规的具体办法，协调推动有关部门实施老干部工作发展规划，做好老干部工作。</w:t>
      </w:r>
    </w:p>
    <w:p w14:paraId="61D53515">
      <w:pPr>
        <w:spacing w:line="580" w:lineRule="exact"/>
        <w:ind w:firstLine="640"/>
        <w:jc w:val="both"/>
      </w:pPr>
      <w:r>
        <w:rPr>
          <w:rFonts w:ascii="仿宋_GB2312" w:hAnsi="仿宋_GB2312" w:eastAsia="仿宋_GB2312"/>
          <w:sz w:val="32"/>
        </w:rPr>
        <w:t>2、组织、协调、指导、督促有关部门做好老年人权益保障工作。</w:t>
      </w:r>
    </w:p>
    <w:p w14:paraId="122D6FA6">
      <w:pPr>
        <w:spacing w:line="580" w:lineRule="exact"/>
        <w:ind w:firstLine="640"/>
        <w:jc w:val="both"/>
      </w:pPr>
      <w:r>
        <w:rPr>
          <w:rFonts w:ascii="仿宋_GB2312" w:hAnsi="仿宋_GB2312" w:eastAsia="仿宋_GB2312"/>
          <w:sz w:val="32"/>
        </w:rPr>
        <w:t>3、推动开展有利于老年人身心健康的各种活动。</w:t>
      </w:r>
    </w:p>
    <w:p w14:paraId="7F57C6EF">
      <w:pPr>
        <w:spacing w:line="640" w:lineRule="exact"/>
        <w:ind w:firstLine="640"/>
        <w:jc w:val="both"/>
        <w:outlineLvl w:val="2"/>
      </w:pPr>
      <w:r>
        <w:rPr>
          <w:rFonts w:ascii="黑体" w:hAnsi="黑体" w:eastAsia="黑体"/>
          <w:sz w:val="32"/>
        </w:rPr>
        <w:t>二、机构设置及人员情况</w:t>
      </w:r>
    </w:p>
    <w:p w14:paraId="757998FE">
      <w:pPr>
        <w:spacing w:line="580" w:lineRule="exact"/>
        <w:ind w:firstLine="640"/>
        <w:jc w:val="both"/>
      </w:pPr>
      <w:r>
        <w:rPr>
          <w:rFonts w:ascii="仿宋_GB2312" w:hAnsi="仿宋_GB2312" w:eastAsia="仿宋_GB2312"/>
          <w:sz w:val="32"/>
        </w:rPr>
        <w:t>和田地区干休所2024年度，实有人数21人，其中：在职人员10人，增加1人；离休人员0人，增加0人；退休人员11人,增加0人。</w:t>
      </w:r>
    </w:p>
    <w:p w14:paraId="0135DEBB">
      <w:pPr>
        <w:spacing w:line="580" w:lineRule="exact"/>
        <w:ind w:firstLine="640"/>
        <w:jc w:val="both"/>
      </w:pPr>
      <w:r>
        <w:rPr>
          <w:rFonts w:ascii="仿宋_GB2312" w:hAnsi="仿宋_GB2312" w:eastAsia="仿宋_GB2312"/>
          <w:sz w:val="32"/>
        </w:rPr>
        <w:t>和田地区干休所无下属预算单位，下设1个科室，分别是：办公室。</w:t>
      </w:r>
    </w:p>
    <w:p w14:paraId="463324F6">
      <w:r>
        <w:br w:type="page"/>
      </w:r>
    </w:p>
    <w:p w14:paraId="39429449">
      <w:pPr>
        <w:spacing w:line="240" w:lineRule="auto"/>
        <w:jc w:val="center"/>
        <w:outlineLvl w:val="1"/>
      </w:pPr>
      <w:r>
        <w:rPr>
          <w:rFonts w:ascii="黑体" w:hAnsi="黑体" w:eastAsia="黑体"/>
          <w:sz w:val="32"/>
        </w:rPr>
        <w:t>第二部分 部门决算情况说明</w:t>
      </w:r>
    </w:p>
    <w:p w14:paraId="6343A047">
      <w:pPr>
        <w:spacing w:line="640" w:lineRule="exact"/>
        <w:ind w:firstLine="640"/>
        <w:jc w:val="both"/>
        <w:outlineLvl w:val="2"/>
      </w:pPr>
      <w:r>
        <w:rPr>
          <w:rFonts w:ascii="黑体" w:hAnsi="黑体" w:eastAsia="黑体"/>
          <w:sz w:val="32"/>
        </w:rPr>
        <w:t>一、收入支出决算总体情况说明</w:t>
      </w:r>
    </w:p>
    <w:p w14:paraId="4D363962">
      <w:pPr>
        <w:spacing w:line="580" w:lineRule="exact"/>
        <w:ind w:firstLine="640"/>
        <w:jc w:val="both"/>
      </w:pPr>
      <w:r>
        <w:rPr>
          <w:rFonts w:ascii="仿宋_GB2312" w:hAnsi="仿宋_GB2312" w:eastAsia="仿宋_GB2312"/>
          <w:b/>
          <w:sz w:val="32"/>
        </w:rPr>
        <w:t>2024年度收入总计257.09万元，</w:t>
      </w:r>
      <w:r>
        <w:rPr>
          <w:rFonts w:ascii="仿宋_GB2312" w:hAnsi="仿宋_GB2312" w:eastAsia="仿宋_GB2312"/>
          <w:b w:val="0"/>
          <w:sz w:val="32"/>
        </w:rPr>
        <w:t>其中：本年收入合计257.09万元，使用非财政拨款结余（含专用结余）0.00万元，年初结转和结余0.00万元。</w:t>
      </w:r>
    </w:p>
    <w:p w14:paraId="5C29FA64">
      <w:pPr>
        <w:spacing w:line="580" w:lineRule="exact"/>
        <w:ind w:firstLine="640"/>
        <w:jc w:val="both"/>
      </w:pPr>
      <w:r>
        <w:rPr>
          <w:rFonts w:ascii="仿宋_GB2312" w:hAnsi="仿宋_GB2312" w:eastAsia="仿宋_GB2312"/>
          <w:b/>
          <w:sz w:val="32"/>
        </w:rPr>
        <w:t>2024年度支出总计257.09万元，</w:t>
      </w:r>
      <w:r>
        <w:rPr>
          <w:rFonts w:ascii="仿宋_GB2312" w:hAnsi="仿宋_GB2312" w:eastAsia="仿宋_GB2312"/>
          <w:b w:val="0"/>
          <w:sz w:val="32"/>
        </w:rPr>
        <w:t>其中：本年支出合计257.09万元，结余分配0.00万元，年末结转和结余0.00万元。</w:t>
      </w:r>
    </w:p>
    <w:p w14:paraId="7E4E8744">
      <w:pPr>
        <w:spacing w:line="580" w:lineRule="exact"/>
        <w:ind w:firstLine="640"/>
        <w:jc w:val="both"/>
      </w:pPr>
      <w:r>
        <w:rPr>
          <w:rFonts w:ascii="仿宋_GB2312" w:hAnsi="仿宋_GB2312" w:eastAsia="仿宋_GB2312"/>
          <w:b w:val="0"/>
          <w:sz w:val="32"/>
        </w:rPr>
        <w:t>收入支出总体与上年相比，增加4.88万元，增长1.93%，主要原因是：本年在职人员增加，工资调增、社保、公积金基数调增，人员经费增加。</w:t>
      </w:r>
    </w:p>
    <w:p w14:paraId="2734A5BA">
      <w:pPr>
        <w:spacing w:line="640" w:lineRule="exact"/>
        <w:ind w:firstLine="640"/>
        <w:jc w:val="both"/>
        <w:outlineLvl w:val="2"/>
      </w:pPr>
      <w:r>
        <w:rPr>
          <w:rFonts w:ascii="黑体" w:hAnsi="黑体" w:eastAsia="黑体"/>
          <w:sz w:val="32"/>
        </w:rPr>
        <w:t>二、收入决算情况说明</w:t>
      </w:r>
    </w:p>
    <w:p w14:paraId="308B42D9">
      <w:pPr>
        <w:spacing w:line="580" w:lineRule="exact"/>
        <w:ind w:firstLine="640"/>
        <w:jc w:val="both"/>
      </w:pPr>
      <w:r>
        <w:rPr>
          <w:rFonts w:ascii="仿宋_GB2312" w:hAnsi="仿宋_GB2312" w:eastAsia="仿宋_GB2312"/>
          <w:b/>
          <w:sz w:val="32"/>
        </w:rPr>
        <w:t>本年收入257.09万元，</w:t>
      </w:r>
      <w:r>
        <w:rPr>
          <w:rFonts w:ascii="仿宋_GB2312" w:hAnsi="仿宋_GB2312" w:eastAsia="仿宋_GB2312"/>
          <w:b w:val="0"/>
          <w:sz w:val="32"/>
        </w:rPr>
        <w:t>其中：财政拨款收入257.09万元，占100.00%；上级补助收入0.00万元，占0.00%；事业收入0.00万元，占0.00%；经营收入0.00万元，占0.00%；附属单位上缴收入0.00万元，占0.00%；其他收入0.00万元，占0.00%。</w:t>
      </w:r>
    </w:p>
    <w:p w14:paraId="4D21C768">
      <w:pPr>
        <w:spacing w:line="640" w:lineRule="exact"/>
        <w:ind w:firstLine="640"/>
        <w:jc w:val="both"/>
        <w:outlineLvl w:val="2"/>
      </w:pPr>
      <w:r>
        <w:rPr>
          <w:rFonts w:ascii="黑体" w:hAnsi="黑体" w:eastAsia="黑体"/>
          <w:sz w:val="32"/>
        </w:rPr>
        <w:t>三、支出决算情况说明</w:t>
      </w:r>
    </w:p>
    <w:p w14:paraId="208E82DD">
      <w:pPr>
        <w:spacing w:line="580" w:lineRule="exact"/>
        <w:ind w:firstLine="640"/>
        <w:jc w:val="both"/>
      </w:pPr>
      <w:r>
        <w:rPr>
          <w:rFonts w:ascii="仿宋_GB2312" w:hAnsi="仿宋_GB2312" w:eastAsia="仿宋_GB2312"/>
          <w:b/>
          <w:sz w:val="32"/>
        </w:rPr>
        <w:t>本年支出257.09万元，</w:t>
      </w:r>
      <w:r>
        <w:rPr>
          <w:rFonts w:ascii="仿宋_GB2312" w:hAnsi="仿宋_GB2312" w:eastAsia="仿宋_GB2312"/>
          <w:b w:val="0"/>
          <w:sz w:val="32"/>
        </w:rPr>
        <w:t>其中：基本支出250.81万元，占97.56%；项目支出6.28万元，占2.44%；上缴上级支出0.00万元，占0.00%；经营支出0.00万元，占0.00%；对附属单位补助支出0.00万元，占0.00%。</w:t>
      </w:r>
    </w:p>
    <w:p w14:paraId="7F363DBA">
      <w:pPr>
        <w:spacing w:line="640" w:lineRule="exact"/>
        <w:ind w:firstLine="640"/>
        <w:jc w:val="both"/>
        <w:outlineLvl w:val="2"/>
      </w:pPr>
      <w:r>
        <w:rPr>
          <w:rFonts w:ascii="黑体" w:hAnsi="黑体" w:eastAsia="黑体"/>
          <w:sz w:val="32"/>
        </w:rPr>
        <w:t>四、财政拨款收入支出决算总体情况说明</w:t>
      </w:r>
    </w:p>
    <w:p w14:paraId="3DD51520">
      <w:pPr>
        <w:spacing w:line="580" w:lineRule="exact"/>
        <w:ind w:firstLine="640"/>
        <w:jc w:val="both"/>
      </w:pPr>
      <w:r>
        <w:rPr>
          <w:rFonts w:ascii="仿宋_GB2312" w:hAnsi="仿宋_GB2312" w:eastAsia="仿宋_GB2312"/>
          <w:b/>
          <w:sz w:val="32"/>
        </w:rPr>
        <w:t>2024年度财政拨款收入总计257.09万元，</w:t>
      </w:r>
      <w:r>
        <w:rPr>
          <w:rFonts w:ascii="仿宋_GB2312" w:hAnsi="仿宋_GB2312" w:eastAsia="仿宋_GB2312"/>
          <w:b w:val="0"/>
          <w:sz w:val="32"/>
        </w:rPr>
        <w:t>其中：年初财政拨款结转和结余0.00万元，本年财政拨款收入257.09万元。</w:t>
      </w:r>
      <w:r>
        <w:rPr>
          <w:rFonts w:ascii="仿宋_GB2312" w:hAnsi="仿宋_GB2312" w:eastAsia="仿宋_GB2312"/>
          <w:b/>
          <w:sz w:val="32"/>
        </w:rPr>
        <w:t>财政拨款支出总计257.09万元，</w:t>
      </w:r>
      <w:r>
        <w:rPr>
          <w:rFonts w:ascii="仿宋_GB2312" w:hAnsi="仿宋_GB2312" w:eastAsia="仿宋_GB2312"/>
          <w:b w:val="0"/>
          <w:sz w:val="32"/>
        </w:rPr>
        <w:t>其中：年末财政拨款结转和结余0.00万元，本年财政拨款支出257.09万元。</w:t>
      </w:r>
    </w:p>
    <w:p w14:paraId="6EF1CD15">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增加4.91万元，增长1.95%，主要原因是：本年在职人员增加，工资调增、社保、公积金基数调增，人员经费增加。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年初预算数252.19万元，决算数257.09万元，预决算差异率1.94%，主要原因是：年中追加人员工资、社保、公积金基数调增部分资金，导致预决算存在差异。</w:t>
      </w:r>
    </w:p>
    <w:p w14:paraId="001EC526">
      <w:pPr>
        <w:spacing w:line="640" w:lineRule="exact"/>
        <w:ind w:firstLine="640"/>
        <w:jc w:val="both"/>
        <w:outlineLvl w:val="2"/>
      </w:pPr>
      <w:r>
        <w:rPr>
          <w:rFonts w:ascii="黑体" w:hAnsi="黑体" w:eastAsia="黑体"/>
          <w:sz w:val="32"/>
        </w:rPr>
        <w:t>五、一般公共预算财政拨款支出决算情况说明</w:t>
      </w:r>
    </w:p>
    <w:p w14:paraId="35667909">
      <w:pPr>
        <w:spacing w:line="640" w:lineRule="exact"/>
        <w:ind w:firstLine="640"/>
        <w:jc w:val="both"/>
        <w:outlineLvl w:val="3"/>
      </w:pPr>
      <w:r>
        <w:rPr>
          <w:rFonts w:ascii="楷体_GB2312" w:hAnsi="楷体_GB2312" w:eastAsia="楷体_GB2312"/>
          <w:b/>
          <w:sz w:val="32"/>
        </w:rPr>
        <w:t>（一）一般公共预算财政拨款支出决算总体情况</w:t>
      </w:r>
    </w:p>
    <w:p w14:paraId="5E2C120F">
      <w:pPr>
        <w:spacing w:line="580" w:lineRule="exact"/>
        <w:ind w:firstLine="640"/>
        <w:jc w:val="both"/>
      </w:pPr>
      <w:r>
        <w:rPr>
          <w:rFonts w:ascii="仿宋_GB2312" w:hAnsi="仿宋_GB2312" w:eastAsia="仿宋_GB2312"/>
          <w:b/>
          <w:sz w:val="32"/>
        </w:rPr>
        <w:t>2024年度一般公共预算财政拨款支出257.09万元，</w:t>
      </w:r>
      <w:r>
        <w:rPr>
          <w:rFonts w:ascii="仿宋_GB2312" w:hAnsi="仿宋_GB2312" w:eastAsia="仿宋_GB2312"/>
          <w:b w:val="0"/>
          <w:sz w:val="32"/>
        </w:rPr>
        <w:t>占本年支出合计的100.00%。</w:t>
      </w:r>
      <w:r>
        <w:rPr>
          <w:rFonts w:ascii="仿宋_GB2312" w:hAnsi="仿宋_GB2312" w:eastAsia="仿宋_GB2312"/>
          <w:b/>
          <w:sz w:val="32"/>
        </w:rPr>
        <w:t>与上年相比，</w:t>
      </w:r>
      <w:r>
        <w:rPr>
          <w:rFonts w:ascii="仿宋_GB2312" w:hAnsi="仿宋_GB2312" w:eastAsia="仿宋_GB2312"/>
          <w:b w:val="0"/>
          <w:sz w:val="32"/>
        </w:rPr>
        <w:t>增加4.91万元，增长1.95%，主要原因是：本年在职人员增加，工资调增、社保、公积金基数调增，人员经费增加。</w:t>
      </w:r>
      <w:r>
        <w:rPr>
          <w:rFonts w:ascii="仿宋_GB2312" w:hAnsi="仿宋_GB2312" w:eastAsia="仿宋_GB2312"/>
          <w:b/>
          <w:sz w:val="32"/>
        </w:rPr>
        <w:t>与年初预算相比,</w:t>
      </w:r>
      <w:r>
        <w:rPr>
          <w:rFonts w:ascii="仿宋_GB2312" w:hAnsi="仿宋_GB2312" w:eastAsia="仿宋_GB2312"/>
          <w:b w:val="0"/>
          <w:sz w:val="32"/>
        </w:rPr>
        <w:t>年初预算数252.19万元，决算数257.09万元，预决算差异率1.94%，主要原因是：年中追加人员工资、社保、公积金基数调增部分资金，导致预决算存在差异。</w:t>
      </w:r>
    </w:p>
    <w:p w14:paraId="713E3345">
      <w:pPr>
        <w:spacing w:line="640" w:lineRule="exact"/>
        <w:ind w:firstLine="640"/>
        <w:jc w:val="both"/>
        <w:outlineLvl w:val="3"/>
      </w:pPr>
      <w:r>
        <w:rPr>
          <w:rFonts w:ascii="楷体_GB2312" w:hAnsi="楷体_GB2312" w:eastAsia="楷体_GB2312"/>
          <w:b/>
          <w:sz w:val="32"/>
        </w:rPr>
        <w:t>（二）一般公共预算财政拨款支出决算结构情况</w:t>
      </w:r>
    </w:p>
    <w:p w14:paraId="1187D4FD">
      <w:pPr>
        <w:spacing w:line="580" w:lineRule="exact"/>
        <w:ind w:firstLine="640"/>
        <w:jc w:val="both"/>
      </w:pPr>
      <w:r>
        <w:rPr>
          <w:rFonts w:ascii="仿宋_GB2312" w:hAnsi="仿宋_GB2312" w:eastAsia="仿宋_GB2312"/>
          <w:b w:val="0"/>
          <w:sz w:val="32"/>
        </w:rPr>
        <w:t>1.社会保障和就业支出(类)231.87万元,占90.19%。</w:t>
      </w:r>
    </w:p>
    <w:p w14:paraId="3D7D9FF3">
      <w:pPr>
        <w:spacing w:line="580" w:lineRule="exact"/>
        <w:ind w:firstLine="640"/>
        <w:jc w:val="both"/>
      </w:pPr>
      <w:r>
        <w:rPr>
          <w:rFonts w:ascii="仿宋_GB2312" w:hAnsi="仿宋_GB2312" w:eastAsia="仿宋_GB2312"/>
          <w:b w:val="0"/>
          <w:sz w:val="32"/>
        </w:rPr>
        <w:t>2.卫生健康支出(类)11.74万元,占4.57%。</w:t>
      </w:r>
    </w:p>
    <w:p w14:paraId="271B2DCE">
      <w:pPr>
        <w:spacing w:line="580" w:lineRule="exact"/>
        <w:ind w:firstLine="640"/>
        <w:jc w:val="both"/>
      </w:pPr>
      <w:r>
        <w:rPr>
          <w:rFonts w:ascii="仿宋_GB2312" w:hAnsi="仿宋_GB2312" w:eastAsia="仿宋_GB2312"/>
          <w:b w:val="0"/>
          <w:sz w:val="32"/>
        </w:rPr>
        <w:t>3.住房保障支出(类)13.48万元,占5.24%。</w:t>
      </w:r>
    </w:p>
    <w:p w14:paraId="1B098C6B">
      <w:pPr>
        <w:spacing w:line="640" w:lineRule="exact"/>
        <w:ind w:firstLine="640"/>
        <w:jc w:val="both"/>
        <w:outlineLvl w:val="3"/>
      </w:pPr>
      <w:r>
        <w:rPr>
          <w:rFonts w:ascii="楷体_GB2312" w:hAnsi="楷体_GB2312" w:eastAsia="楷体_GB2312"/>
          <w:b/>
          <w:sz w:val="32"/>
        </w:rPr>
        <w:t>（三）一般公共预算财政拨款支出决算具体情况</w:t>
      </w:r>
    </w:p>
    <w:p w14:paraId="12726E6A">
      <w:pPr>
        <w:spacing w:line="580" w:lineRule="exact"/>
        <w:ind w:firstLine="640"/>
        <w:jc w:val="both"/>
      </w:pPr>
      <w:r>
        <w:rPr>
          <w:rFonts w:ascii="仿宋_GB2312" w:hAnsi="仿宋_GB2312" w:eastAsia="仿宋_GB2312"/>
          <w:b w:val="0"/>
          <w:sz w:val="32"/>
        </w:rPr>
        <w:t>1.社会保障和就业支出(类)行政事业单位养老支出(款)行政单位离退休(项):支出决算数为14.75万元，比上年决算增加14.75万元，增长100.00%,主要原因是：本年功能科目调整，行政单位离退休上年度在主科目列支，本年单独列支，导致经费较上年增加。</w:t>
      </w:r>
    </w:p>
    <w:p w14:paraId="615A4A40">
      <w:pPr>
        <w:spacing w:line="580" w:lineRule="exact"/>
        <w:ind w:firstLine="640"/>
        <w:jc w:val="both"/>
      </w:pPr>
      <w:r>
        <w:rPr>
          <w:rFonts w:ascii="仿宋_GB2312" w:hAnsi="仿宋_GB2312" w:eastAsia="仿宋_GB2312"/>
          <w:b w:val="0"/>
          <w:sz w:val="32"/>
        </w:rPr>
        <w:t>2.社会保障和就业支出(类)行政事业单位养老支出(款)离退休人员管理机构(项):支出决算数为183.70万元，比上年决算减少38.38万元，下降17.28%,主要原因是：本年功能科目调整，行政单位离退休、行政单位医疗、住房公积金、公务员医疗补助上年度在主科目列支，本年单独列支，导致经费较上年减少。</w:t>
      </w:r>
    </w:p>
    <w:p w14:paraId="71861FE2">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17.89万元，比上年决算增加0.77万元，增长4.50%,主要原因是：本年在职人员增加，工资基数调增，养老缴费基数上涨，相应支出增加。</w:t>
      </w:r>
    </w:p>
    <w:p w14:paraId="15DFB514">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4.社会保障和就业支出(类)行政事业单位养老支出(款)机关事业单位职业年金缴费支出(项):支出决算数为9.25万元，比上年决算增加3.45万元，增长59.48%,主要原因是：本年</w:t>
      </w:r>
      <w:r>
        <w:rPr>
          <w:rFonts w:hint="eastAsia" w:ascii="仿宋_GB2312" w:hAnsi="仿宋_GB2312" w:eastAsia="仿宋_GB2312"/>
          <w:b w:val="0"/>
          <w:sz w:val="32"/>
          <w:lang w:val="en-US" w:eastAsia="zh-CN"/>
        </w:rPr>
        <w:t>补缴往年</w:t>
      </w:r>
      <w:r>
        <w:rPr>
          <w:rFonts w:ascii="仿宋_GB2312" w:hAnsi="仿宋_GB2312" w:eastAsia="仿宋_GB2312"/>
          <w:b w:val="0"/>
          <w:sz w:val="32"/>
        </w:rPr>
        <w:t>退休人员</w:t>
      </w:r>
      <w:r>
        <w:rPr>
          <w:rFonts w:hint="eastAsia" w:ascii="仿宋_GB2312" w:hAnsi="仿宋_GB2312" w:eastAsia="仿宋_GB2312"/>
          <w:b w:val="0"/>
          <w:sz w:val="32"/>
          <w:lang w:val="en-US" w:eastAsia="zh-CN"/>
        </w:rPr>
        <w:t>职业年金</w:t>
      </w:r>
      <w:r>
        <w:rPr>
          <w:rFonts w:ascii="仿宋_GB2312" w:hAnsi="仿宋_GB2312" w:eastAsia="仿宋_GB2312"/>
          <w:b w:val="0"/>
          <w:sz w:val="32"/>
        </w:rPr>
        <w:t>，职业年金缴费支出增加。</w:t>
      </w:r>
    </w:p>
    <w:p w14:paraId="4A1F7E9D">
      <w:pPr>
        <w:spacing w:line="580" w:lineRule="exact"/>
        <w:ind w:firstLine="640"/>
        <w:jc w:val="both"/>
      </w:pPr>
      <w:r>
        <w:rPr>
          <w:rFonts w:ascii="仿宋_GB2312" w:hAnsi="仿宋_GB2312" w:eastAsia="仿宋_GB2312"/>
          <w:b w:val="0"/>
          <w:sz w:val="32"/>
        </w:rPr>
        <w:t>5.社会保障和就业支出(类)行政事业单位养老支出(款)其他行政事业单位养老支出(项):支出决算数为6.28万元，比上年决算减少0.90万元，下降12.53%,主要原因是：本年减少老干部活动经费及机关运行经费项目，导致经费较上年减少。</w:t>
      </w:r>
    </w:p>
    <w:p w14:paraId="7888B400">
      <w:pPr>
        <w:spacing w:line="580" w:lineRule="exact"/>
        <w:ind w:firstLine="640"/>
        <w:jc w:val="both"/>
      </w:pPr>
      <w:r>
        <w:rPr>
          <w:rFonts w:ascii="仿宋_GB2312" w:hAnsi="仿宋_GB2312" w:eastAsia="仿宋_GB2312"/>
          <w:b w:val="0"/>
          <w:sz w:val="32"/>
        </w:rPr>
        <w:t>6.卫生健康支出(类)行政事业单位医疗(款)行政单位医疗(项):支出决算数为7.27万元，比上年决算增加7.27万元，增长100.00%,主要原因是：本年功能科目调整，行政单位医疗支出上年度在主科目列支，本年单独列支，导致经费较上年增加。</w:t>
      </w:r>
    </w:p>
    <w:p w14:paraId="593B514A">
      <w:pPr>
        <w:spacing w:line="580" w:lineRule="exact"/>
        <w:ind w:firstLine="640"/>
        <w:jc w:val="both"/>
      </w:pPr>
      <w:r>
        <w:rPr>
          <w:rFonts w:ascii="仿宋_GB2312" w:hAnsi="仿宋_GB2312" w:eastAsia="仿宋_GB2312"/>
          <w:b w:val="0"/>
          <w:sz w:val="32"/>
        </w:rPr>
        <w:t>7.卫生健康支出(类)行政事业单位医疗(款)公务员医疗补助(项):支出决算数为4.47万元，比上年决算增加4.47万元，增长100.00%,主要原因是：本年功能科目调整，公务员医疗补助上年度在主科目列支，本年单独列支，导致经费较上年增加。</w:t>
      </w:r>
    </w:p>
    <w:p w14:paraId="55358BF9">
      <w:pPr>
        <w:spacing w:line="580" w:lineRule="exact"/>
        <w:ind w:firstLine="640"/>
        <w:jc w:val="both"/>
      </w:pPr>
      <w:r>
        <w:rPr>
          <w:rFonts w:ascii="仿宋_GB2312" w:hAnsi="仿宋_GB2312" w:eastAsia="仿宋_GB2312"/>
          <w:b w:val="0"/>
          <w:sz w:val="32"/>
        </w:rPr>
        <w:t>8.住房保障支出(类)住房改革支出(款)住房公积金(项):支出决算数为13.48万元，比上年决算增加13.48万元，增长100.00%,主要原因是：本年功能科目调整，住房公积金上年度在主科目列支，本年单独列支，导致经费较上年增加。</w:t>
      </w:r>
    </w:p>
    <w:p w14:paraId="10ACBCC5">
      <w:pPr>
        <w:spacing w:line="640" w:lineRule="exact"/>
        <w:ind w:firstLine="640"/>
        <w:jc w:val="both"/>
        <w:outlineLvl w:val="2"/>
      </w:pPr>
      <w:r>
        <w:rPr>
          <w:rFonts w:ascii="黑体" w:hAnsi="黑体" w:eastAsia="黑体"/>
          <w:sz w:val="32"/>
        </w:rPr>
        <w:t>六、一般公共预算财政拨款基本支出决算情况说明</w:t>
      </w:r>
    </w:p>
    <w:p w14:paraId="20F38761">
      <w:pPr>
        <w:spacing w:line="580" w:lineRule="exact"/>
        <w:ind w:firstLine="640"/>
        <w:jc w:val="both"/>
      </w:pPr>
      <w:r>
        <w:rPr>
          <w:rFonts w:ascii="仿宋_GB2312" w:hAnsi="仿宋_GB2312" w:eastAsia="仿宋_GB2312"/>
          <w:b w:val="0"/>
          <w:sz w:val="32"/>
        </w:rPr>
        <w:t>2024年度一般公共预算财政拨款基本支出250.81万元，其中：</w:t>
      </w:r>
      <w:r>
        <w:rPr>
          <w:rFonts w:ascii="仿宋_GB2312" w:hAnsi="仿宋_GB2312" w:eastAsia="仿宋_GB2312"/>
          <w:b/>
          <w:sz w:val="32"/>
        </w:rPr>
        <w:t>人员经费244.03万元，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其他工资福利支出、退休费、抚恤金、生活补助、奖励金。</w:t>
      </w:r>
    </w:p>
    <w:p w14:paraId="0C21AD4A">
      <w:pPr>
        <w:spacing w:line="580" w:lineRule="exact"/>
        <w:ind w:firstLine="640"/>
        <w:jc w:val="both"/>
      </w:pPr>
      <w:r>
        <w:rPr>
          <w:rFonts w:ascii="仿宋_GB2312" w:hAnsi="仿宋_GB2312" w:eastAsia="仿宋_GB2312"/>
          <w:b/>
          <w:sz w:val="32"/>
        </w:rPr>
        <w:t>公用经费6.78万元，</w:t>
      </w:r>
      <w:r>
        <w:rPr>
          <w:rFonts w:ascii="仿宋_GB2312" w:hAnsi="仿宋_GB2312" w:eastAsia="仿宋_GB2312"/>
          <w:b w:val="0"/>
          <w:sz w:val="32"/>
        </w:rPr>
        <w:t>包括：办公费、水费、电费、差旅费、工会经费、福利费、公务用车运行维护费。</w:t>
      </w:r>
    </w:p>
    <w:p w14:paraId="32B6C441">
      <w:pPr>
        <w:spacing w:line="640" w:lineRule="exact"/>
        <w:ind w:firstLine="640"/>
        <w:jc w:val="both"/>
        <w:outlineLvl w:val="2"/>
      </w:pPr>
      <w:r>
        <w:rPr>
          <w:rFonts w:ascii="黑体" w:hAnsi="黑体" w:eastAsia="黑体"/>
          <w:sz w:val="32"/>
        </w:rPr>
        <w:t>七、政府性基金预算财政拨款收入支出决算情况说明</w:t>
      </w:r>
    </w:p>
    <w:p w14:paraId="00E76A9A">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17E392C5">
      <w:pPr>
        <w:spacing w:line="640" w:lineRule="exact"/>
        <w:ind w:firstLine="640"/>
        <w:jc w:val="both"/>
        <w:outlineLvl w:val="2"/>
      </w:pPr>
      <w:r>
        <w:rPr>
          <w:rFonts w:ascii="黑体" w:hAnsi="黑体" w:eastAsia="黑体"/>
          <w:sz w:val="32"/>
        </w:rPr>
        <w:t>八、国有资本经营预算财政拨款收入支出决算情况说明</w:t>
      </w:r>
    </w:p>
    <w:p w14:paraId="0661267A">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01941EB6">
      <w:pPr>
        <w:spacing w:line="640" w:lineRule="exact"/>
        <w:ind w:firstLine="640"/>
        <w:jc w:val="both"/>
        <w:outlineLvl w:val="2"/>
      </w:pPr>
      <w:r>
        <w:rPr>
          <w:rFonts w:ascii="黑体" w:hAnsi="黑体" w:eastAsia="黑体"/>
          <w:sz w:val="32"/>
        </w:rPr>
        <w:t>九、财政拨款“三公”经费支出决算情况说明</w:t>
      </w:r>
    </w:p>
    <w:p w14:paraId="309D79E4">
      <w:pPr>
        <w:spacing w:line="580" w:lineRule="exact"/>
        <w:ind w:firstLine="640"/>
        <w:jc w:val="both"/>
      </w:pPr>
      <w:r>
        <w:rPr>
          <w:rFonts w:ascii="仿宋_GB2312" w:hAnsi="仿宋_GB2312" w:eastAsia="仿宋_GB2312"/>
          <w:b/>
          <w:sz w:val="32"/>
        </w:rPr>
        <w:t>2024年度财政拨款“三公”经费支出1.02万元，</w:t>
      </w:r>
      <w:r>
        <w:rPr>
          <w:rFonts w:ascii="仿宋_GB2312" w:hAnsi="仿宋_GB2312" w:eastAsia="仿宋_GB2312"/>
          <w:b w:val="0"/>
          <w:sz w:val="32"/>
        </w:rPr>
        <w:t>比上年增加0.12万元，增长13.33%，主要原因是：本年因业务需求，用车次数增加，燃油费增加，导致公务用车运行维护费较上年增加。其中：因公出国（境）费支出0.00万元，占0.00%，比上年增加0.00万元，增长0.00%，主要原因是：2023年与2024年均未安排因公出国（境）费支出。公务用车购置及运行维护费支出1.02万元，占100.00%，比上年增加0.12万元，增长13.33%，主要原因是：本年因业务需求，用车次数增加，燃油费增加，导致公务用车运行维护费较上年增加。公务接待费支出0.00万元，占0.00%，比上年增加0.00万元，增长0.00%，主要原因是：2023年与2024年均未安排公务接待费支出。</w:t>
      </w:r>
    </w:p>
    <w:p w14:paraId="55E155BB">
      <w:pPr>
        <w:spacing w:line="580" w:lineRule="exact"/>
        <w:ind w:firstLine="640"/>
        <w:jc w:val="both"/>
      </w:pPr>
      <w:r>
        <w:rPr>
          <w:rFonts w:ascii="仿宋_GB2312" w:hAnsi="仿宋_GB2312" w:eastAsia="仿宋_GB2312"/>
          <w:b/>
          <w:sz w:val="32"/>
        </w:rPr>
        <w:t>具体情况如下：</w:t>
      </w:r>
    </w:p>
    <w:p w14:paraId="02A3B51E">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18586590">
      <w:pPr>
        <w:spacing w:line="580" w:lineRule="exact"/>
        <w:ind w:firstLine="640"/>
        <w:jc w:val="both"/>
      </w:pPr>
      <w:r>
        <w:rPr>
          <w:rFonts w:ascii="仿宋_GB2312" w:hAnsi="仿宋_GB2312" w:eastAsia="仿宋_GB2312"/>
          <w:b w:val="0"/>
          <w:sz w:val="32"/>
        </w:rPr>
        <w:t>公务用车购置及运行维护费1.02万元，其中：公务用车购置费0.00万元，公务用车运行维护费1.02万元。公务用车运行维护费开支内容包括车辆加油费、车辆维修费、车辆保险费。公务用车购置数0辆，公务用车保有量1辆。国有资产占用情况中固定资产车辆1辆，与公务用车保有量差异原因是：本单位固定资产车辆与公务用车保有量一致无差异。</w:t>
      </w:r>
    </w:p>
    <w:p w14:paraId="1C32DAE3">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78DD22C5">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1.02万元，决算数1.02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1.02万元，决算数1.02万元，预决算差异率0.00%，主要原因是：严格按照预算执行，预决算无差异。公务接待费全年预算数0.00万元，决算数0.00万元，预决算差异率0.00%，主要原因是：本单位无公务接待费。</w:t>
      </w:r>
    </w:p>
    <w:p w14:paraId="64DE9CEA">
      <w:pPr>
        <w:spacing w:line="640" w:lineRule="exact"/>
        <w:ind w:firstLine="640"/>
        <w:jc w:val="both"/>
        <w:outlineLvl w:val="2"/>
      </w:pPr>
      <w:r>
        <w:rPr>
          <w:rFonts w:ascii="黑体" w:hAnsi="黑体" w:eastAsia="黑体"/>
          <w:sz w:val="32"/>
        </w:rPr>
        <w:t>十、其他重要事项的情况说明</w:t>
      </w:r>
    </w:p>
    <w:p w14:paraId="41F8697D">
      <w:pPr>
        <w:spacing w:line="640" w:lineRule="exact"/>
        <w:ind w:firstLine="640"/>
        <w:jc w:val="both"/>
        <w:outlineLvl w:val="3"/>
      </w:pPr>
      <w:r>
        <w:rPr>
          <w:rFonts w:ascii="楷体_GB2312" w:hAnsi="楷体_GB2312" w:eastAsia="楷体_GB2312"/>
          <w:b/>
          <w:sz w:val="32"/>
        </w:rPr>
        <w:t>（一）机关运行经费及公用经费支出情况</w:t>
      </w:r>
    </w:p>
    <w:p w14:paraId="44993ACC">
      <w:pPr>
        <w:spacing w:line="580" w:lineRule="exact"/>
        <w:ind w:firstLine="640"/>
        <w:jc w:val="both"/>
      </w:pPr>
      <w:r>
        <w:rPr>
          <w:rFonts w:ascii="仿宋_GB2312" w:hAnsi="仿宋_GB2312" w:eastAsia="仿宋_GB2312"/>
          <w:b w:val="0"/>
          <w:sz w:val="32"/>
        </w:rPr>
        <w:t>2024年度和田地区干休所（行政单位和参照公务员法管理事业单位）机关运行经费支出6.78万元，比上年减少2.64万元，下降28.03%，主要原因是：本年减少电费、取暖费、福利费，导致机关运行经费较上年减少。</w:t>
      </w:r>
    </w:p>
    <w:p w14:paraId="15BA24D9">
      <w:pPr>
        <w:spacing w:line="640" w:lineRule="exact"/>
        <w:ind w:firstLine="640"/>
        <w:jc w:val="both"/>
        <w:outlineLvl w:val="3"/>
      </w:pPr>
      <w:r>
        <w:rPr>
          <w:rFonts w:ascii="楷体_GB2312" w:hAnsi="楷体_GB2312" w:eastAsia="楷体_GB2312"/>
          <w:b/>
          <w:sz w:val="32"/>
        </w:rPr>
        <w:t>（二）政府采购情况</w:t>
      </w:r>
    </w:p>
    <w:p w14:paraId="2234A79C">
      <w:pPr>
        <w:spacing w:line="580" w:lineRule="exact"/>
        <w:ind w:firstLine="640"/>
        <w:jc w:val="both"/>
      </w:pPr>
      <w:r>
        <w:rPr>
          <w:rFonts w:ascii="仿宋_GB2312" w:hAnsi="仿宋_GB2312" w:eastAsia="仿宋_GB2312"/>
          <w:b w:val="0"/>
          <w:sz w:val="32"/>
        </w:rPr>
        <w:t>2024年度政府采购支出总额0.20万元，其中：政府采购货物支出0.00万元、政府采购工程支出0.00万元、政府采购服务支出0.20万元。</w:t>
      </w:r>
    </w:p>
    <w:p w14:paraId="42509293">
      <w:pPr>
        <w:spacing w:line="580" w:lineRule="exact"/>
        <w:ind w:firstLine="640"/>
        <w:jc w:val="both"/>
      </w:pPr>
      <w:r>
        <w:rPr>
          <w:rFonts w:ascii="仿宋_GB2312" w:hAnsi="仿宋_GB2312" w:eastAsia="仿宋_GB2312"/>
          <w:b w:val="0"/>
          <w:sz w:val="32"/>
        </w:rPr>
        <w:t>授予中小企业合同金额0.20万元，占政府采购支出总额的100.00%，其中：授予小微企业合同金额0.20万元，占政府采购支出总额的100.00%。</w:t>
      </w:r>
    </w:p>
    <w:p w14:paraId="4ABB9E6A">
      <w:pPr>
        <w:spacing w:line="640" w:lineRule="exact"/>
        <w:ind w:firstLine="640"/>
        <w:jc w:val="both"/>
        <w:outlineLvl w:val="3"/>
      </w:pPr>
      <w:r>
        <w:rPr>
          <w:rFonts w:ascii="楷体_GB2312" w:hAnsi="楷体_GB2312" w:eastAsia="楷体_GB2312"/>
          <w:b/>
          <w:sz w:val="32"/>
        </w:rPr>
        <w:t>（三）国有资产占用情况说明</w:t>
      </w:r>
    </w:p>
    <w:p w14:paraId="333C0353">
      <w:pPr>
        <w:spacing w:line="580" w:lineRule="exact"/>
        <w:ind w:firstLine="640"/>
        <w:jc w:val="both"/>
      </w:pPr>
      <w:r>
        <w:rPr>
          <w:rFonts w:ascii="仿宋_GB2312" w:hAnsi="仿宋_GB2312" w:eastAsia="仿宋_GB2312"/>
          <w:b w:val="0"/>
          <w:sz w:val="32"/>
        </w:rPr>
        <w:t>截至2024年12月31日，房屋2,176.09平方米，价值97.20万元。车辆1辆，价值12.03万元，其中：副部（省）级及以上领导用车0辆、主要负责人用车0辆、机要通信用车0辆、应急保障用车0辆、执法执勤用车0辆、特种专业技术用车0辆、离退休干部服务用车1辆、其他用车0辆，其他用车主要是：本单位无其他用车。单价100万元（含）以上设备（不含车辆）0台（套）。</w:t>
      </w:r>
    </w:p>
    <w:p w14:paraId="6096A0B3">
      <w:pPr>
        <w:spacing w:line="640" w:lineRule="exact"/>
        <w:ind w:firstLine="640"/>
        <w:jc w:val="both"/>
        <w:outlineLvl w:val="2"/>
      </w:pPr>
      <w:r>
        <w:rPr>
          <w:rFonts w:ascii="黑体" w:hAnsi="黑体" w:eastAsia="黑体"/>
          <w:sz w:val="32"/>
        </w:rPr>
        <w:t>十一、预算绩效的情况说明</w:t>
      </w:r>
    </w:p>
    <w:p w14:paraId="2D64454A">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257.09万元，实际执行总额257.09万元；预算绩效评价项目1个，全年预算数6.28万元，全年执行数6.28万元。预算绩效管理取得的成效：1.本项目能够严格按照《项目实施方案》执行，项目执行情况较好。2.加强组织领导，本项目绩效评价工作，有主要领导亲自监督，分管领导具体负责，从项目到资金，都能很好</w:t>
      </w:r>
      <w:r>
        <w:rPr>
          <w:rFonts w:hint="eastAsia" w:ascii="仿宋_GB2312" w:hAnsi="仿宋_GB2312" w:eastAsia="仿宋_GB2312"/>
          <w:b w:val="0"/>
          <w:sz w:val="32"/>
          <w:lang w:eastAsia="zh-CN"/>
        </w:rPr>
        <w:t>地</w:t>
      </w:r>
      <w:r>
        <w:rPr>
          <w:rFonts w:ascii="仿宋_GB2312" w:hAnsi="仿宋_GB2312" w:eastAsia="仿宋_GB2312"/>
          <w:b w:val="0"/>
          <w:sz w:val="32"/>
        </w:rPr>
        <w:t>执行。3.不断完善各项预算管理制度，制定相应的预算管理制度。强化预算管理，事前必编预算，控制经费使用，将绩效管理贯穿于预算编制、执行及决算等环节。４．规范资金操作，严格控制开支范围，节约成本，提高效率。发现的问题及原因：１.对档案工作重视程度不高，意识淡薄。单位人员对绩效档案管理工作重视程度不够，不注重关键时间节点材料的鉴定归档，造成绩效管理工作档案缺失。单位人员对档案管理工作缺少针对性和目的性，对绩效档案工作重要性的认识不足，缺乏熟练的业务知识，使绩效档案管理与实际业务存在一定偏差，未发挥其综合价值。２.由于本单位干部紧缺，存在一人兼职多项工作，有时对项目监管不够到位、费用拨付不及时。下一步改进措施：1.推进档案规范化建设，提升档案管理水平。一是进一步完善项目评价资料。项目启动时同步做好档案的归纳与整理，及时整理、收集、汇总，健全档案资料。二是严格落实和田地区干休</w:t>
      </w:r>
      <w:r>
        <w:rPr>
          <w:rFonts w:hint="eastAsia" w:ascii="仿宋_GB2312" w:hAnsi="仿宋_GB2312" w:eastAsia="仿宋_GB2312"/>
          <w:b w:val="0"/>
          <w:sz w:val="32"/>
          <w:lang w:eastAsia="zh-CN"/>
        </w:rPr>
        <w:t>所关</w:t>
      </w:r>
      <w:r>
        <w:rPr>
          <w:rFonts w:ascii="仿宋_GB2312" w:hAnsi="仿宋_GB2312" w:eastAsia="仿宋_GB2312"/>
          <w:b w:val="0"/>
          <w:sz w:val="32"/>
        </w:rPr>
        <w:t>于绩效管理工作档案资料归档的相关要求，强化收集力度，确保归档资料的完整齐全。2.提升专项资金管理人员的素质。积极开展思想政治、法律法规、业务知识等专题学习活动，专项资金使用部门要学习法律法规，提高政策理论水平，做到依法理财，规范管理。具体附整体支出绩效自评表，项目支出绩效自评表和评价报告。</w:t>
      </w:r>
    </w:p>
    <w:p w14:paraId="17C0D9F9">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FDDA58">
        <w:tblPrEx>
          <w:tblCellMar>
            <w:top w:w="0" w:type="dxa"/>
            <w:left w:w="108" w:type="dxa"/>
            <w:bottom w:w="0" w:type="dxa"/>
            <w:right w:w="108" w:type="dxa"/>
          </w:tblCellMar>
        </w:tblPrEx>
        <w:tc>
          <w:tcPr>
            <w:tcW w:w="8847" w:type="dxa"/>
            <w:gridSpan w:val="9"/>
            <w:vAlign w:val="center"/>
          </w:tcPr>
          <w:p w14:paraId="504F5227">
            <w:pPr>
              <w:jc w:val="center"/>
            </w:pPr>
            <w:r>
              <w:rPr>
                <w:rFonts w:ascii="宋体" w:hAnsi="宋体" w:eastAsia="宋体"/>
                <w:sz w:val="24"/>
              </w:rPr>
              <w:t>单位整体支出绩效自评表</w:t>
            </w:r>
          </w:p>
        </w:tc>
      </w:tr>
      <w:tr w14:paraId="461D1856">
        <w:tblPrEx>
          <w:tblCellMar>
            <w:top w:w="0" w:type="dxa"/>
            <w:left w:w="108" w:type="dxa"/>
            <w:bottom w:w="0" w:type="dxa"/>
            <w:right w:w="108" w:type="dxa"/>
          </w:tblCellMar>
        </w:tblPrEx>
        <w:tc>
          <w:tcPr>
            <w:tcW w:w="8847" w:type="dxa"/>
            <w:gridSpan w:val="9"/>
            <w:vAlign w:val="center"/>
          </w:tcPr>
          <w:p w14:paraId="2B80242C">
            <w:pPr>
              <w:jc w:val="center"/>
            </w:pPr>
            <w:r>
              <w:rPr>
                <w:rFonts w:ascii="宋体" w:hAnsi="宋体" w:eastAsia="宋体"/>
                <w:sz w:val="24"/>
              </w:rPr>
              <w:t>（2024年度）</w:t>
            </w:r>
          </w:p>
        </w:tc>
      </w:tr>
      <w:tr w14:paraId="336EDCC1">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EA3159">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0E38401">
            <w:pPr>
              <w:jc w:val="center"/>
            </w:pPr>
            <w:r>
              <w:rPr>
                <w:rFonts w:ascii="宋体" w:hAnsi="宋体" w:eastAsia="宋体"/>
                <w:sz w:val="16"/>
              </w:rPr>
              <w:t>和田地区干休所</w:t>
            </w:r>
          </w:p>
        </w:tc>
      </w:tr>
      <w:tr w14:paraId="585CCD28">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6A6BA32">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66184E">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09E073">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F00A0B">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C7301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CAC87B">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EEBFF5">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EED3A">
            <w:pPr>
              <w:jc w:val="center"/>
            </w:pPr>
            <w:r>
              <w:rPr>
                <w:rFonts w:ascii="宋体" w:hAnsi="宋体" w:eastAsia="宋体"/>
                <w:sz w:val="16"/>
              </w:rPr>
              <w:t>得分</w:t>
            </w:r>
          </w:p>
        </w:tc>
      </w:tr>
      <w:tr w14:paraId="034027F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7536C2"/>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577F79">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8C36E">
            <w:pPr>
              <w:jc w:val="center"/>
            </w:pPr>
            <w:r>
              <w:rPr>
                <w:rFonts w:ascii="宋体" w:hAnsi="宋体" w:eastAsia="宋体"/>
                <w:sz w:val="16"/>
              </w:rPr>
              <w:t>252.19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FECD81">
            <w:pPr>
              <w:jc w:val="center"/>
            </w:pPr>
            <w:r>
              <w:rPr>
                <w:rFonts w:ascii="宋体" w:hAnsi="宋体" w:eastAsia="宋体"/>
                <w:sz w:val="16"/>
              </w:rPr>
              <w:t>257.09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4AFAD7">
            <w:pPr>
              <w:jc w:val="center"/>
            </w:pPr>
            <w:r>
              <w:rPr>
                <w:rFonts w:ascii="宋体" w:hAnsi="宋体" w:eastAsia="宋体"/>
                <w:sz w:val="16"/>
              </w:rPr>
              <w:t>257.09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E54EB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3C340">
            <w:pPr>
              <w:jc w:val="center"/>
            </w:pPr>
            <w:r>
              <w:rPr>
                <w:rFonts w:ascii="宋体" w:hAnsi="宋体" w:eastAsia="宋体"/>
                <w:sz w:val="16"/>
              </w:rPr>
              <w:t>100.00%</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05B14">
            <w:pPr>
              <w:jc w:val="center"/>
            </w:pPr>
            <w:r>
              <w:rPr>
                <w:rFonts w:ascii="宋体" w:hAnsi="宋体" w:eastAsia="宋体"/>
                <w:sz w:val="16"/>
              </w:rPr>
              <w:t>10</w:t>
            </w:r>
          </w:p>
        </w:tc>
      </w:tr>
      <w:tr w14:paraId="4C93F8B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CCD3F09"/>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62F747">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D6E4A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44C01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4C1F2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A06FB">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8F2368">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C4BDE7">
            <w:pPr>
              <w:jc w:val="center"/>
            </w:pPr>
            <w:r>
              <w:rPr>
                <w:rFonts w:ascii="宋体" w:hAnsi="宋体" w:eastAsia="宋体"/>
                <w:sz w:val="16"/>
              </w:rPr>
              <w:t>—</w:t>
            </w:r>
          </w:p>
        </w:tc>
      </w:tr>
      <w:tr w14:paraId="6C639F8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828E98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856070">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9D0C53">
            <w:pPr>
              <w:jc w:val="center"/>
            </w:pPr>
            <w:r>
              <w:rPr>
                <w:rFonts w:ascii="宋体" w:hAnsi="宋体" w:eastAsia="宋体"/>
                <w:sz w:val="16"/>
              </w:rPr>
              <w:t>252.19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D139B0">
            <w:pPr>
              <w:jc w:val="center"/>
            </w:pPr>
            <w:r>
              <w:rPr>
                <w:rFonts w:ascii="宋体" w:hAnsi="宋体" w:eastAsia="宋体"/>
                <w:sz w:val="16"/>
              </w:rPr>
              <w:t>257.09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1AF1B6">
            <w:pPr>
              <w:jc w:val="center"/>
            </w:pPr>
            <w:r>
              <w:rPr>
                <w:rFonts w:ascii="宋体" w:hAnsi="宋体" w:eastAsia="宋体"/>
                <w:sz w:val="16"/>
              </w:rPr>
              <w:t>257.09</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126C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F06252">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73327">
            <w:pPr>
              <w:jc w:val="center"/>
            </w:pPr>
            <w:r>
              <w:rPr>
                <w:rFonts w:ascii="宋体" w:hAnsi="宋体" w:eastAsia="宋体"/>
                <w:sz w:val="16"/>
              </w:rPr>
              <w:t>—</w:t>
            </w:r>
          </w:p>
        </w:tc>
      </w:tr>
      <w:tr w14:paraId="35E9AF6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9E79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BF91A8">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D0EB3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077F2E">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C7640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D9F40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203889">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53B77EF">
            <w:pPr>
              <w:jc w:val="center"/>
            </w:pPr>
            <w:r>
              <w:rPr>
                <w:rFonts w:ascii="宋体" w:hAnsi="宋体" w:eastAsia="宋体"/>
                <w:sz w:val="16"/>
              </w:rPr>
              <w:t>—</w:t>
            </w:r>
          </w:p>
        </w:tc>
      </w:tr>
      <w:tr w14:paraId="066A9B6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7224C65">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1275964">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5335534">
            <w:pPr>
              <w:jc w:val="center"/>
            </w:pPr>
            <w:r>
              <w:rPr>
                <w:rFonts w:ascii="宋体" w:hAnsi="宋体" w:eastAsia="宋体"/>
                <w:sz w:val="16"/>
              </w:rPr>
              <w:t>实际完成目标</w:t>
            </w:r>
          </w:p>
        </w:tc>
      </w:tr>
      <w:tr w14:paraId="4A7F472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13FE50"/>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5A108D">
            <w:pPr>
              <w:jc w:val="both"/>
            </w:pPr>
            <w:r>
              <w:rPr>
                <w:rFonts w:ascii="宋体" w:hAnsi="宋体" w:eastAsia="宋体"/>
                <w:sz w:val="16"/>
              </w:rPr>
              <w:t>目标1：保障单位在职、退休职工的各类劳动报酬。 目标2：保障所内离退休干部的管理服务工作；加强离退休干部党支部建设，全面落实老干部的生活待遇和政治待遇，认真为老干部办实事解难事；目标3：统筹做好安全稳定工作。牢牢扭住新疆工作总目标，做好落实常态化</w:t>
            </w:r>
            <w:bookmarkStart w:id="0" w:name="_GoBack"/>
            <w:bookmarkEnd w:id="0"/>
            <w:r>
              <w:rPr>
                <w:rFonts w:ascii="宋体" w:hAnsi="宋体" w:eastAsia="宋体"/>
                <w:sz w:val="16"/>
              </w:rPr>
              <w:t>防控各项措施，抓好平安单位创建，做好国家安全和保密工作；目标4：保障单位各项工作正常运转，组织离退休老干部开展活动不少于1次，提高离退休老干部管理和服务工作质量，保障1条网络安全正常使用，积极为离退休老干部办实事，及时维修基础设施不少于1次，提高老干部满意度。</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7EE313E">
            <w:pPr>
              <w:jc w:val="both"/>
            </w:pPr>
            <w:r>
              <w:rPr>
                <w:rFonts w:hint="eastAsia" w:ascii="宋体" w:hAnsi="宋体"/>
                <w:sz w:val="16"/>
                <w:lang w:eastAsia="zh-CN"/>
              </w:rPr>
              <w:t>截至</w:t>
            </w:r>
            <w:r>
              <w:rPr>
                <w:rFonts w:ascii="宋体" w:hAnsi="宋体" w:eastAsia="宋体"/>
                <w:sz w:val="16"/>
              </w:rPr>
              <w:t>2024年12月31日，本单位实际完成保障社会面防控网络专线正常运行1条，开展各类维修维护4次，保障老干部活动正常开展2次，保障单位在职、退休职工的各类劳动报酬。 保障所内离退休干部的管理服务工作，实际形成支出257.09万元，通过完成以上工作，实现了抓好平安单位创建，做好保密、消防、环境卫生工作，基础设施维修维护的效益。</w:t>
            </w:r>
          </w:p>
        </w:tc>
      </w:tr>
      <w:tr w14:paraId="3905AD9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D8DBB4">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42D8A">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F89E8">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C4C5FF">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8E00B5">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0B577C">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28125">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327A94">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87403C">
            <w:pPr>
              <w:jc w:val="center"/>
            </w:pPr>
            <w:r>
              <w:rPr>
                <w:rFonts w:ascii="宋体" w:hAnsi="宋体" w:eastAsia="宋体"/>
                <w:sz w:val="16"/>
              </w:rPr>
              <w:t>得分</w:t>
            </w:r>
          </w:p>
        </w:tc>
      </w:tr>
      <w:tr w14:paraId="2385069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B1EE5">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5EF3BA">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6E16C4">
            <w:pPr>
              <w:jc w:val="center"/>
            </w:pPr>
            <w:r>
              <w:rPr>
                <w:rFonts w:hint="eastAsia" w:ascii="宋体" w:hAnsi="宋体"/>
                <w:sz w:val="16"/>
                <w:lang w:eastAsia="zh-CN"/>
              </w:rPr>
              <w:t>“三公”经费</w:t>
            </w:r>
            <w:r>
              <w:rPr>
                <w:rFonts w:ascii="宋体" w:hAnsi="宋体" w:eastAsia="宋体"/>
                <w:sz w:val="16"/>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CA18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26E4237">
            <w:pPr>
              <w:jc w:val="center"/>
            </w:pPr>
            <w:r>
              <w:rPr>
                <w:rFonts w:ascii="宋体" w:hAnsi="宋体" w:eastAsia="宋体"/>
                <w:sz w:val="16"/>
              </w:rPr>
              <w:t>财政部相关文件</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A4F79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5655B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01B9E2">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13734E">
            <w:pPr>
              <w:jc w:val="center"/>
            </w:pPr>
            <w:r>
              <w:rPr>
                <w:rFonts w:ascii="宋体" w:hAnsi="宋体" w:eastAsia="宋体"/>
                <w:sz w:val="16"/>
              </w:rPr>
              <w:t>10</w:t>
            </w:r>
          </w:p>
        </w:tc>
      </w:tr>
      <w:tr w14:paraId="1099F7CC">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E259FF">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6AB1C4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A7E08B">
            <w:pPr>
              <w:jc w:val="center"/>
            </w:pPr>
            <w:r>
              <w:rPr>
                <w:rFonts w:ascii="宋体" w:hAnsi="宋体" w:eastAsia="宋体"/>
                <w:sz w:val="16"/>
              </w:rPr>
              <w:t>资金使用合规率（%）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561DC5">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FC29C">
            <w:pPr>
              <w:jc w:val="center"/>
            </w:pPr>
            <w:r>
              <w:rPr>
                <w:rFonts w:ascii="宋体" w:hAnsi="宋体" w:eastAsia="宋体"/>
                <w:sz w:val="16"/>
              </w:rPr>
              <w:t>2024年工作方案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E39CE4">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25A0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8AB9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353E0">
            <w:pPr>
              <w:jc w:val="center"/>
            </w:pPr>
            <w:r>
              <w:rPr>
                <w:rFonts w:ascii="宋体" w:hAnsi="宋体" w:eastAsia="宋体"/>
                <w:sz w:val="16"/>
              </w:rPr>
              <w:t>10</w:t>
            </w:r>
          </w:p>
        </w:tc>
      </w:tr>
      <w:tr w14:paraId="38A5E9D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597D9CE">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5F73A7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D6FC54">
            <w:pPr>
              <w:jc w:val="center"/>
            </w:pPr>
            <w:r>
              <w:rPr>
                <w:rFonts w:ascii="宋体" w:hAnsi="宋体" w:eastAsia="宋体"/>
                <w:sz w:val="16"/>
              </w:rPr>
              <w:t>保障社会面防控网络专线正常运行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0D76B2">
            <w:pPr>
              <w:jc w:val="center"/>
            </w:pPr>
            <w:r>
              <w:rPr>
                <w:rFonts w:hint="eastAsia" w:ascii="宋体" w:hAnsi="宋体" w:eastAsia="宋体"/>
                <w:sz w:val="16"/>
              </w:rPr>
              <w:t>≥</w:t>
            </w:r>
            <w:r>
              <w:rPr>
                <w:rFonts w:ascii="宋体" w:hAnsi="宋体" w:eastAsia="宋体"/>
                <w:sz w:val="16"/>
              </w:rPr>
              <w: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21AAC">
            <w:pPr>
              <w:jc w:val="center"/>
            </w:pPr>
            <w:r>
              <w:rPr>
                <w:rFonts w:ascii="宋体" w:hAnsi="宋体" w:eastAsia="宋体"/>
                <w:sz w:val="16"/>
              </w:rPr>
              <w:t>2024年工作方案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2F309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95DB91">
            <w:pPr>
              <w:jc w:val="center"/>
            </w:pPr>
            <w:r>
              <w:rPr>
                <w:rFonts w:ascii="宋体" w:hAnsi="宋体" w:eastAsia="宋体"/>
                <w:sz w:val="16"/>
              </w:rPr>
              <w: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4076C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3D479E">
            <w:pPr>
              <w:jc w:val="center"/>
            </w:pPr>
            <w:r>
              <w:rPr>
                <w:rFonts w:ascii="宋体" w:hAnsi="宋体" w:eastAsia="宋体"/>
                <w:sz w:val="16"/>
              </w:rPr>
              <w:t>15</w:t>
            </w:r>
          </w:p>
        </w:tc>
      </w:tr>
      <w:tr w14:paraId="149E29C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31409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E1E2F4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80AD6">
            <w:pPr>
              <w:jc w:val="center"/>
            </w:pPr>
            <w:r>
              <w:rPr>
                <w:rFonts w:ascii="宋体" w:hAnsi="宋体" w:eastAsia="宋体"/>
                <w:sz w:val="16"/>
              </w:rPr>
              <w:t>开展各类维修维护（次）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1D1CD">
            <w:pPr>
              <w:jc w:val="center"/>
            </w:pPr>
            <w:r>
              <w:rPr>
                <w:rFonts w:hint="eastAsia" w:ascii="宋体" w:hAnsi="宋体" w:eastAsia="宋体"/>
                <w:sz w:val="16"/>
              </w:rPr>
              <w:t>≥</w:t>
            </w: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8E7D6">
            <w:pPr>
              <w:jc w:val="center"/>
            </w:pPr>
            <w:r>
              <w:rPr>
                <w:rFonts w:ascii="宋体" w:hAnsi="宋体" w:eastAsia="宋体"/>
                <w:sz w:val="16"/>
              </w:rPr>
              <w:t>2024年工作方案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95270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E2A02D">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FBBA5F">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BB9427">
            <w:pPr>
              <w:jc w:val="center"/>
            </w:pPr>
            <w:r>
              <w:rPr>
                <w:rFonts w:ascii="宋体" w:hAnsi="宋体" w:eastAsia="宋体"/>
                <w:sz w:val="16"/>
              </w:rPr>
              <w:t>10</w:t>
            </w:r>
          </w:p>
        </w:tc>
      </w:tr>
      <w:tr w14:paraId="2B1F719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3AFEB8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A437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E1053D">
            <w:pPr>
              <w:jc w:val="center"/>
            </w:pPr>
            <w:r>
              <w:rPr>
                <w:rFonts w:ascii="宋体" w:hAnsi="宋体" w:eastAsia="宋体"/>
                <w:sz w:val="16"/>
              </w:rPr>
              <w:t>保障老干部活动正常开展</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6F8F17">
            <w:pPr>
              <w:jc w:val="center"/>
            </w:pPr>
            <w:r>
              <w:rPr>
                <w:rFonts w:hint="eastAsia" w:ascii="宋体" w:hAnsi="宋体" w:eastAsia="宋体"/>
                <w:sz w:val="16"/>
              </w:rPr>
              <w:t>≥</w:t>
            </w: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9442C5">
            <w:pPr>
              <w:jc w:val="center"/>
            </w:pPr>
            <w:r>
              <w:rPr>
                <w:rFonts w:ascii="宋体" w:hAnsi="宋体" w:eastAsia="宋体"/>
                <w:sz w:val="16"/>
              </w:rPr>
              <w:t>2024年工作方案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DD88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B108F">
            <w:pPr>
              <w:jc w:val="center"/>
            </w:pPr>
            <w:r>
              <w:rPr>
                <w:rFonts w:ascii="宋体" w:hAnsi="宋体" w:eastAsia="宋体"/>
                <w:sz w:val="16"/>
              </w:rPr>
              <w:t>2次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9291D7">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FF0EC7">
            <w:pPr>
              <w:jc w:val="center"/>
            </w:pPr>
            <w:r>
              <w:rPr>
                <w:rFonts w:ascii="宋体" w:hAnsi="宋体" w:eastAsia="宋体"/>
                <w:sz w:val="16"/>
              </w:rPr>
              <w:t>10</w:t>
            </w:r>
          </w:p>
        </w:tc>
      </w:tr>
      <w:tr w14:paraId="2293FD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B6AF5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5CE25E">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B350E">
            <w:pPr>
              <w:jc w:val="center"/>
            </w:pPr>
            <w:r>
              <w:rPr>
                <w:rFonts w:ascii="宋体" w:hAnsi="宋体" w:eastAsia="宋体"/>
                <w:sz w:val="16"/>
              </w:rPr>
              <w:t>老干部工作完成及时率（%）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06F2C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37510">
            <w:pPr>
              <w:jc w:val="center"/>
            </w:pPr>
            <w:r>
              <w:rPr>
                <w:rFonts w:ascii="宋体" w:hAnsi="宋体" w:eastAsia="宋体"/>
                <w:sz w:val="16"/>
              </w:rPr>
              <w:t>2024年工作方案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E4A188">
            <w:pPr>
              <w:jc w:val="center"/>
            </w:pPr>
            <w:r>
              <w:rPr>
                <w:rFonts w:ascii="宋体" w:hAnsi="宋体" w:eastAsia="宋体"/>
                <w:sz w:val="16"/>
              </w:rPr>
              <w:t>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D4CC0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31E0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E726EC">
            <w:pPr>
              <w:jc w:val="center"/>
            </w:pPr>
            <w:r>
              <w:rPr>
                <w:rFonts w:ascii="宋体" w:hAnsi="宋体" w:eastAsia="宋体"/>
                <w:sz w:val="16"/>
              </w:rPr>
              <w:t>15</w:t>
            </w:r>
          </w:p>
        </w:tc>
      </w:tr>
      <w:tr w14:paraId="7744BD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232449">
            <w:pPr>
              <w:jc w:val="center"/>
            </w:pPr>
            <w:r>
              <w:rPr>
                <w:rFonts w:ascii="宋体" w:hAnsi="宋体" w:eastAsia="宋体"/>
                <w:sz w:val="16"/>
              </w:rPr>
              <w:t>服务对象满意度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524014">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2B6A69">
            <w:pPr>
              <w:jc w:val="center"/>
            </w:pPr>
            <w:r>
              <w:rPr>
                <w:rFonts w:ascii="宋体" w:hAnsi="宋体" w:eastAsia="宋体"/>
                <w:sz w:val="16"/>
              </w:rPr>
              <w:t>老干部满意度指标（%）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4C3C5B">
            <w:pPr>
              <w:jc w:val="center"/>
            </w:pPr>
            <w:r>
              <w:rPr>
                <w:rFonts w:hint="eastAsia" w:ascii="宋体" w:hAnsi="宋体" w:eastAsia="宋体"/>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83C96F">
            <w:pPr>
              <w:jc w:val="center"/>
            </w:pPr>
            <w:r>
              <w:rPr>
                <w:rFonts w:ascii="宋体" w:hAnsi="宋体" w:eastAsia="宋体"/>
                <w:sz w:val="16"/>
              </w:rPr>
              <w:t>2024年工作方案</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680E6A">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F7340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E7936D">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1B5D47">
            <w:pPr>
              <w:jc w:val="center"/>
            </w:pPr>
            <w:r>
              <w:rPr>
                <w:rFonts w:ascii="宋体" w:hAnsi="宋体" w:eastAsia="宋体"/>
                <w:sz w:val="16"/>
              </w:rPr>
              <w:t>20</w:t>
            </w:r>
          </w:p>
        </w:tc>
      </w:tr>
    </w:tbl>
    <w:p w14:paraId="785B6A47">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622D8F39">
        <w:tblPrEx>
          <w:tblCellMar>
            <w:top w:w="0" w:type="dxa"/>
            <w:left w:w="108" w:type="dxa"/>
            <w:bottom w:w="0" w:type="dxa"/>
            <w:right w:w="108" w:type="dxa"/>
          </w:tblCellMar>
        </w:tblPrEx>
        <w:tc>
          <w:tcPr>
            <w:tcW w:w="8847" w:type="dxa"/>
            <w:gridSpan w:val="9"/>
            <w:vAlign w:val="center"/>
          </w:tcPr>
          <w:p w14:paraId="4213EE1F">
            <w:pPr>
              <w:jc w:val="center"/>
            </w:pPr>
            <w:r>
              <w:rPr>
                <w:rFonts w:ascii="宋体" w:hAnsi="宋体" w:eastAsia="宋体"/>
                <w:sz w:val="24"/>
              </w:rPr>
              <w:t>项目支出绩效自评表</w:t>
            </w:r>
          </w:p>
        </w:tc>
      </w:tr>
      <w:tr w14:paraId="3768EF88">
        <w:tblPrEx>
          <w:tblCellMar>
            <w:top w:w="0" w:type="dxa"/>
            <w:left w:w="108" w:type="dxa"/>
            <w:bottom w:w="0" w:type="dxa"/>
            <w:right w:w="108" w:type="dxa"/>
          </w:tblCellMar>
        </w:tblPrEx>
        <w:tc>
          <w:tcPr>
            <w:tcW w:w="8847" w:type="dxa"/>
            <w:gridSpan w:val="9"/>
            <w:vAlign w:val="center"/>
          </w:tcPr>
          <w:p w14:paraId="5D42D07C">
            <w:pPr>
              <w:jc w:val="center"/>
            </w:pPr>
            <w:r>
              <w:rPr>
                <w:rFonts w:ascii="宋体" w:hAnsi="宋体" w:eastAsia="宋体"/>
                <w:sz w:val="24"/>
              </w:rPr>
              <w:t>(2024年度)</w:t>
            </w:r>
          </w:p>
        </w:tc>
      </w:tr>
      <w:tr w14:paraId="5E5001A9">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464C4F">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38A8ABA1">
            <w:pPr>
              <w:jc w:val="center"/>
            </w:pPr>
            <w:r>
              <w:rPr>
                <w:rFonts w:ascii="宋体" w:hAnsi="宋体" w:eastAsia="宋体"/>
                <w:sz w:val="16"/>
              </w:rPr>
              <w:t>老干部活动经费机关运行经费项目</w:t>
            </w:r>
          </w:p>
        </w:tc>
      </w:tr>
      <w:tr w14:paraId="59281FF0">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9B87B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AE2EC6C">
            <w:pPr>
              <w:jc w:val="center"/>
            </w:pPr>
            <w:r>
              <w:rPr>
                <w:rFonts w:ascii="宋体" w:hAnsi="宋体" w:eastAsia="宋体"/>
                <w:sz w:val="16"/>
              </w:rPr>
              <w:t>和田地区干休所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E7ECB">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7C545B1">
            <w:pPr>
              <w:jc w:val="center"/>
            </w:pPr>
            <w:r>
              <w:rPr>
                <w:rFonts w:ascii="宋体" w:hAnsi="宋体" w:eastAsia="宋体"/>
                <w:sz w:val="16"/>
              </w:rPr>
              <w:t>和田地区干休所</w:t>
            </w:r>
          </w:p>
        </w:tc>
      </w:tr>
      <w:tr w14:paraId="79616DF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4E5635A">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84766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F73F1E">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A90CF1">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651939">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DA0251">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1357CF">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CF71CB">
            <w:pPr>
              <w:jc w:val="center"/>
            </w:pPr>
            <w:r>
              <w:rPr>
                <w:rFonts w:ascii="宋体" w:hAnsi="宋体" w:eastAsia="宋体"/>
                <w:sz w:val="16"/>
              </w:rPr>
              <w:t>得分</w:t>
            </w:r>
          </w:p>
        </w:tc>
      </w:tr>
      <w:tr w14:paraId="5B41B57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179132C"/>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0483B1">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FC037F">
            <w:pPr>
              <w:jc w:val="center"/>
            </w:pPr>
            <w:r>
              <w:rPr>
                <w:rFonts w:ascii="宋体" w:hAnsi="宋体" w:eastAsia="宋体"/>
                <w:sz w:val="16"/>
              </w:rPr>
              <w:t>6.28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1F2CE2">
            <w:pPr>
              <w:jc w:val="center"/>
            </w:pPr>
            <w:r>
              <w:rPr>
                <w:rFonts w:ascii="宋体" w:hAnsi="宋体" w:eastAsia="宋体"/>
                <w:sz w:val="16"/>
              </w:rPr>
              <w:t>6.28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A29BA">
            <w:pPr>
              <w:jc w:val="center"/>
            </w:pPr>
            <w:r>
              <w:rPr>
                <w:rFonts w:ascii="宋体" w:hAnsi="宋体" w:eastAsia="宋体"/>
                <w:sz w:val="16"/>
              </w:rPr>
              <w:t>6.28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2E67B">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28F6B4">
            <w:pPr>
              <w:jc w:val="center"/>
            </w:pPr>
            <w:r>
              <w:rPr>
                <w:rFonts w:ascii="宋体" w:hAnsi="宋体" w:eastAsia="宋体"/>
                <w:sz w:val="16"/>
              </w:rPr>
              <w:t xml:space="preserve">100.00%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D44D2C">
            <w:pPr>
              <w:jc w:val="center"/>
            </w:pPr>
            <w:r>
              <w:rPr>
                <w:rFonts w:ascii="宋体" w:hAnsi="宋体" w:eastAsia="宋体"/>
                <w:sz w:val="16"/>
              </w:rPr>
              <w:t>10.00分</w:t>
            </w:r>
          </w:p>
        </w:tc>
      </w:tr>
      <w:tr w14:paraId="64CC6A5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348990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7BCF97">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62C72">
            <w:pPr>
              <w:jc w:val="center"/>
            </w:pPr>
            <w:r>
              <w:rPr>
                <w:rFonts w:ascii="宋体" w:hAnsi="宋体" w:eastAsia="宋体"/>
                <w:sz w:val="16"/>
              </w:rPr>
              <w:t>6.28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DC7878">
            <w:pPr>
              <w:jc w:val="center"/>
            </w:pPr>
            <w:r>
              <w:rPr>
                <w:rFonts w:ascii="宋体" w:hAnsi="宋体" w:eastAsia="宋体"/>
                <w:sz w:val="16"/>
              </w:rPr>
              <w:t>6.28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CA0D9A">
            <w:pPr>
              <w:jc w:val="center"/>
            </w:pPr>
            <w:r>
              <w:rPr>
                <w:rFonts w:ascii="宋体" w:hAnsi="宋体" w:eastAsia="宋体"/>
                <w:sz w:val="16"/>
              </w:rPr>
              <w:t>6.28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1D13FC">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450D9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E4A838">
            <w:pPr>
              <w:jc w:val="center"/>
            </w:pPr>
            <w:r>
              <w:rPr>
                <w:rFonts w:ascii="宋体" w:hAnsi="宋体" w:eastAsia="宋体"/>
                <w:sz w:val="16"/>
              </w:rPr>
              <w:t>—</w:t>
            </w:r>
          </w:p>
        </w:tc>
      </w:tr>
      <w:tr w14:paraId="22140BF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AA937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167AE61">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F9A70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E4E32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F455D8">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C19E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92681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B13A24">
            <w:pPr>
              <w:jc w:val="center"/>
            </w:pPr>
            <w:r>
              <w:rPr>
                <w:rFonts w:ascii="宋体" w:hAnsi="宋体" w:eastAsia="宋体"/>
                <w:sz w:val="16"/>
              </w:rPr>
              <w:t>—</w:t>
            </w:r>
          </w:p>
        </w:tc>
      </w:tr>
      <w:tr w14:paraId="4CD0A76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A0ED2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BEFC20">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1DC2D">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99F8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89FF4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609C5">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7CD3932">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EF3783">
            <w:pPr>
              <w:jc w:val="center"/>
            </w:pPr>
            <w:r>
              <w:rPr>
                <w:rFonts w:ascii="宋体" w:hAnsi="宋体" w:eastAsia="宋体"/>
                <w:sz w:val="16"/>
              </w:rPr>
              <w:t>—</w:t>
            </w:r>
          </w:p>
        </w:tc>
      </w:tr>
      <w:tr w14:paraId="0EBC46E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68FF9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1770B417">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07ABBF9">
            <w:pPr>
              <w:jc w:val="center"/>
            </w:pPr>
            <w:r>
              <w:rPr>
                <w:rFonts w:ascii="宋体" w:hAnsi="宋体" w:eastAsia="宋体"/>
                <w:sz w:val="16"/>
              </w:rPr>
              <w:t>实际完成情况</w:t>
            </w:r>
          </w:p>
        </w:tc>
      </w:tr>
      <w:tr w14:paraId="73F0A76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D12B7C8"/>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721AF33">
            <w:pPr>
              <w:jc w:val="both"/>
            </w:pPr>
            <w:r>
              <w:rPr>
                <w:rFonts w:ascii="宋体" w:hAnsi="宋体" w:eastAsia="宋体"/>
                <w:sz w:val="16"/>
              </w:rPr>
              <w:t>本项目主要实施内容为：保障网络专线1条，采购设备1台，各类维修维护2次，保障临聘人员4人，项目总投资6.28万元，通过本项目的实施，保障老干部各项活动正常运行，争取使老干部满意度达到95%以上。</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452F1BF">
            <w:pPr>
              <w:jc w:val="both"/>
            </w:pPr>
            <w:r>
              <w:rPr>
                <w:rFonts w:hint="eastAsia" w:ascii="宋体" w:hAnsi="宋体"/>
                <w:sz w:val="16"/>
                <w:lang w:eastAsia="zh-CN"/>
              </w:rPr>
              <w:t>截至2024</w:t>
            </w:r>
            <w:r>
              <w:rPr>
                <w:rFonts w:ascii="宋体" w:hAnsi="宋体" w:eastAsia="宋体"/>
                <w:sz w:val="16"/>
              </w:rPr>
              <w:t>年12月31日，项目实际形成支出6.28万元，已完成保障网络专线1条，采购设备1台，各类维修维护4次，保障临聘人员4人，摄像头维修1次，通过本项目的实施，保障了老干部各项活动正常开展，使老干部满意度达到100%。</w:t>
            </w:r>
          </w:p>
        </w:tc>
      </w:tr>
      <w:tr w14:paraId="648A65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25F5C16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1E4B2CE">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F530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49FF92">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A74E73">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6DFF09">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08CFF6">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9AE088">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792B07">
            <w:pPr>
              <w:jc w:val="center"/>
            </w:pPr>
            <w:r>
              <w:rPr>
                <w:rFonts w:ascii="宋体" w:hAnsi="宋体" w:eastAsia="宋体"/>
                <w:sz w:val="16"/>
              </w:rPr>
              <w:t>偏差原因分析及改进措施</w:t>
            </w:r>
          </w:p>
        </w:tc>
      </w:tr>
      <w:tr w14:paraId="20E18ED5">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872611">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7554B95">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ACDDED3">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762DF3">
            <w:pPr>
              <w:jc w:val="center"/>
            </w:pPr>
            <w:r>
              <w:rPr>
                <w:rFonts w:ascii="宋体" w:hAnsi="宋体" w:eastAsia="宋体"/>
                <w:sz w:val="16"/>
              </w:rPr>
              <w:t>保障网络专线</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7A051">
            <w:pPr>
              <w:jc w:val="center"/>
            </w:pPr>
            <w:r>
              <w:rPr>
                <w:rFonts w:ascii="宋体" w:hAnsi="宋体" w:eastAsia="宋体"/>
                <w:sz w:val="16"/>
              </w:rPr>
              <w: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35775F">
            <w:pPr>
              <w:jc w:val="center"/>
            </w:pPr>
            <w:r>
              <w:rPr>
                <w:rFonts w:ascii="宋体" w:hAnsi="宋体" w:eastAsia="宋体"/>
                <w:sz w:val="16"/>
              </w:rPr>
              <w:t>=1条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6ADEC1">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07B3E4">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BC3A32">
            <w:pPr>
              <w:jc w:val="center"/>
            </w:pPr>
          </w:p>
        </w:tc>
      </w:tr>
      <w:tr w14:paraId="7DBE8D9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E45538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03DB62"/>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F4C7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15749F">
            <w:pPr>
              <w:jc w:val="center"/>
            </w:pPr>
            <w:r>
              <w:rPr>
                <w:rFonts w:ascii="宋体" w:hAnsi="宋体" w:eastAsia="宋体"/>
                <w:sz w:val="16"/>
              </w:rPr>
              <w:t>设备购置数量</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5CB7E">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73BF8C">
            <w:pPr>
              <w:jc w:val="center"/>
            </w:pPr>
            <w:r>
              <w:rPr>
                <w:rFonts w:ascii="宋体" w:hAnsi="宋体" w:eastAsia="宋体"/>
                <w:sz w:val="16"/>
              </w:rPr>
              <w:t>=1台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385C86">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EAEFE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A3B99D">
            <w:pPr>
              <w:jc w:val="center"/>
            </w:pPr>
          </w:p>
        </w:tc>
      </w:tr>
      <w:tr w14:paraId="438D900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11E209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17618F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CCE81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818E9">
            <w:pPr>
              <w:jc w:val="center"/>
            </w:pPr>
            <w:r>
              <w:rPr>
                <w:rFonts w:ascii="宋体" w:hAnsi="宋体" w:eastAsia="宋体"/>
                <w:sz w:val="16"/>
              </w:rPr>
              <w:t>各类维修维护次数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4BB16">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691AE6">
            <w:pPr>
              <w:jc w:val="center"/>
            </w:pPr>
            <w:r>
              <w:rPr>
                <w:rFonts w:ascii="宋体" w:hAnsi="宋体" w:eastAsia="宋体"/>
                <w:sz w:val="16"/>
              </w:rPr>
              <w:t>=4次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39CE43">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4A5D57C">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29B44">
            <w:pPr>
              <w:jc w:val="center"/>
            </w:pPr>
          </w:p>
        </w:tc>
      </w:tr>
      <w:tr w14:paraId="2DF2D7E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5BDA31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8E1500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9B83EE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D082D40">
            <w:pPr>
              <w:jc w:val="center"/>
            </w:pPr>
            <w:r>
              <w:rPr>
                <w:rFonts w:ascii="宋体" w:hAnsi="宋体" w:eastAsia="宋体"/>
                <w:sz w:val="16"/>
              </w:rPr>
              <w:t>保障临聘人员人数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44670">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87B7C2">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0DFC95">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893217">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2A5F3C">
            <w:pPr>
              <w:jc w:val="center"/>
            </w:pPr>
          </w:p>
        </w:tc>
      </w:tr>
      <w:tr w14:paraId="5FD689D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19CD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F6BD40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635C9D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970744">
            <w:pPr>
              <w:jc w:val="center"/>
            </w:pPr>
            <w:r>
              <w:rPr>
                <w:rFonts w:ascii="宋体" w:hAnsi="宋体" w:eastAsia="宋体"/>
                <w:sz w:val="16"/>
              </w:rPr>
              <w:t>摄像头维保次数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1C115A">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81216">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352794">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59F6D">
            <w:pPr>
              <w:jc w:val="center"/>
            </w:pPr>
            <w:r>
              <w:rPr>
                <w:rFonts w:ascii="宋体" w:hAnsi="宋体" w:eastAsia="宋体"/>
                <w:sz w:val="16"/>
              </w:rPr>
              <w:t>4</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18DBFA">
            <w:pPr>
              <w:jc w:val="center"/>
            </w:pPr>
          </w:p>
        </w:tc>
      </w:tr>
      <w:tr w14:paraId="648DD79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A4679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84A6E8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575A5C">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5F3C9F">
            <w:pPr>
              <w:jc w:val="center"/>
            </w:pPr>
            <w:r>
              <w:rPr>
                <w:rFonts w:ascii="宋体" w:hAnsi="宋体" w:eastAsia="宋体"/>
                <w:sz w:val="16"/>
              </w:rPr>
              <w:t>正常开展各类服务保障率（%）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3D7A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DF5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88885A">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82AE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5495AD">
            <w:pPr>
              <w:jc w:val="center"/>
            </w:pPr>
          </w:p>
        </w:tc>
      </w:tr>
      <w:tr w14:paraId="2E65604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91809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C49D65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102B4">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9D449">
            <w:pPr>
              <w:jc w:val="center"/>
            </w:pPr>
            <w:r>
              <w:rPr>
                <w:rFonts w:ascii="宋体" w:hAnsi="宋体" w:eastAsia="宋体"/>
                <w:sz w:val="16"/>
              </w:rPr>
              <w:t>各项工作任务完成及时率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539ED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96D74C">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793F9FD">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B28349">
            <w:pPr>
              <w:jc w:val="center"/>
            </w:pPr>
            <w:r>
              <w:rPr>
                <w:rFonts w:ascii="宋体" w:hAnsi="宋体" w:eastAsia="宋体"/>
                <w:sz w:val="16"/>
              </w:rPr>
              <w:t>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486A61">
            <w:pPr>
              <w:jc w:val="center"/>
            </w:pPr>
          </w:p>
        </w:tc>
      </w:tr>
      <w:tr w14:paraId="741D03D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9E3BD2"/>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966A02">
            <w:pPr>
              <w:jc w:val="center"/>
            </w:pPr>
            <w:r>
              <w:rPr>
                <w:rFonts w:ascii="宋体" w:hAnsi="宋体" w:eastAsia="宋体"/>
                <w:sz w:val="16"/>
              </w:rPr>
              <w:t>成本指标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0FDA5C">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8EA0F">
            <w:pPr>
              <w:jc w:val="center"/>
            </w:pPr>
            <w:r>
              <w:rPr>
                <w:rFonts w:ascii="宋体" w:hAnsi="宋体" w:eastAsia="宋体"/>
                <w:sz w:val="16"/>
              </w:rPr>
              <w:t>保障网络专线服务费（万元）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140B8D8">
            <w:pPr>
              <w:jc w:val="center"/>
            </w:pPr>
            <w:r>
              <w:rPr>
                <w:rFonts w:ascii="宋体" w:hAnsi="宋体" w:eastAsia="宋体"/>
                <w:sz w:val="16"/>
              </w:rPr>
              <w:t>≤0.36万元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61EC20">
            <w:pPr>
              <w:jc w:val="center"/>
            </w:pPr>
            <w:r>
              <w:rPr>
                <w:rFonts w:ascii="宋体" w:hAnsi="宋体" w:eastAsia="宋体"/>
                <w:sz w:val="16"/>
              </w:rPr>
              <w:t>=0.36万元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C3043F">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6B815A">
            <w:pPr>
              <w:jc w:val="center"/>
            </w:pPr>
            <w:r>
              <w:rPr>
                <w:rFonts w:ascii="宋体" w:hAnsi="宋体" w:eastAsia="宋体"/>
                <w:sz w:val="16"/>
              </w:rPr>
              <w:t>2</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ACB27B9">
            <w:pPr>
              <w:jc w:val="center"/>
            </w:pPr>
          </w:p>
        </w:tc>
      </w:tr>
      <w:tr w14:paraId="23EECE5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BD0E6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053BFA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BB7BE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154297">
            <w:pPr>
              <w:jc w:val="center"/>
            </w:pPr>
            <w:r>
              <w:rPr>
                <w:rFonts w:ascii="宋体" w:hAnsi="宋体" w:eastAsia="宋体"/>
                <w:sz w:val="16"/>
              </w:rPr>
              <w:t>各类维修维护费用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2CBA95">
            <w:pPr>
              <w:jc w:val="center"/>
            </w:pPr>
            <w:r>
              <w:rPr>
                <w:rFonts w:ascii="宋体" w:hAnsi="宋体" w:eastAsia="宋体"/>
                <w:sz w:val="16"/>
              </w:rPr>
              <w:t>≤2.70万元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955BB4">
            <w:pPr>
              <w:jc w:val="center"/>
            </w:pPr>
            <w:r>
              <w:rPr>
                <w:rFonts w:ascii="宋体" w:hAnsi="宋体" w:eastAsia="宋体"/>
                <w:sz w:val="16"/>
              </w:rPr>
              <w:t>=2.7万元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7CA8C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7E8C0A">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909B85">
            <w:pPr>
              <w:jc w:val="center"/>
            </w:pPr>
          </w:p>
        </w:tc>
      </w:tr>
      <w:tr w14:paraId="27AF8C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A014B4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5283A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F7CBA5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DA46A0">
            <w:pPr>
              <w:jc w:val="center"/>
            </w:pPr>
            <w:r>
              <w:rPr>
                <w:rFonts w:ascii="宋体" w:hAnsi="宋体" w:eastAsia="宋体"/>
                <w:sz w:val="16"/>
              </w:rPr>
              <w:t>设备购置费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C2287F">
            <w:pPr>
              <w:jc w:val="center"/>
            </w:pPr>
            <w:r>
              <w:rPr>
                <w:rFonts w:ascii="宋体" w:hAnsi="宋体" w:eastAsia="宋体"/>
                <w:sz w:val="16"/>
              </w:rPr>
              <w:t>≤0.99万元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449853">
            <w:pPr>
              <w:jc w:val="center"/>
            </w:pPr>
            <w:r>
              <w:rPr>
                <w:rFonts w:ascii="宋体" w:hAnsi="宋体" w:eastAsia="宋体"/>
                <w:sz w:val="16"/>
              </w:rPr>
              <w:t>=0.99万元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DFF8C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897E53">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3461E1">
            <w:pPr>
              <w:jc w:val="center"/>
            </w:pPr>
          </w:p>
        </w:tc>
      </w:tr>
      <w:tr w14:paraId="60C90D1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16654D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CD289F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E34DD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8FA9E3">
            <w:pPr>
              <w:jc w:val="center"/>
            </w:pPr>
            <w:r>
              <w:rPr>
                <w:rFonts w:ascii="宋体" w:hAnsi="宋体" w:eastAsia="宋体"/>
                <w:sz w:val="16"/>
              </w:rPr>
              <w:t>临聘人员劳务费</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570768D">
            <w:pPr>
              <w:jc w:val="center"/>
            </w:pPr>
            <w:r>
              <w:rPr>
                <w:rFonts w:ascii="宋体" w:hAnsi="宋体" w:eastAsia="宋体"/>
                <w:sz w:val="16"/>
              </w:rPr>
              <w:t>≤1.43万元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6CC63">
            <w:pPr>
              <w:jc w:val="center"/>
            </w:pPr>
            <w:r>
              <w:rPr>
                <w:rFonts w:ascii="宋体" w:hAnsi="宋体" w:eastAsia="宋体"/>
                <w:sz w:val="16"/>
              </w:rPr>
              <w:t>=1.43万元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205FA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F3666">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B73F3D">
            <w:pPr>
              <w:jc w:val="center"/>
            </w:pPr>
          </w:p>
        </w:tc>
      </w:tr>
      <w:tr w14:paraId="7A0345A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FDE9E3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C220C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041F683"/>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00311E">
            <w:pPr>
              <w:jc w:val="center"/>
            </w:pPr>
            <w:r>
              <w:rPr>
                <w:rFonts w:ascii="宋体" w:hAnsi="宋体" w:eastAsia="宋体"/>
                <w:sz w:val="16"/>
              </w:rPr>
              <w:t>摄像头维保费用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053611">
            <w:pPr>
              <w:jc w:val="center"/>
            </w:pPr>
            <w:r>
              <w:rPr>
                <w:rFonts w:ascii="宋体" w:hAnsi="宋体" w:eastAsia="宋体"/>
                <w:sz w:val="16"/>
              </w:rPr>
              <w:t>≤0.80万元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5273D7">
            <w:pPr>
              <w:jc w:val="center"/>
            </w:pPr>
            <w:r>
              <w:rPr>
                <w:rFonts w:ascii="宋体" w:hAnsi="宋体" w:eastAsia="宋体"/>
                <w:sz w:val="16"/>
              </w:rPr>
              <w:t>=0.8万元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4D55FE">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61D6EC">
            <w:pPr>
              <w:jc w:val="center"/>
            </w:pPr>
            <w:r>
              <w:rPr>
                <w:rFonts w:ascii="宋体" w:hAnsi="宋体" w:eastAsia="宋体"/>
                <w:sz w:val="16"/>
              </w:rPr>
              <w:t>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77CFD5">
            <w:pPr>
              <w:jc w:val="center"/>
            </w:pPr>
          </w:p>
        </w:tc>
      </w:tr>
      <w:tr w14:paraId="4FBC60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28F506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BA613B">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11F362">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D87A63">
            <w:pPr>
              <w:jc w:val="center"/>
            </w:pPr>
            <w:r>
              <w:rPr>
                <w:rFonts w:ascii="宋体" w:hAnsi="宋体" w:eastAsia="宋体"/>
                <w:sz w:val="16"/>
              </w:rPr>
              <w:t>保障老干部各类活动正常运行</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C0F8C">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B6A777">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5FFACB">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85B315">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2E72E1">
            <w:pPr>
              <w:jc w:val="center"/>
            </w:pPr>
          </w:p>
        </w:tc>
      </w:tr>
      <w:tr w14:paraId="45E1960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9B32D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8C3AD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63BD7D">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8173C5">
            <w:pPr>
              <w:jc w:val="center"/>
            </w:pPr>
            <w:r>
              <w:rPr>
                <w:rFonts w:ascii="宋体" w:hAnsi="宋体" w:eastAsia="宋体"/>
                <w:sz w:val="16"/>
              </w:rPr>
              <w:t>老干部满意度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6C36EA">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B82A49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47C75A">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1102C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8E9321">
            <w:pPr>
              <w:jc w:val="center"/>
            </w:pPr>
          </w:p>
        </w:tc>
      </w:tr>
      <w:tr w14:paraId="5C99528A">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E377F6">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93D72A4">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ECCB6">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CC46F09">
            <w:pPr>
              <w:jc w:val="center"/>
            </w:pPr>
            <w:r>
              <w:rPr>
                <w:rFonts w:ascii="宋体" w:hAnsi="宋体" w:eastAsia="宋体"/>
                <w:sz w:val="16"/>
              </w:rPr>
              <w:t>100分</w:t>
            </w:r>
          </w:p>
        </w:tc>
      </w:tr>
    </w:tbl>
    <w:p w14:paraId="3B6EF52E">
      <w:r>
        <w:br w:type="page"/>
      </w:r>
    </w:p>
    <w:p w14:paraId="53640B48">
      <w:pPr>
        <w:spacing w:line="640" w:lineRule="exact"/>
        <w:ind w:firstLine="640"/>
        <w:jc w:val="both"/>
        <w:outlineLvl w:val="2"/>
      </w:pPr>
      <w:r>
        <w:rPr>
          <w:rFonts w:ascii="黑体" w:hAnsi="黑体" w:eastAsia="黑体"/>
          <w:sz w:val="32"/>
        </w:rPr>
        <w:t>十二、其他需说明的事项</w:t>
      </w:r>
    </w:p>
    <w:p w14:paraId="0BE936DE">
      <w:pPr>
        <w:spacing w:line="580" w:lineRule="exact"/>
        <w:ind w:firstLine="640"/>
        <w:jc w:val="both"/>
      </w:pPr>
      <w:r>
        <w:rPr>
          <w:rFonts w:ascii="仿宋_GB2312" w:hAnsi="仿宋_GB2312" w:eastAsia="仿宋_GB2312"/>
          <w:b w:val="0"/>
          <w:sz w:val="32"/>
        </w:rPr>
        <w:t>本单位无其他需说明的事项。</w:t>
      </w:r>
    </w:p>
    <w:p w14:paraId="70D37D75">
      <w:r>
        <w:br w:type="page"/>
      </w:r>
    </w:p>
    <w:p w14:paraId="68F3A52B">
      <w:pPr>
        <w:spacing w:line="240" w:lineRule="auto"/>
        <w:jc w:val="center"/>
        <w:outlineLvl w:val="1"/>
      </w:pPr>
      <w:r>
        <w:rPr>
          <w:rFonts w:ascii="黑体" w:hAnsi="黑体" w:eastAsia="黑体"/>
          <w:sz w:val="32"/>
        </w:rPr>
        <w:t>第三部分 专业名词解释</w:t>
      </w:r>
    </w:p>
    <w:p w14:paraId="2786A3C9">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35215484">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26AE596A">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4516A67C">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48526813">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6678F9B1">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62B3A6E8">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6009E2BF">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8924FBF">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22FCF6E1">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15BF6D2A">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A8640F1">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62D9CE90">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30677B3B">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6D923D">
      <w:r>
        <w:br w:type="page"/>
      </w:r>
    </w:p>
    <w:p w14:paraId="58BE393A">
      <w:pPr>
        <w:spacing w:line="240" w:lineRule="auto"/>
        <w:jc w:val="center"/>
        <w:outlineLvl w:val="1"/>
      </w:pPr>
      <w:r>
        <w:rPr>
          <w:rFonts w:ascii="黑体" w:hAnsi="黑体" w:eastAsia="黑体"/>
          <w:sz w:val="32"/>
        </w:rPr>
        <w:t>第四部分 部门决算报表（见附表）</w:t>
      </w:r>
    </w:p>
    <w:p w14:paraId="06A65560">
      <w:pPr>
        <w:spacing w:line="240" w:lineRule="auto"/>
        <w:ind w:firstLine="640"/>
        <w:jc w:val="both"/>
      </w:pPr>
      <w:r>
        <w:rPr>
          <w:rFonts w:ascii="仿宋_GB2312" w:hAnsi="仿宋_GB2312" w:eastAsia="仿宋_GB2312"/>
          <w:b w:val="0"/>
          <w:sz w:val="32"/>
        </w:rPr>
        <w:t>一、《收入支出决算总表》</w:t>
      </w:r>
    </w:p>
    <w:p w14:paraId="10E741A6">
      <w:pPr>
        <w:spacing w:line="240" w:lineRule="auto"/>
        <w:ind w:firstLine="640"/>
        <w:jc w:val="both"/>
      </w:pPr>
      <w:r>
        <w:rPr>
          <w:rFonts w:ascii="仿宋_GB2312" w:hAnsi="仿宋_GB2312" w:eastAsia="仿宋_GB2312"/>
          <w:b w:val="0"/>
          <w:sz w:val="32"/>
        </w:rPr>
        <w:t>二、《收入决算表》</w:t>
      </w:r>
    </w:p>
    <w:p w14:paraId="649C6B08">
      <w:pPr>
        <w:spacing w:line="240" w:lineRule="auto"/>
        <w:ind w:firstLine="640"/>
        <w:jc w:val="both"/>
      </w:pPr>
      <w:r>
        <w:rPr>
          <w:rFonts w:ascii="仿宋_GB2312" w:hAnsi="仿宋_GB2312" w:eastAsia="仿宋_GB2312"/>
          <w:b w:val="0"/>
          <w:sz w:val="32"/>
        </w:rPr>
        <w:t>三、《支出决算表》</w:t>
      </w:r>
    </w:p>
    <w:p w14:paraId="0CE1127F">
      <w:pPr>
        <w:spacing w:line="240" w:lineRule="auto"/>
        <w:ind w:firstLine="640"/>
        <w:jc w:val="both"/>
      </w:pPr>
      <w:r>
        <w:rPr>
          <w:rFonts w:ascii="仿宋_GB2312" w:hAnsi="仿宋_GB2312" w:eastAsia="仿宋_GB2312"/>
          <w:b w:val="0"/>
          <w:sz w:val="32"/>
        </w:rPr>
        <w:t>四、《财政拨款收入支出决算总表》</w:t>
      </w:r>
    </w:p>
    <w:p w14:paraId="0553D0FC">
      <w:pPr>
        <w:spacing w:line="240" w:lineRule="auto"/>
        <w:ind w:firstLine="640"/>
        <w:jc w:val="both"/>
      </w:pPr>
      <w:r>
        <w:rPr>
          <w:rFonts w:ascii="仿宋_GB2312" w:hAnsi="仿宋_GB2312" w:eastAsia="仿宋_GB2312"/>
          <w:b w:val="0"/>
          <w:sz w:val="32"/>
        </w:rPr>
        <w:t>五、《一般公共预算财政拨款支出决算表》</w:t>
      </w:r>
    </w:p>
    <w:p w14:paraId="1C3B9E36">
      <w:pPr>
        <w:spacing w:line="240" w:lineRule="auto"/>
        <w:ind w:firstLine="640"/>
        <w:jc w:val="both"/>
      </w:pPr>
      <w:r>
        <w:rPr>
          <w:rFonts w:ascii="仿宋_GB2312" w:hAnsi="仿宋_GB2312" w:eastAsia="仿宋_GB2312"/>
          <w:b w:val="0"/>
          <w:sz w:val="32"/>
        </w:rPr>
        <w:t>六、《一般公共预算财政拨款基本支出决算表》</w:t>
      </w:r>
    </w:p>
    <w:p w14:paraId="3D1F47D7">
      <w:pPr>
        <w:spacing w:line="240" w:lineRule="auto"/>
        <w:ind w:firstLine="640"/>
        <w:jc w:val="both"/>
      </w:pPr>
      <w:r>
        <w:rPr>
          <w:rFonts w:ascii="仿宋_GB2312" w:hAnsi="仿宋_GB2312" w:eastAsia="仿宋_GB2312"/>
          <w:b w:val="0"/>
          <w:sz w:val="32"/>
        </w:rPr>
        <w:t>七、《政府性基金预算财政拨款收入支出决算表》</w:t>
      </w:r>
    </w:p>
    <w:p w14:paraId="67A1D055">
      <w:pPr>
        <w:spacing w:line="240" w:lineRule="auto"/>
        <w:ind w:firstLine="640"/>
        <w:jc w:val="both"/>
      </w:pPr>
      <w:r>
        <w:rPr>
          <w:rFonts w:ascii="仿宋_GB2312" w:hAnsi="仿宋_GB2312" w:eastAsia="仿宋_GB2312"/>
          <w:b w:val="0"/>
          <w:sz w:val="32"/>
        </w:rPr>
        <w:t>八、《国有资本经营预算财政拨款收入支出决算表》</w:t>
      </w:r>
    </w:p>
    <w:p w14:paraId="57FF5E1A">
      <w:pPr>
        <w:spacing w:line="240" w:lineRule="auto"/>
        <w:ind w:firstLine="640"/>
        <w:jc w:val="both"/>
      </w:pPr>
      <w:r>
        <w:rPr>
          <w:rFonts w:ascii="仿宋_GB2312" w:hAnsi="仿宋_GB2312" w:eastAsia="仿宋_GB2312"/>
          <w:b w:val="0"/>
          <w:sz w:val="32"/>
        </w:rPr>
        <w:t>九、《财政拨款“三公”经费支出决算表》</w:t>
      </w:r>
    </w:p>
    <w:p w14:paraId="6ADC1E7E">
      <w:pPr>
        <w:spacing w:line="240" w:lineRule="auto"/>
        <w:ind w:firstLine="640"/>
        <w:jc w:val="both"/>
      </w:pPr>
    </w:p>
    <w:p w14:paraId="10F54B16">
      <w:pPr>
        <w:spacing w:line="240" w:lineRule="auto"/>
        <w:ind w:firstLine="640"/>
        <w:jc w:val="both"/>
      </w:pPr>
    </w:p>
    <w:p w14:paraId="4D2E9899">
      <w:pPr>
        <w:spacing w:line="240" w:lineRule="auto"/>
        <w:ind w:firstLine="640"/>
        <w:jc w:val="both"/>
      </w:pPr>
    </w:p>
    <w:p w14:paraId="5D5155AC">
      <w:pPr>
        <w:spacing w:line="240" w:lineRule="auto"/>
        <w:ind w:firstLine="640"/>
        <w:jc w:val="both"/>
      </w:pPr>
    </w:p>
    <w:p w14:paraId="068307A2">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小标宋_GBK">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0000000000000000000"/>
    <w:charset w:val="00"/>
    <w:family w:val="auto"/>
    <w:pitch w:val="default"/>
    <w:sig w:usb0="00000000" w:usb1="00000000" w:usb2="00000000" w:usb3="00000000" w:csb0="0000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AB0979"/>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134023"/>
    <w:rsid w:val="73423603"/>
    <w:rsid w:val="737A5923"/>
    <w:rsid w:val="73DE4104"/>
    <w:rsid w:val="73FB6630"/>
    <w:rsid w:val="74CE04EC"/>
    <w:rsid w:val="74E76DCD"/>
    <w:rsid w:val="76660D7C"/>
    <w:rsid w:val="77ED6F44"/>
    <w:rsid w:val="795A0A34"/>
    <w:rsid w:val="7A0D3BC7"/>
    <w:rsid w:val="7A3A3CDB"/>
    <w:rsid w:val="F6FFC56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21</Pages>
  <Words>4843</Words>
  <Characters>5479</Characters>
  <Lines>0</Lines>
  <Paragraphs>0</Paragraphs>
  <TotalTime>13</TotalTime>
  <ScaleCrop>false</ScaleCrop>
  <LinksUpToDate>false</LinksUpToDate>
  <CharactersWithSpaces>5487</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2014-10-29T20:08:00Z</dcterms:created>
  <dc:creator>GXR</dc:creator>
  <cp:lastModifiedBy>sugon</cp:lastModifiedBy>
  <cp:lastPrinted>2025-09-26T16:17:36Z</cp:lastPrinted>
  <dcterms:modified xsi:type="dcterms:W3CDTF">2025-09-26T16:18:45Z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B858A68E913346F885B5BC17D4DBEB06_13</vt:lpwstr>
  </property>
  <property fmtid="{D5CDD505-2E9C-101B-9397-08002B2CF9AE}" pid="4" name="KSOTemplateDocerSaveRecord">
    <vt:lpwstr>eyJoZGlkIjoiMzEwNjkzMWMxZWMzNzU0NmUyNzQ2NGY3YzlmZjBhZDUiLCJ1c2VySWQiOiI0OTMxMTE3MjUifQ==</vt:lpwstr>
  </property>
</Properties>
</file>