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和田地区博物馆2024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1AFBBEF">
      <w:r>
        <w:br w:type="page"/>
      </w:r>
    </w:p>
    <w:p w14:paraId="011C0554">
      <w:pPr>
        <w:spacing w:line="640" w:lineRule="exact"/>
        <w:jc w:val="center"/>
        <w:outlineLvl w:val="1"/>
      </w:pPr>
      <w:r>
        <w:rPr>
          <w:rFonts w:ascii="黑体" w:hAnsi="黑体" w:eastAsia="黑体"/>
          <w:sz w:val="32"/>
        </w:rPr>
        <w:t>第一部分 单位概况</w:t>
      </w:r>
    </w:p>
    <w:p w14:paraId="09132D91">
      <w:pPr>
        <w:spacing w:line="640" w:lineRule="exact"/>
        <w:ind w:firstLine="640"/>
        <w:jc w:val="both"/>
        <w:outlineLvl w:val="2"/>
      </w:pPr>
      <w:r>
        <w:rPr>
          <w:rFonts w:ascii="黑体" w:hAnsi="黑体" w:eastAsia="黑体"/>
          <w:sz w:val="32"/>
        </w:rPr>
        <w:t>一、主要职能</w:t>
      </w:r>
    </w:p>
    <w:p w14:paraId="6A8E7C03">
      <w:pPr>
        <w:spacing w:line="580" w:lineRule="exact"/>
        <w:ind w:firstLine="640"/>
        <w:jc w:val="both"/>
      </w:pPr>
      <w:r>
        <w:rPr>
          <w:rFonts w:ascii="仿宋_GB2312" w:hAnsi="仿宋_GB2312" w:eastAsia="仿宋_GB2312"/>
          <w:sz w:val="32"/>
        </w:rPr>
        <w:t>执行国家有关文物和博物馆工作的法律、法规和规章、政策，并监督检查，拟定有关文物和博物馆工作的地方性法规、规章草案，编制文物、博物馆事业和发展规划。负责本地区博物馆注册，登记和博物馆馆藏文物的鉴定、登记工作，负责博物馆安全保卫工作，负责馆藏文物的保护与修复工作，负责征集民间流散文物，承担藏品的收藏、保管，研究，展示工作。规划、指导各县（市）博物馆系统专业人员培训工作，</w:t>
      </w:r>
      <w:r>
        <w:rPr>
          <w:rFonts w:hint="eastAsia" w:ascii="仿宋_GB2312" w:hAnsi="仿宋_GB2312" w:eastAsia="仿宋_GB2312"/>
          <w:sz w:val="32"/>
          <w:lang w:eastAsia="zh-CN"/>
        </w:rPr>
        <w:t>组织</w:t>
      </w:r>
      <w:r>
        <w:rPr>
          <w:rFonts w:ascii="仿宋_GB2312" w:hAnsi="仿宋_GB2312" w:eastAsia="仿宋_GB2312"/>
          <w:sz w:val="32"/>
        </w:rPr>
        <w:t>文物、博物馆系统开展文物科学研究和文物科学保护工作。</w:t>
      </w:r>
    </w:p>
    <w:p w14:paraId="529D1551">
      <w:pPr>
        <w:spacing w:line="640" w:lineRule="exact"/>
        <w:ind w:firstLine="640"/>
        <w:jc w:val="both"/>
        <w:outlineLvl w:val="2"/>
      </w:pPr>
      <w:r>
        <w:rPr>
          <w:rFonts w:ascii="黑体" w:hAnsi="黑体" w:eastAsia="黑体"/>
          <w:sz w:val="32"/>
        </w:rPr>
        <w:t>二、机构设置及人员情况</w:t>
      </w:r>
    </w:p>
    <w:p w14:paraId="5AE3FAEF">
      <w:pPr>
        <w:spacing w:line="580" w:lineRule="exact"/>
        <w:ind w:firstLine="640"/>
        <w:jc w:val="both"/>
      </w:pPr>
      <w:r>
        <w:rPr>
          <w:rFonts w:ascii="仿宋_GB2312" w:hAnsi="仿宋_GB2312" w:eastAsia="仿宋_GB2312"/>
          <w:sz w:val="32"/>
        </w:rPr>
        <w:t>和田地区博物馆2024年度，实有人数26人，其中：在职人员16人，增加0人；离休人员0人，增加0人；退休人员10人,增加0人。</w:t>
      </w:r>
    </w:p>
    <w:p w14:paraId="1289264C">
      <w:pPr>
        <w:spacing w:line="580" w:lineRule="exact"/>
        <w:ind w:firstLine="640"/>
        <w:jc w:val="both"/>
      </w:pPr>
      <w:r>
        <w:rPr>
          <w:rFonts w:ascii="仿宋_GB2312" w:hAnsi="仿宋_GB2312" w:eastAsia="仿宋_GB2312"/>
          <w:sz w:val="32"/>
        </w:rPr>
        <w:t>和田地区博物馆无下属预算单位，下设3个科室，分别是：办公室、财务室、业务室。</w:t>
      </w:r>
    </w:p>
    <w:p w14:paraId="6823C5C4">
      <w:r>
        <w:br w:type="page"/>
      </w:r>
    </w:p>
    <w:p w14:paraId="35F6034A">
      <w:pPr>
        <w:spacing w:line="240" w:lineRule="auto"/>
        <w:jc w:val="center"/>
        <w:outlineLvl w:val="1"/>
      </w:pPr>
      <w:r>
        <w:rPr>
          <w:rFonts w:ascii="黑体" w:hAnsi="黑体" w:eastAsia="黑体"/>
          <w:sz w:val="32"/>
        </w:rPr>
        <w:t>第二部分 部门决算情况说明</w:t>
      </w:r>
    </w:p>
    <w:p w14:paraId="65E472A0">
      <w:pPr>
        <w:spacing w:line="640" w:lineRule="exact"/>
        <w:ind w:firstLine="640"/>
        <w:jc w:val="both"/>
        <w:outlineLvl w:val="2"/>
      </w:pPr>
      <w:r>
        <w:rPr>
          <w:rFonts w:ascii="黑体" w:hAnsi="黑体" w:eastAsia="黑体"/>
          <w:sz w:val="32"/>
        </w:rPr>
        <w:t>一、收入支出决算总体情况说明</w:t>
      </w:r>
    </w:p>
    <w:p w14:paraId="3A365F42">
      <w:pPr>
        <w:spacing w:line="580" w:lineRule="exact"/>
        <w:ind w:firstLine="640"/>
        <w:jc w:val="both"/>
      </w:pPr>
      <w:r>
        <w:rPr>
          <w:rFonts w:ascii="仿宋_GB2312" w:hAnsi="仿宋_GB2312" w:eastAsia="仿宋_GB2312"/>
          <w:b/>
          <w:sz w:val="32"/>
        </w:rPr>
        <w:t>2024年度收入总计934.77万元，</w:t>
      </w:r>
      <w:r>
        <w:rPr>
          <w:rFonts w:ascii="仿宋_GB2312" w:hAnsi="仿宋_GB2312" w:eastAsia="仿宋_GB2312"/>
          <w:b w:val="0"/>
          <w:sz w:val="32"/>
        </w:rPr>
        <w:t>其中：本年收入合计868.93万元，使用非财政拨款结余（含专用结余）0.00万元，年初结转和结余65.84万元。</w:t>
      </w:r>
    </w:p>
    <w:p w14:paraId="19989BE1">
      <w:pPr>
        <w:spacing w:line="580" w:lineRule="exact"/>
        <w:ind w:firstLine="640"/>
        <w:jc w:val="both"/>
      </w:pPr>
      <w:r>
        <w:rPr>
          <w:rFonts w:ascii="仿宋_GB2312" w:hAnsi="仿宋_GB2312" w:eastAsia="仿宋_GB2312"/>
          <w:b/>
          <w:sz w:val="32"/>
        </w:rPr>
        <w:t>2024年度支出总计934.77万元，</w:t>
      </w:r>
      <w:r>
        <w:rPr>
          <w:rFonts w:ascii="仿宋_GB2312" w:hAnsi="仿宋_GB2312" w:eastAsia="仿宋_GB2312"/>
          <w:b w:val="0"/>
          <w:sz w:val="32"/>
        </w:rPr>
        <w:t>其中：本年支出合计871.37万元，结余分配0.00万元，年末结转和结余63.40万元。</w:t>
      </w:r>
    </w:p>
    <w:p w14:paraId="73321F83">
      <w:pPr>
        <w:spacing w:line="580" w:lineRule="exact"/>
        <w:ind w:firstLine="640"/>
        <w:jc w:val="both"/>
      </w:pPr>
      <w:r>
        <w:rPr>
          <w:rFonts w:ascii="仿宋_GB2312" w:hAnsi="仿宋_GB2312" w:eastAsia="仿宋_GB2312"/>
          <w:b w:val="0"/>
          <w:sz w:val="32"/>
        </w:rPr>
        <w:t>收入支出总体与上年相比，减少60.15万元，下降6.05%，主要原因是：本年文物保护项目资金较上年减少。</w:t>
      </w:r>
    </w:p>
    <w:p w14:paraId="297D7E3F">
      <w:pPr>
        <w:spacing w:line="640" w:lineRule="exact"/>
        <w:ind w:firstLine="640"/>
        <w:jc w:val="both"/>
        <w:outlineLvl w:val="2"/>
      </w:pPr>
      <w:r>
        <w:rPr>
          <w:rFonts w:ascii="黑体" w:hAnsi="黑体" w:eastAsia="黑体"/>
          <w:sz w:val="32"/>
        </w:rPr>
        <w:t>二、收入决算情况说明</w:t>
      </w:r>
    </w:p>
    <w:p w14:paraId="3FF5EDA2">
      <w:pPr>
        <w:spacing w:line="580" w:lineRule="exact"/>
        <w:ind w:firstLine="640"/>
        <w:jc w:val="both"/>
      </w:pPr>
      <w:r>
        <w:rPr>
          <w:rFonts w:ascii="仿宋_GB2312" w:hAnsi="仿宋_GB2312" w:eastAsia="仿宋_GB2312"/>
          <w:b/>
          <w:sz w:val="32"/>
        </w:rPr>
        <w:t>本年收入868.93万元，</w:t>
      </w:r>
      <w:r>
        <w:rPr>
          <w:rFonts w:ascii="仿宋_GB2312" w:hAnsi="仿宋_GB2312" w:eastAsia="仿宋_GB2312"/>
          <w:b w:val="0"/>
          <w:sz w:val="32"/>
        </w:rPr>
        <w:t>其中：财政拨款收入764.38万元，占87.97%；上级补助收入0.00万元，占0.00%；事业收入0.00万元，占0.00%；经营收入0.00万元，占0.00%；附属单位上缴收入0.00万元，占0.00%；其他收入104.55万元，占12.03%。</w:t>
      </w:r>
    </w:p>
    <w:p w14:paraId="728ED57D">
      <w:pPr>
        <w:spacing w:line="640" w:lineRule="exact"/>
        <w:ind w:firstLine="640"/>
        <w:jc w:val="both"/>
        <w:outlineLvl w:val="2"/>
      </w:pPr>
      <w:r>
        <w:rPr>
          <w:rFonts w:ascii="黑体" w:hAnsi="黑体" w:eastAsia="黑体"/>
          <w:sz w:val="32"/>
        </w:rPr>
        <w:t>三、支出决算情况说明</w:t>
      </w:r>
    </w:p>
    <w:p w14:paraId="0FBC8CA2">
      <w:pPr>
        <w:spacing w:line="580" w:lineRule="exact"/>
        <w:ind w:firstLine="640"/>
        <w:jc w:val="both"/>
      </w:pPr>
      <w:r>
        <w:rPr>
          <w:rFonts w:ascii="仿宋_GB2312" w:hAnsi="仿宋_GB2312" w:eastAsia="仿宋_GB2312"/>
          <w:b/>
          <w:sz w:val="32"/>
        </w:rPr>
        <w:t>本年支出871.37万元，</w:t>
      </w:r>
      <w:r>
        <w:rPr>
          <w:rFonts w:ascii="仿宋_GB2312" w:hAnsi="仿宋_GB2312" w:eastAsia="仿宋_GB2312"/>
          <w:b w:val="0"/>
          <w:sz w:val="32"/>
        </w:rPr>
        <w:t>其中：基本支出479.72万元，占55.05%；项目支出391.65万元，占44.95%；上缴上级支出0.00万元，占0.00%；经营支出0.00万元，占0.00%；对附属单位补助支出0.00万元，占0.00%。</w:t>
      </w:r>
    </w:p>
    <w:p w14:paraId="40B788DA">
      <w:pPr>
        <w:spacing w:line="640" w:lineRule="exact"/>
        <w:ind w:firstLine="640"/>
        <w:jc w:val="both"/>
        <w:outlineLvl w:val="2"/>
      </w:pPr>
      <w:r>
        <w:rPr>
          <w:rFonts w:ascii="黑体" w:hAnsi="黑体" w:eastAsia="黑体"/>
          <w:sz w:val="32"/>
        </w:rPr>
        <w:t>四、财政拨款收入支出决算总体情况说明</w:t>
      </w:r>
    </w:p>
    <w:p w14:paraId="06AC0FCE">
      <w:pPr>
        <w:spacing w:line="580" w:lineRule="exact"/>
        <w:ind w:firstLine="640"/>
        <w:jc w:val="both"/>
      </w:pPr>
      <w:r>
        <w:rPr>
          <w:rFonts w:ascii="仿宋_GB2312" w:hAnsi="仿宋_GB2312" w:eastAsia="仿宋_GB2312"/>
          <w:b/>
          <w:sz w:val="32"/>
        </w:rPr>
        <w:t>2024年度财政拨款收入总计764.38万元，</w:t>
      </w:r>
      <w:r>
        <w:rPr>
          <w:rFonts w:ascii="仿宋_GB2312" w:hAnsi="仿宋_GB2312" w:eastAsia="仿宋_GB2312"/>
          <w:b w:val="0"/>
          <w:sz w:val="32"/>
        </w:rPr>
        <w:t>其中：年初财政拨款结转和结余0.00万元，本年财政拨款收入764.38万元。</w:t>
      </w:r>
      <w:r>
        <w:rPr>
          <w:rFonts w:ascii="仿宋_GB2312" w:hAnsi="仿宋_GB2312" w:eastAsia="仿宋_GB2312"/>
          <w:b/>
          <w:sz w:val="32"/>
        </w:rPr>
        <w:t>财政拨款支出总计764.38万元，</w:t>
      </w:r>
      <w:r>
        <w:rPr>
          <w:rFonts w:ascii="仿宋_GB2312" w:hAnsi="仿宋_GB2312" w:eastAsia="仿宋_GB2312"/>
          <w:b w:val="0"/>
          <w:sz w:val="32"/>
        </w:rPr>
        <w:t>其中：年末财政拨款结转和结余0.00万元，本年财政拨款支出764.38万元。</w:t>
      </w:r>
    </w:p>
    <w:p w14:paraId="6C771A48">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增加15.90万元，增长2.12%，主要原因是：本年中央支持地方公共文化服务体系建设补助资金项目， 三馆一院取暖费项目资金较上年增加。</w:t>
      </w:r>
      <w:r>
        <w:rPr>
          <w:rFonts w:ascii="仿宋_GB2312" w:hAnsi="仿宋_GB2312" w:eastAsia="仿宋_GB2312"/>
          <w:b/>
          <w:sz w:val="32"/>
        </w:rPr>
        <w:t>与年初预算相比，</w:t>
      </w:r>
      <w:r>
        <w:rPr>
          <w:rFonts w:ascii="仿宋_GB2312" w:hAnsi="仿宋_GB2312" w:eastAsia="仿宋_GB2312"/>
          <w:b w:val="0"/>
          <w:sz w:val="32"/>
        </w:rPr>
        <w:t>年初预算数709.42万元，决算数764.38万元，预决算差异率7.75%，主要原因是：年中追加博物馆免费开放项目，三馆一团集中取暖费项目，导致预决算存在差异。</w:t>
      </w:r>
    </w:p>
    <w:p w14:paraId="4B440C2E">
      <w:pPr>
        <w:spacing w:line="640" w:lineRule="exact"/>
        <w:ind w:firstLine="640"/>
        <w:jc w:val="both"/>
        <w:outlineLvl w:val="2"/>
      </w:pPr>
      <w:r>
        <w:rPr>
          <w:rFonts w:ascii="黑体" w:hAnsi="黑体" w:eastAsia="黑体"/>
          <w:sz w:val="32"/>
        </w:rPr>
        <w:t>五、一般公共预算财政拨款支出决算情况说明</w:t>
      </w:r>
    </w:p>
    <w:p w14:paraId="5503AFB8">
      <w:pPr>
        <w:spacing w:line="640" w:lineRule="exact"/>
        <w:ind w:firstLine="640"/>
        <w:jc w:val="both"/>
        <w:outlineLvl w:val="3"/>
      </w:pPr>
      <w:r>
        <w:rPr>
          <w:rFonts w:ascii="楷体_GB2312" w:hAnsi="楷体_GB2312" w:eastAsia="楷体_GB2312"/>
          <w:b/>
          <w:sz w:val="32"/>
        </w:rPr>
        <w:t>（一）一般公共预算财政拨款支出决算总体情况</w:t>
      </w:r>
    </w:p>
    <w:p w14:paraId="7BA77633">
      <w:pPr>
        <w:spacing w:line="580" w:lineRule="exact"/>
        <w:ind w:firstLine="640"/>
        <w:jc w:val="both"/>
      </w:pPr>
      <w:r>
        <w:rPr>
          <w:rFonts w:ascii="仿宋_GB2312" w:hAnsi="仿宋_GB2312" w:eastAsia="仿宋_GB2312"/>
          <w:b/>
          <w:sz w:val="32"/>
        </w:rPr>
        <w:t>2024年度一般公共预算财政拨款支出764.38万元，</w:t>
      </w:r>
      <w:r>
        <w:rPr>
          <w:rFonts w:ascii="仿宋_GB2312" w:hAnsi="仿宋_GB2312" w:eastAsia="仿宋_GB2312"/>
          <w:b w:val="0"/>
          <w:sz w:val="32"/>
        </w:rPr>
        <w:t>占本年支出合计的87.72%。</w:t>
      </w:r>
      <w:r>
        <w:rPr>
          <w:rFonts w:ascii="仿宋_GB2312" w:hAnsi="仿宋_GB2312" w:eastAsia="仿宋_GB2312"/>
          <w:b/>
          <w:sz w:val="32"/>
        </w:rPr>
        <w:t>与上年相比，</w:t>
      </w:r>
      <w:r>
        <w:rPr>
          <w:rFonts w:ascii="仿宋_GB2312" w:hAnsi="仿宋_GB2312" w:eastAsia="仿宋_GB2312"/>
          <w:b w:val="0"/>
          <w:sz w:val="32"/>
        </w:rPr>
        <w:t>增加25.82万元，增长3.50%，主要原因是：本年中央支持地方公共文化服务体系建设补助资金项目， 三馆一院取暖费项目资金较上年增加。</w:t>
      </w:r>
      <w:r>
        <w:rPr>
          <w:rFonts w:ascii="仿宋_GB2312" w:hAnsi="仿宋_GB2312" w:eastAsia="仿宋_GB2312"/>
          <w:b/>
          <w:sz w:val="32"/>
        </w:rPr>
        <w:t>与年初预算相比,</w:t>
      </w:r>
      <w:r>
        <w:rPr>
          <w:rFonts w:ascii="仿宋_GB2312" w:hAnsi="仿宋_GB2312" w:eastAsia="仿宋_GB2312"/>
          <w:b w:val="0"/>
          <w:sz w:val="32"/>
        </w:rPr>
        <w:t>年初预算数709.42万元，决算数764.38万元，预决算差异率7.75%，主要原因是：年中追加博物馆免费开放项目，三馆一团集中取暖费项目，导致预决算存在差异。</w:t>
      </w:r>
    </w:p>
    <w:p w14:paraId="48DC7302">
      <w:pPr>
        <w:spacing w:line="640" w:lineRule="exact"/>
        <w:ind w:firstLine="640"/>
        <w:jc w:val="both"/>
        <w:outlineLvl w:val="3"/>
      </w:pPr>
      <w:r>
        <w:rPr>
          <w:rFonts w:ascii="楷体_GB2312" w:hAnsi="楷体_GB2312" w:eastAsia="楷体_GB2312"/>
          <w:b/>
          <w:sz w:val="32"/>
        </w:rPr>
        <w:t>（二）一般公共预算财政拨款支出决算结构情况</w:t>
      </w:r>
    </w:p>
    <w:p w14:paraId="1E7275B9">
      <w:pPr>
        <w:spacing w:line="580" w:lineRule="exact"/>
        <w:ind w:firstLine="640"/>
        <w:jc w:val="both"/>
      </w:pPr>
      <w:r>
        <w:rPr>
          <w:rFonts w:ascii="仿宋_GB2312" w:hAnsi="仿宋_GB2312" w:eastAsia="仿宋_GB2312"/>
          <w:b w:val="0"/>
          <w:sz w:val="32"/>
        </w:rPr>
        <w:t>1.文化旅游体育与传媒支出(类)763.17万元,占99.84%。</w:t>
      </w:r>
    </w:p>
    <w:p w14:paraId="033D47F0">
      <w:pPr>
        <w:spacing w:line="580" w:lineRule="exact"/>
        <w:ind w:firstLine="640"/>
        <w:jc w:val="both"/>
      </w:pPr>
      <w:r>
        <w:rPr>
          <w:rFonts w:ascii="仿宋_GB2312" w:hAnsi="仿宋_GB2312" w:eastAsia="仿宋_GB2312"/>
          <w:b w:val="0"/>
          <w:sz w:val="32"/>
        </w:rPr>
        <w:t>2.其他支出(类)1.20万元,占0.16%。</w:t>
      </w:r>
    </w:p>
    <w:p w14:paraId="4082530B">
      <w:pPr>
        <w:spacing w:line="640" w:lineRule="exact"/>
        <w:ind w:firstLine="640"/>
        <w:jc w:val="both"/>
        <w:outlineLvl w:val="3"/>
      </w:pPr>
      <w:r>
        <w:rPr>
          <w:rFonts w:ascii="楷体_GB2312" w:hAnsi="楷体_GB2312" w:eastAsia="楷体_GB2312"/>
          <w:b/>
          <w:sz w:val="32"/>
        </w:rPr>
        <w:t>（三）一般公共预算财政拨款支出决算具体情况</w:t>
      </w:r>
    </w:p>
    <w:p w14:paraId="04E95518">
      <w:pPr>
        <w:spacing w:line="580" w:lineRule="exact"/>
        <w:ind w:firstLine="640"/>
        <w:jc w:val="both"/>
      </w:pPr>
      <w:r>
        <w:rPr>
          <w:rFonts w:ascii="仿宋_GB2312" w:hAnsi="仿宋_GB2312" w:eastAsia="仿宋_GB2312"/>
          <w:b w:val="0"/>
          <w:sz w:val="32"/>
        </w:rPr>
        <w:t>1.一般公共服务支出(类)组织事务(款)其他组织事务支出(项):支出决算数为0.00万元，比上年决算减少0.43万元，下降100.00%,主要原因是：本年功能科目调整，援疆干部生活补助资金有其他组织事务支出科目调整至其他支出科目支出，导致经费较上年减少。</w:t>
      </w:r>
    </w:p>
    <w:p w14:paraId="5F1BE079">
      <w:pPr>
        <w:spacing w:line="580" w:lineRule="exact"/>
        <w:ind w:firstLine="640"/>
        <w:jc w:val="both"/>
      </w:pPr>
      <w:r>
        <w:rPr>
          <w:rFonts w:ascii="仿宋_GB2312" w:hAnsi="仿宋_GB2312" w:eastAsia="仿宋_GB2312"/>
          <w:b w:val="0"/>
          <w:sz w:val="32"/>
        </w:rPr>
        <w:t>2.文化旅游体育与传媒支出(类)文化和旅游(款)其他文化和旅游支出(项):支出决算数为20.00万元，比上年决算增加3.82万元，增长23.61%,主要原因是：本年增加自治区党委宣传系统项目资金，导致经费较上年增加。</w:t>
      </w:r>
    </w:p>
    <w:p w14:paraId="254D64C3">
      <w:pPr>
        <w:spacing w:line="580" w:lineRule="exact"/>
        <w:ind w:firstLine="640"/>
        <w:jc w:val="both"/>
      </w:pPr>
      <w:r>
        <w:rPr>
          <w:rFonts w:ascii="仿宋_GB2312" w:hAnsi="仿宋_GB2312" w:eastAsia="仿宋_GB2312"/>
          <w:b w:val="0"/>
          <w:sz w:val="32"/>
        </w:rPr>
        <w:t>3.文化旅游体育与传媒支出(类)文物(款)文物保护(项):支出决算数为12.00万元，比上年决算减少31.17万元，下降72.20%,主要原因是：2024年度自治区野外文物保护单位看护人员专项资金较上年减少。</w:t>
      </w:r>
    </w:p>
    <w:p w14:paraId="33B435C4">
      <w:pPr>
        <w:spacing w:line="580" w:lineRule="exact"/>
        <w:ind w:firstLine="640"/>
        <w:jc w:val="both"/>
      </w:pPr>
      <w:r>
        <w:rPr>
          <w:rFonts w:ascii="仿宋_GB2312" w:hAnsi="仿宋_GB2312" w:eastAsia="仿宋_GB2312"/>
          <w:b w:val="0"/>
          <w:sz w:val="32"/>
        </w:rPr>
        <w:t>4.文化旅游体育与传媒支出(类)文物(款)博物馆(项):支出决算数为631.30万元，比上年决算增加19.99万元，增长3.27%,主要原因是：本年国家博物馆纪念馆免费开放补助资金项目资金较上年增加。</w:t>
      </w:r>
    </w:p>
    <w:p w14:paraId="371C8E26">
      <w:pPr>
        <w:spacing w:line="580" w:lineRule="exact"/>
        <w:ind w:firstLine="640"/>
        <w:jc w:val="both"/>
      </w:pPr>
      <w:r>
        <w:rPr>
          <w:rFonts w:ascii="仿宋_GB2312" w:hAnsi="仿宋_GB2312" w:eastAsia="仿宋_GB2312"/>
          <w:b w:val="0"/>
          <w:sz w:val="32"/>
        </w:rPr>
        <w:t>5.文化旅游体育与传媒支出(类)文物(款)其他文物支出(项):支出决算数为59.99万元，比上年决算减少0.01万元，下降0.02%,主要原因是：本年三馆一院取暖费项目资金较上年减少。</w:t>
      </w:r>
    </w:p>
    <w:p w14:paraId="051E16FE">
      <w:pPr>
        <w:spacing w:line="580" w:lineRule="exact"/>
        <w:ind w:firstLine="640"/>
        <w:jc w:val="both"/>
      </w:pPr>
      <w:r>
        <w:rPr>
          <w:rFonts w:ascii="仿宋_GB2312" w:hAnsi="仿宋_GB2312" w:eastAsia="仿宋_GB2312"/>
          <w:b w:val="0"/>
          <w:sz w:val="32"/>
        </w:rPr>
        <w:t>6.文化旅游体育与传媒支出(类)其他文化旅游体育与传媒支出(款)其他文化旅游体育与传媒支出(项):支出决算数为39.89万元，比上年决算增加32.42万元，增长434.00%,主要原因是：本年中央支持地方公共文化服务体系建设补助资金项目资金较上年增加。</w:t>
      </w:r>
    </w:p>
    <w:p w14:paraId="3E1DC22E">
      <w:pPr>
        <w:spacing w:line="580" w:lineRule="exact"/>
        <w:ind w:firstLine="640"/>
        <w:jc w:val="both"/>
      </w:pPr>
      <w:r>
        <w:rPr>
          <w:rFonts w:ascii="仿宋_GB2312" w:hAnsi="仿宋_GB2312" w:eastAsia="仿宋_GB2312"/>
          <w:b w:val="0"/>
          <w:sz w:val="32"/>
        </w:rPr>
        <w:t>7.其他支出(类)其他支出(款)其他支出(项):支出决算数为1.20万元，比上年决算增加1.20万元，增长100.00%,主要原因是：本年功能科目调整，援疆干部生活补助资金有其他组织事务支出科目调整至其他支出科目支出，导致经费较上年增加。</w:t>
      </w:r>
    </w:p>
    <w:p w14:paraId="2400A0EF">
      <w:pPr>
        <w:spacing w:line="640" w:lineRule="exact"/>
        <w:ind w:firstLine="640"/>
        <w:jc w:val="both"/>
        <w:outlineLvl w:val="2"/>
      </w:pPr>
      <w:r>
        <w:rPr>
          <w:rFonts w:ascii="黑体" w:hAnsi="黑体" w:eastAsia="黑体"/>
          <w:sz w:val="32"/>
        </w:rPr>
        <w:t>六、一般公共预算财政拨款基本支出决算情况说明</w:t>
      </w:r>
    </w:p>
    <w:p w14:paraId="65795E64">
      <w:pPr>
        <w:spacing w:line="580" w:lineRule="exact"/>
        <w:ind w:firstLine="640"/>
        <w:jc w:val="both"/>
      </w:pPr>
      <w:r>
        <w:rPr>
          <w:rFonts w:ascii="仿宋_GB2312" w:hAnsi="仿宋_GB2312" w:eastAsia="仿宋_GB2312"/>
          <w:b w:val="0"/>
          <w:sz w:val="32"/>
        </w:rPr>
        <w:t>2024年度一般公共预算财政拨款基本支出372.73万元，其中：</w:t>
      </w:r>
      <w:r>
        <w:rPr>
          <w:rFonts w:ascii="仿宋_GB2312" w:hAnsi="仿宋_GB2312" w:eastAsia="仿宋_GB2312"/>
          <w:b/>
          <w:sz w:val="32"/>
        </w:rPr>
        <w:t>人员经费356.72万元，</w:t>
      </w:r>
      <w:r>
        <w:rPr>
          <w:rFonts w:ascii="仿宋_GB2312" w:hAnsi="仿宋_GB2312" w:eastAsia="仿宋_GB2312"/>
          <w:b w:val="0"/>
          <w:sz w:val="32"/>
        </w:rPr>
        <w:t>包括：基本工资、津贴补贴、绩效工资、机关事业单位基本养老保险缴费、职工基本医疗保险缴费、公务员医疗补助缴费、其他社会保障缴费、住房公积金、其他工资福利支出、退休费、生活补助、奖励金。</w:t>
      </w:r>
    </w:p>
    <w:p w14:paraId="290A4918">
      <w:pPr>
        <w:spacing w:line="580" w:lineRule="exact"/>
        <w:ind w:firstLine="640"/>
        <w:jc w:val="both"/>
      </w:pPr>
      <w:r>
        <w:rPr>
          <w:rFonts w:ascii="仿宋_GB2312" w:hAnsi="仿宋_GB2312" w:eastAsia="仿宋_GB2312"/>
          <w:b/>
          <w:sz w:val="32"/>
        </w:rPr>
        <w:t>公用经费16.01万元，</w:t>
      </w:r>
      <w:r>
        <w:rPr>
          <w:rFonts w:ascii="仿宋_GB2312" w:hAnsi="仿宋_GB2312" w:eastAsia="仿宋_GB2312"/>
          <w:b w:val="0"/>
          <w:sz w:val="32"/>
        </w:rPr>
        <w:t>包括：办公费、水费、电费、邮电费、差旅费、培训费、劳务费、工会经费、福利费、公务用车运行维护费、专用设备购置。</w:t>
      </w:r>
    </w:p>
    <w:p w14:paraId="51779E0E">
      <w:pPr>
        <w:spacing w:line="640" w:lineRule="exact"/>
        <w:ind w:firstLine="640"/>
        <w:jc w:val="both"/>
        <w:outlineLvl w:val="2"/>
      </w:pPr>
      <w:r>
        <w:rPr>
          <w:rFonts w:ascii="黑体" w:hAnsi="黑体" w:eastAsia="黑体"/>
          <w:sz w:val="32"/>
        </w:rPr>
        <w:t>七、政府性基金预算财政拨款收入支出决算情况说明</w:t>
      </w:r>
    </w:p>
    <w:p w14:paraId="226DA11F">
      <w:pPr>
        <w:spacing w:line="580" w:lineRule="exact"/>
        <w:ind w:firstLine="640"/>
        <w:jc w:val="both"/>
      </w:pPr>
      <w:r>
        <w:rPr>
          <w:rFonts w:ascii="仿宋_GB2312" w:hAnsi="仿宋_GB2312" w:eastAsia="仿宋_GB2312"/>
          <w:b/>
          <w:sz w:val="32"/>
        </w:rPr>
        <w:t>2024年度政府性基金预算财政拨款收入总计0.00万元，</w:t>
      </w:r>
      <w:r>
        <w:rPr>
          <w:rFonts w:ascii="仿宋_GB2312" w:hAnsi="仿宋_GB2312" w:eastAsia="仿宋_GB2312"/>
          <w:b w:val="0"/>
          <w:sz w:val="32"/>
        </w:rPr>
        <w:t>其中：年初结转和结余0.00万元，本年收入0.00万元。</w:t>
      </w:r>
      <w:r>
        <w:rPr>
          <w:rFonts w:ascii="仿宋_GB2312" w:hAnsi="仿宋_GB2312" w:eastAsia="仿宋_GB2312"/>
          <w:b/>
          <w:sz w:val="32"/>
        </w:rPr>
        <w:t>政府性基金预算财政拨款支出总计0.00万元，</w:t>
      </w:r>
      <w:r>
        <w:rPr>
          <w:rFonts w:ascii="仿宋_GB2312" w:hAnsi="仿宋_GB2312" w:eastAsia="仿宋_GB2312"/>
          <w:b w:val="0"/>
          <w:sz w:val="32"/>
        </w:rPr>
        <w:t>其中：年末结转和结余0.00万元，本年支出0.00万元。</w:t>
      </w:r>
    </w:p>
    <w:p w14:paraId="40E694D8">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减少9.92万元，下降100.00%，主要原因是：本年未安排文化和旅游志愿服务项目资金。</w:t>
      </w:r>
      <w:r>
        <w:rPr>
          <w:rFonts w:ascii="仿宋_GB2312" w:hAnsi="仿宋_GB2312" w:eastAsia="仿宋_GB2312"/>
          <w:b/>
          <w:sz w:val="32"/>
        </w:rPr>
        <w:t>与年初预算相比，</w:t>
      </w:r>
      <w:r>
        <w:rPr>
          <w:rFonts w:ascii="仿宋_GB2312" w:hAnsi="仿宋_GB2312" w:eastAsia="仿宋_GB2312"/>
          <w:b w:val="0"/>
          <w:sz w:val="32"/>
        </w:rPr>
        <w:t>年初预算数0.00万元，决算数0.00万元，预决算差异率0.00%，主要原因是：本年未安排政府性基金预算。</w:t>
      </w:r>
    </w:p>
    <w:p w14:paraId="75CD4D57">
      <w:pPr>
        <w:spacing w:line="580" w:lineRule="exact"/>
        <w:ind w:firstLine="640"/>
        <w:jc w:val="both"/>
      </w:pPr>
      <w:r>
        <w:rPr>
          <w:rFonts w:ascii="仿宋_GB2312" w:hAnsi="仿宋_GB2312" w:eastAsia="仿宋_GB2312"/>
          <w:b w:val="0"/>
          <w:sz w:val="32"/>
        </w:rPr>
        <w:t>政府性基金预算财政拨款支出0.00万元。</w:t>
      </w:r>
    </w:p>
    <w:p w14:paraId="4D24E22B">
      <w:pPr>
        <w:spacing w:line="580" w:lineRule="exact"/>
        <w:ind w:firstLine="640"/>
        <w:jc w:val="both"/>
      </w:pPr>
      <w:r>
        <w:rPr>
          <w:rFonts w:ascii="仿宋_GB2312" w:hAnsi="仿宋_GB2312" w:eastAsia="仿宋_GB2312"/>
          <w:b w:val="0"/>
          <w:sz w:val="32"/>
        </w:rPr>
        <w:t>1.其他支出(类)彩票公益金安排的支出(款)用于文化事业的彩票公益金支出(项):支出决算数为0.00万元，比上年决算减少9.92万元，下降100.00%,主要原因是：本年未安排文化和旅游志愿服务项目资金。</w:t>
      </w:r>
    </w:p>
    <w:p w14:paraId="04BEFC0A">
      <w:pPr>
        <w:spacing w:line="640" w:lineRule="exact"/>
        <w:ind w:firstLine="640"/>
        <w:jc w:val="both"/>
        <w:outlineLvl w:val="2"/>
      </w:pPr>
      <w:r>
        <w:rPr>
          <w:rFonts w:ascii="黑体" w:hAnsi="黑体" w:eastAsia="黑体"/>
          <w:sz w:val="32"/>
        </w:rPr>
        <w:t>八、国有资本经营预算财政拨款收入支出决算情况说明</w:t>
      </w:r>
    </w:p>
    <w:p w14:paraId="509DD85E">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1E1793E">
      <w:pPr>
        <w:spacing w:line="640" w:lineRule="exact"/>
        <w:ind w:firstLine="640"/>
        <w:jc w:val="both"/>
        <w:outlineLvl w:val="2"/>
      </w:pPr>
      <w:r>
        <w:rPr>
          <w:rFonts w:ascii="黑体" w:hAnsi="黑体" w:eastAsia="黑体"/>
          <w:sz w:val="32"/>
        </w:rPr>
        <w:t>九、财政拨款“三公”经费支出决算情况说明</w:t>
      </w:r>
    </w:p>
    <w:p w14:paraId="14DA9667">
      <w:pPr>
        <w:spacing w:line="580" w:lineRule="exact"/>
        <w:ind w:firstLine="640"/>
        <w:jc w:val="both"/>
      </w:pPr>
      <w:r>
        <w:rPr>
          <w:rFonts w:ascii="仿宋_GB2312" w:hAnsi="仿宋_GB2312" w:eastAsia="仿宋_GB2312"/>
          <w:b/>
          <w:sz w:val="32"/>
        </w:rPr>
        <w:t>2024年度财政拨款“三公”经费支出2.00万元，</w:t>
      </w:r>
      <w:r>
        <w:rPr>
          <w:rFonts w:ascii="仿宋_GB2312" w:hAnsi="仿宋_GB2312" w:eastAsia="仿宋_GB2312"/>
          <w:b w:val="0"/>
          <w:sz w:val="32"/>
        </w:rPr>
        <w:t>比上年增加0.00万元，增长0.00%，主要原因是：本单位“三公”经费与上年一致无变化。其中：因公出国（境）费支出0.00万元，占0.00%，比上年增加0.00万元，增长0.00%，主要原因是：2023年与2024年均未安排因公出国（境）费支出。公务用车购置及运行维护费支出2.00万元，占100.00%，比上年增加0.00万元，增长0.00%，主要原因是：本单位公务用车运行维护费与上年一致无变化。公务接待费支出0.00万元，占0.00%，比上年增加0.00万元，增长0.00%，主要原因是：2023年与2024年均未安排公务接待费支出。</w:t>
      </w:r>
    </w:p>
    <w:p w14:paraId="7750B6EE">
      <w:pPr>
        <w:spacing w:line="580" w:lineRule="exact"/>
        <w:ind w:firstLine="640"/>
        <w:jc w:val="both"/>
      </w:pPr>
      <w:r>
        <w:rPr>
          <w:rFonts w:ascii="仿宋_GB2312" w:hAnsi="仿宋_GB2312" w:eastAsia="仿宋_GB2312"/>
          <w:b/>
          <w:sz w:val="32"/>
        </w:rPr>
        <w:t>具体情况如下：</w:t>
      </w:r>
    </w:p>
    <w:p w14:paraId="23907FF4">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9085D1C">
      <w:pPr>
        <w:spacing w:line="580" w:lineRule="exact"/>
        <w:ind w:firstLine="640"/>
        <w:jc w:val="both"/>
      </w:pPr>
      <w:r>
        <w:rPr>
          <w:rFonts w:ascii="仿宋_GB2312" w:hAnsi="仿宋_GB2312" w:eastAsia="仿宋_GB2312"/>
          <w:b w:val="0"/>
          <w:sz w:val="32"/>
        </w:rPr>
        <w:t>公务用车购置及运行维护费2.00万元，其中：公务用车购置费0.00万元，公务用车运行维护费2.00万元。公务用车运行维护费开支内容包括车辆加油费、维修费、保险费、审车费、过路费。公务用车购置数0辆，公务用车保有量1辆。国有资产占用情况中固定资产车辆1辆，与公务用车保有量差异原因是：本单位固定资产车辆与公务用车保有量一致无差异。</w:t>
      </w:r>
    </w:p>
    <w:p w14:paraId="17EC60FB">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F5E97D0">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2.00万元，决算数2.00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2.00万元，决算数2.00万元，预决算差异率0.00%，主要原因是：严格按照预算执行，预决算无差异。公务接待费全年预算数0.00万元，决算数0.00万元，预决算差异率0.00%，主要原因是：本单位无公务接待费。</w:t>
      </w:r>
    </w:p>
    <w:p w14:paraId="08D012DA">
      <w:pPr>
        <w:spacing w:line="640" w:lineRule="exact"/>
        <w:ind w:firstLine="640"/>
        <w:jc w:val="both"/>
        <w:outlineLvl w:val="2"/>
      </w:pPr>
      <w:r>
        <w:rPr>
          <w:rFonts w:ascii="黑体" w:hAnsi="黑体" w:eastAsia="黑体"/>
          <w:sz w:val="32"/>
        </w:rPr>
        <w:t>十、其他重要事项的情况说明</w:t>
      </w:r>
    </w:p>
    <w:p w14:paraId="1AABB8DD">
      <w:pPr>
        <w:spacing w:line="640" w:lineRule="exact"/>
        <w:ind w:firstLine="640"/>
        <w:jc w:val="both"/>
        <w:outlineLvl w:val="3"/>
      </w:pPr>
      <w:r>
        <w:rPr>
          <w:rFonts w:ascii="楷体_GB2312" w:hAnsi="楷体_GB2312" w:eastAsia="楷体_GB2312"/>
          <w:b/>
          <w:sz w:val="32"/>
        </w:rPr>
        <w:t>（一）机关运行经费及公用经费支出情况</w:t>
      </w:r>
    </w:p>
    <w:p w14:paraId="1D410ECA">
      <w:pPr>
        <w:spacing w:line="580" w:lineRule="exact"/>
        <w:ind w:firstLine="640"/>
        <w:jc w:val="both"/>
      </w:pPr>
      <w:r>
        <w:rPr>
          <w:rFonts w:ascii="仿宋_GB2312" w:hAnsi="仿宋_GB2312" w:eastAsia="仿宋_GB2312"/>
          <w:b w:val="0"/>
          <w:sz w:val="32"/>
        </w:rPr>
        <w:t>2024年度和田地区博物馆（事业单位）公用经费支出16.01万元，比上年减少9.76万元，下降37.87%，主要原因是：本年度聘用的一名保安人员辞职，劳务费较上年减少。</w:t>
      </w:r>
    </w:p>
    <w:p w14:paraId="1BE8C4E3">
      <w:pPr>
        <w:spacing w:line="640" w:lineRule="exact"/>
        <w:ind w:firstLine="640"/>
        <w:jc w:val="both"/>
        <w:outlineLvl w:val="3"/>
      </w:pPr>
      <w:r>
        <w:rPr>
          <w:rFonts w:ascii="楷体_GB2312" w:hAnsi="楷体_GB2312" w:eastAsia="楷体_GB2312"/>
          <w:b/>
          <w:sz w:val="32"/>
        </w:rPr>
        <w:t>（二）政府采购情况</w:t>
      </w:r>
    </w:p>
    <w:p w14:paraId="1D3A970B">
      <w:pPr>
        <w:spacing w:line="580" w:lineRule="exact"/>
        <w:ind w:firstLine="640"/>
        <w:jc w:val="both"/>
      </w:pPr>
      <w:r>
        <w:rPr>
          <w:rFonts w:ascii="仿宋_GB2312" w:hAnsi="仿宋_GB2312" w:eastAsia="仿宋_GB2312"/>
          <w:b w:val="0"/>
          <w:sz w:val="32"/>
        </w:rPr>
        <w:t>2024年度政府采购支出总额16.62万元，其中：政府采购货物支出10.83万元、政府采购工程支出4.97万元、政府采购服务支出0.82万元。</w:t>
      </w:r>
    </w:p>
    <w:p w14:paraId="5EAD54B1">
      <w:pPr>
        <w:spacing w:line="580" w:lineRule="exact"/>
        <w:ind w:firstLine="640"/>
        <w:jc w:val="both"/>
      </w:pPr>
      <w:r>
        <w:rPr>
          <w:rFonts w:ascii="仿宋_GB2312" w:hAnsi="仿宋_GB2312" w:eastAsia="仿宋_GB2312"/>
          <w:b w:val="0"/>
          <w:sz w:val="32"/>
        </w:rPr>
        <w:t>授予中小企业合同金额16.20万元，占政府采购支出总额的97.47%，其中：授予小微企业合同金额16.20万元，占政府采购支出总额的97.47%。</w:t>
      </w:r>
    </w:p>
    <w:p w14:paraId="027F1292">
      <w:pPr>
        <w:spacing w:line="640" w:lineRule="exact"/>
        <w:ind w:firstLine="640"/>
        <w:jc w:val="both"/>
        <w:outlineLvl w:val="3"/>
      </w:pPr>
      <w:r>
        <w:rPr>
          <w:rFonts w:ascii="楷体_GB2312" w:hAnsi="楷体_GB2312" w:eastAsia="楷体_GB2312"/>
          <w:b/>
          <w:sz w:val="32"/>
        </w:rPr>
        <w:t>（三）国有资产占用情况说明</w:t>
      </w:r>
    </w:p>
    <w:p w14:paraId="4006AFF5">
      <w:pPr>
        <w:spacing w:line="580" w:lineRule="exact"/>
        <w:ind w:firstLine="640"/>
        <w:jc w:val="both"/>
      </w:pPr>
      <w:r>
        <w:rPr>
          <w:rFonts w:ascii="仿宋_GB2312" w:hAnsi="仿宋_GB2312" w:eastAsia="仿宋_GB2312"/>
          <w:b w:val="0"/>
          <w:sz w:val="32"/>
        </w:rPr>
        <w:t>截至2024年12月31日，房屋23.00平方米，价值2.40万元。车辆1辆，价值21.38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5台（套）。</w:t>
      </w:r>
    </w:p>
    <w:p w14:paraId="270065D1">
      <w:pPr>
        <w:spacing w:line="640" w:lineRule="exact"/>
        <w:ind w:firstLine="640"/>
        <w:jc w:val="both"/>
        <w:outlineLvl w:val="2"/>
      </w:pPr>
      <w:r>
        <w:rPr>
          <w:rFonts w:ascii="黑体" w:hAnsi="黑体" w:eastAsia="黑体"/>
          <w:sz w:val="32"/>
        </w:rPr>
        <w:t>十一、预算绩效的情况说明</w:t>
      </w:r>
    </w:p>
    <w:p w14:paraId="3EB7C628">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934.77万元，实际执行总额871.37万元；预算绩效评价项目5个，全年预算数388.72万元，全年执行数371.64万元。预算绩效管理取得的成效：一是围绕部门职能、中长期规划、年度工作计划、重点工作任务及要求，确定年度部门整体支出的绩效目标；二是按照确定的部门职责履行情况、部门运行有效情况及部门职能设置具体的指标；三是通过绩效评价分析部门整体支出对单位基本运转及单位职能履职的保障作用，总结经验做法，找出资金使用和管理中的薄弱环节，进一步加强预算管理，提高财政资金使用效益，为部门科学决策、规范管理提供参考。发现的问题及原因：一是相关专业人员专业水平有待加强，文物保护和博物馆工作和文化润疆的任务还有一定差距；二是由于绩效管理队伍相对薄弱，对绩效管理人员培训不足，对相关原始资料整理、信息汇总不及时，导致完善管理制度不严格，绩效管理人员整体水平和执行力不高；三是部门沟通协调不足，监督责任不明确；四是专业干部对年度工作计划没有熟记于心，对自身工作履职不力，责任认识不到位，监督管理意识不强。下一步改进措施：一是做好对项目相关人员专业水平的培训，督促多学习，结合博物馆专业工作，通过多学、多问、多想来不断提高自己的实际工作能力；二是树立全员绩效管理意识，健全绩效管理制度，使执行在绩效管理制度上更加严格。三是加强对绩效管理人员队伍的培训，提升相关知识，提升对相关原始资料整理、信息汇总效率，提高绩效管理人员整体服务水平和执行力；四是加强各部门沟通协调能力，提高干部综合素质，在责任面前做到认识到位，加强对绩效管理人员的教育、培训和管理水平。具体附整体支出绩效自评表，项目支出绩效自评表和评价报告。</w:t>
      </w:r>
    </w:p>
    <w:p w14:paraId="07FD59F1">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5C7D656">
        <w:tblPrEx>
          <w:tblCellMar>
            <w:top w:w="0" w:type="dxa"/>
            <w:left w:w="108" w:type="dxa"/>
            <w:bottom w:w="0" w:type="dxa"/>
            <w:right w:w="108" w:type="dxa"/>
          </w:tblCellMar>
        </w:tblPrEx>
        <w:tc>
          <w:tcPr>
            <w:tcW w:w="8847" w:type="dxa"/>
            <w:gridSpan w:val="9"/>
            <w:vAlign w:val="center"/>
          </w:tcPr>
          <w:p w14:paraId="4B853743">
            <w:pPr>
              <w:jc w:val="center"/>
            </w:pPr>
            <w:r>
              <w:rPr>
                <w:rFonts w:ascii="宋体" w:hAnsi="宋体" w:eastAsia="宋体"/>
                <w:sz w:val="24"/>
              </w:rPr>
              <w:t>单位整体支出绩效自评表</w:t>
            </w:r>
          </w:p>
        </w:tc>
      </w:tr>
      <w:tr w14:paraId="76F53373">
        <w:tblPrEx>
          <w:tblCellMar>
            <w:top w:w="0" w:type="dxa"/>
            <w:left w:w="108" w:type="dxa"/>
            <w:bottom w:w="0" w:type="dxa"/>
            <w:right w:w="108" w:type="dxa"/>
          </w:tblCellMar>
        </w:tblPrEx>
        <w:tc>
          <w:tcPr>
            <w:tcW w:w="8847" w:type="dxa"/>
            <w:gridSpan w:val="9"/>
            <w:vAlign w:val="center"/>
          </w:tcPr>
          <w:p w14:paraId="47A0A77A">
            <w:pPr>
              <w:jc w:val="center"/>
            </w:pPr>
            <w:r>
              <w:rPr>
                <w:rFonts w:ascii="宋体" w:hAnsi="宋体" w:eastAsia="宋体"/>
                <w:sz w:val="24"/>
              </w:rPr>
              <w:t>（2024年度）</w:t>
            </w:r>
          </w:p>
        </w:tc>
      </w:tr>
      <w:tr w14:paraId="3E48335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C46109">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1C83B20">
            <w:pPr>
              <w:jc w:val="center"/>
            </w:pPr>
            <w:r>
              <w:rPr>
                <w:rFonts w:ascii="宋体" w:hAnsi="宋体" w:eastAsia="宋体"/>
                <w:sz w:val="16"/>
              </w:rPr>
              <w:t>和田地区博物馆</w:t>
            </w:r>
          </w:p>
        </w:tc>
      </w:tr>
      <w:tr w14:paraId="098548A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FDF466">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B57962">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CC0904">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AECF30">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36BD10">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23A852">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E8E65B">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16955B">
            <w:pPr>
              <w:jc w:val="center"/>
            </w:pPr>
            <w:r>
              <w:rPr>
                <w:rFonts w:ascii="宋体" w:hAnsi="宋体" w:eastAsia="宋体"/>
                <w:sz w:val="16"/>
              </w:rPr>
              <w:t>得分</w:t>
            </w:r>
          </w:p>
        </w:tc>
      </w:tr>
      <w:tr w14:paraId="0B84D91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81F0E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C995FD">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310D08">
            <w:pPr>
              <w:jc w:val="center"/>
            </w:pPr>
            <w:r>
              <w:rPr>
                <w:rFonts w:ascii="宋体" w:hAnsi="宋体" w:eastAsia="宋体"/>
                <w:sz w:val="16"/>
              </w:rPr>
              <w:t>709.42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64B623">
            <w:pPr>
              <w:jc w:val="center"/>
            </w:pPr>
            <w:r>
              <w:rPr>
                <w:rFonts w:ascii="宋体" w:hAnsi="宋体" w:eastAsia="宋体"/>
                <w:sz w:val="16"/>
              </w:rPr>
              <w:t>934.77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0BE140">
            <w:pPr>
              <w:jc w:val="center"/>
            </w:pPr>
            <w:r>
              <w:rPr>
                <w:rFonts w:ascii="宋体" w:hAnsi="宋体" w:eastAsia="宋体"/>
                <w:sz w:val="16"/>
              </w:rPr>
              <w:t>871.37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D1C4F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4F06CD">
            <w:pPr>
              <w:jc w:val="center"/>
            </w:pPr>
            <w:r>
              <w:rPr>
                <w:rFonts w:ascii="宋体" w:hAnsi="宋体" w:eastAsia="宋体"/>
                <w:sz w:val="16"/>
              </w:rPr>
              <w:t>93.22%</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E49C30">
            <w:pPr>
              <w:jc w:val="center"/>
            </w:pPr>
            <w:r>
              <w:rPr>
                <w:rFonts w:ascii="宋体" w:hAnsi="宋体" w:eastAsia="宋体"/>
                <w:sz w:val="16"/>
              </w:rPr>
              <w:t>9.32</w:t>
            </w:r>
          </w:p>
        </w:tc>
      </w:tr>
      <w:tr w14:paraId="312F0A5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12E9B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2E6E8C">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3763E4">
            <w:pPr>
              <w:jc w:val="center"/>
            </w:pPr>
            <w:r>
              <w:rPr>
                <w:rFonts w:ascii="宋体" w:hAnsi="宋体" w:eastAsia="宋体"/>
                <w:sz w:val="16"/>
              </w:rPr>
              <w:t>302.00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2CC620">
            <w:pPr>
              <w:jc w:val="center"/>
            </w:pPr>
            <w:r>
              <w:rPr>
                <w:rFonts w:ascii="宋体" w:hAnsi="宋体" w:eastAsia="宋体"/>
                <w:sz w:val="16"/>
              </w:rPr>
              <w:t>543.12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BE74F1">
            <w:pPr>
              <w:jc w:val="center"/>
            </w:pPr>
            <w:r>
              <w:rPr>
                <w:rFonts w:ascii="宋体" w:hAnsi="宋体" w:eastAsia="宋体"/>
                <w:sz w:val="16"/>
              </w:rPr>
              <w:t>479.72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A94B8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A695D2">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5EC672">
            <w:pPr>
              <w:jc w:val="center"/>
            </w:pPr>
            <w:r>
              <w:rPr>
                <w:rFonts w:ascii="宋体" w:hAnsi="宋体" w:eastAsia="宋体"/>
                <w:sz w:val="16"/>
              </w:rPr>
              <w:t>—</w:t>
            </w:r>
          </w:p>
        </w:tc>
      </w:tr>
      <w:tr w14:paraId="783E91B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00DE5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955702">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160B91">
            <w:pPr>
              <w:jc w:val="center"/>
            </w:pPr>
            <w:r>
              <w:rPr>
                <w:rFonts w:ascii="宋体" w:hAnsi="宋体" w:eastAsia="宋体"/>
                <w:sz w:val="16"/>
              </w:rPr>
              <w:t>407.42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9172D5">
            <w:pPr>
              <w:jc w:val="center"/>
            </w:pPr>
            <w:r>
              <w:rPr>
                <w:rFonts w:ascii="宋体" w:hAnsi="宋体" w:eastAsia="宋体"/>
                <w:sz w:val="16"/>
              </w:rPr>
              <w:t>391.65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9D44D9">
            <w:pPr>
              <w:jc w:val="center"/>
            </w:pPr>
            <w:r>
              <w:rPr>
                <w:rFonts w:ascii="宋体" w:hAnsi="宋体" w:eastAsia="宋体"/>
                <w:sz w:val="16"/>
              </w:rPr>
              <w:t>391.65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026A3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F10EDD">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21162">
            <w:pPr>
              <w:jc w:val="center"/>
            </w:pPr>
            <w:r>
              <w:rPr>
                <w:rFonts w:ascii="宋体" w:hAnsi="宋体" w:eastAsia="宋体"/>
                <w:sz w:val="16"/>
              </w:rPr>
              <w:t>—</w:t>
            </w:r>
          </w:p>
        </w:tc>
      </w:tr>
      <w:tr w14:paraId="29AB9BE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FDE28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45906D">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3DC57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4B53F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C2429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D1C6F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3D38E0">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829C20">
            <w:pPr>
              <w:jc w:val="center"/>
            </w:pPr>
            <w:r>
              <w:rPr>
                <w:rFonts w:ascii="宋体" w:hAnsi="宋体" w:eastAsia="宋体"/>
                <w:sz w:val="16"/>
              </w:rPr>
              <w:t>—</w:t>
            </w:r>
          </w:p>
        </w:tc>
      </w:tr>
      <w:tr w14:paraId="46E68D7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A650F5">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A13E260">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5AF4DF3">
            <w:pPr>
              <w:jc w:val="center"/>
            </w:pPr>
            <w:r>
              <w:rPr>
                <w:rFonts w:ascii="宋体" w:hAnsi="宋体" w:eastAsia="宋体"/>
                <w:sz w:val="16"/>
              </w:rPr>
              <w:t>实际完成目标</w:t>
            </w:r>
          </w:p>
        </w:tc>
      </w:tr>
      <w:tr w14:paraId="43C9017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3465F4"/>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E8407E7">
            <w:pPr>
              <w:jc w:val="both"/>
            </w:pPr>
            <w:r>
              <w:rPr>
                <w:rFonts w:ascii="宋体" w:hAnsi="宋体" w:eastAsia="宋体"/>
                <w:sz w:val="16"/>
              </w:rPr>
              <w:t>目标1：保障2024年度人员基本支出，用于保障在职及退休人员工资福利支出，对保障2024年度公用经费支出，保障我单位工会经费、福利费及其他商品和服务支出。</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2：举办乡镇村和学校“流动博物馆”展览，一年免费开展次数不少于50场次，以2024年新疆“四史”和“五星出东方-和田历史文物展”流动博物馆为主进行巡展和宣讲，全年明丰县，于田县29各村，共展出46场展览，年度完成扶贫村流动博物馆30个，参观人数6万人次，流动博物馆及文物展览时长10月。让广大群众接受新疆四史和马克思主义五观教育，增强爱国主义教育，提高流动博物馆展览下乡群众知晓率。</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目标3：博物馆免费开放天数300天，通过提高博物馆公共服务水平，充分发挥博物馆爱国教育基地，社会科学教育基地，青少年科技教育基地的作用，增强广大群</w:t>
            </w:r>
            <w:r>
              <w:rPr>
                <w:rFonts w:hint="eastAsia" w:ascii="宋体" w:hAnsi="宋体"/>
                <w:sz w:val="16"/>
                <w:lang w:eastAsia="zh-CN"/>
              </w:rPr>
              <w:t>众对</w:t>
            </w:r>
            <w:r>
              <w:rPr>
                <w:rFonts w:ascii="宋体" w:hAnsi="宋体" w:eastAsia="宋体"/>
                <w:sz w:val="16"/>
              </w:rPr>
              <w:t>《</w:t>
            </w:r>
            <w:r>
              <w:rPr>
                <w:rFonts w:hint="eastAsia" w:ascii="宋体" w:hAnsi="宋体"/>
                <w:sz w:val="16"/>
                <w:lang w:eastAsia="zh-CN"/>
              </w:rPr>
              <w:t>“五个认同”</w:t>
            </w:r>
            <w:r>
              <w:rPr>
                <w:rFonts w:ascii="宋体" w:hAnsi="宋体" w:eastAsia="宋体"/>
                <w:sz w:val="16"/>
              </w:rPr>
              <w:t>》的认识。</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4：组织文博行业专业职能培训不少于12次，积极开展招聘，培训讲解员工作，建立交流合作机制，培养及培训文物修复，文物保护专业人员，达到文博行业专业职能培训时限至少4次/季度，提高人员业务素质。</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目标5：提高博物馆设备设施利用率，有效保障博物馆运行及文物安全。</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B394648">
            <w:pPr>
              <w:jc w:val="both"/>
            </w:pPr>
            <w:r>
              <w:rPr>
                <w:rFonts w:hint="eastAsia" w:ascii="宋体" w:hAnsi="宋体"/>
                <w:sz w:val="16"/>
                <w:lang w:eastAsia="zh-CN"/>
              </w:rPr>
              <w:t>截至2024</w:t>
            </w:r>
            <w:r>
              <w:rPr>
                <w:rFonts w:ascii="宋体" w:hAnsi="宋体" w:eastAsia="宋体"/>
                <w:sz w:val="16"/>
              </w:rPr>
              <w:t>年12月31日，本单位实际完成保障2024年度人员基本支出，用于保障在职及退休人员工资福利支出，保障2024年度公用经费支出，保障我单位工会经费、福利费及其他商品和服务支出；举办乡镇村和学校“流动博物馆”展览，一年免费开展次数56场次，以2024年新疆“四史”和“五星出东方-和田历史文物展”流动博物馆为主进行巡展和宣讲，全年明丰县，于田县29</w:t>
            </w:r>
            <w:r>
              <w:rPr>
                <w:rFonts w:hint="eastAsia" w:ascii="宋体" w:hAnsi="宋体"/>
                <w:sz w:val="16"/>
                <w:lang w:eastAsia="zh-CN"/>
              </w:rPr>
              <w:t>个</w:t>
            </w:r>
            <w:r>
              <w:rPr>
                <w:rFonts w:ascii="宋体" w:hAnsi="宋体" w:eastAsia="宋体"/>
                <w:sz w:val="16"/>
              </w:rPr>
              <w:t>村，共展出78场展览，年度完成扶贫村流动博物馆30个，参观人数6万人次，流动博物馆及文物展览时长10月。让广大群众接受新疆四史和马克思主义五观教育，增强爱国主义教育，提高流动博物馆展览下乡群众知晓率；博物馆免费开放天数300天，通过提高博物馆公共服务水平，充分发挥博物馆爱国教育基地，社会科学教育基地，青少年科技教育基地的作用，增强广大群</w:t>
            </w:r>
            <w:r>
              <w:rPr>
                <w:rFonts w:hint="eastAsia" w:ascii="宋体" w:hAnsi="宋体"/>
                <w:sz w:val="16"/>
                <w:lang w:eastAsia="zh-CN"/>
              </w:rPr>
              <w:t>众对</w:t>
            </w:r>
            <w:r>
              <w:rPr>
                <w:rFonts w:ascii="宋体" w:hAnsi="宋体" w:eastAsia="宋体"/>
                <w:sz w:val="16"/>
              </w:rPr>
              <w:t>《</w:t>
            </w:r>
            <w:r>
              <w:rPr>
                <w:rFonts w:hint="eastAsia" w:ascii="宋体" w:hAnsi="宋体"/>
                <w:sz w:val="16"/>
                <w:lang w:eastAsia="zh-CN"/>
              </w:rPr>
              <w:t>“五个认同”</w:t>
            </w:r>
            <w:r>
              <w:rPr>
                <w:rFonts w:ascii="宋体" w:hAnsi="宋体" w:eastAsia="宋体"/>
                <w:sz w:val="16"/>
              </w:rPr>
              <w:t>》的认识；组织文博行业专业职能培训12次，积极开展招聘，培训讲解员工作，建立交流合作机制，培养及培训文物修复，文物保护专业人员，达到文博行业专业职能培训时限4次/季度，提高人员业务素质。实际形成支出871.37万元，达到了提高博物馆设备设施利用率，有效保障博物馆运行及文物安全的效益。</w:t>
            </w:r>
          </w:p>
        </w:tc>
      </w:tr>
      <w:tr w14:paraId="5B5230E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B57F7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D7E7D8">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E2947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D4753B">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850130">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699AC1">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E306CD">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F68067">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F09A3D">
            <w:pPr>
              <w:jc w:val="center"/>
            </w:pPr>
            <w:r>
              <w:rPr>
                <w:rFonts w:ascii="宋体" w:hAnsi="宋体" w:eastAsia="宋体"/>
                <w:sz w:val="16"/>
              </w:rPr>
              <w:t>得分</w:t>
            </w:r>
          </w:p>
        </w:tc>
      </w:tr>
      <w:tr w14:paraId="79A99DC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3579D4">
            <w:pPr>
              <w:jc w:val="center"/>
            </w:pPr>
            <w:r>
              <w:rPr>
                <w:rFonts w:ascii="宋体" w:hAnsi="宋体" w:eastAsia="宋体"/>
                <w:sz w:val="16"/>
              </w:rPr>
              <w:t>管理效率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147F68">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37B794">
            <w:pPr>
              <w:jc w:val="center"/>
            </w:pPr>
            <w:r>
              <w:rPr>
                <w:rFonts w:ascii="宋体" w:hAnsi="宋体" w:eastAsia="宋体"/>
                <w:sz w:val="16"/>
              </w:rPr>
              <w:t>资金使用合规性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FD452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AB65FE">
            <w:pPr>
              <w:jc w:val="center"/>
            </w:pPr>
            <w:r>
              <w:rPr>
                <w:rFonts w:ascii="宋体" w:hAnsi="宋体" w:eastAsia="宋体"/>
                <w:sz w:val="16"/>
              </w:rPr>
              <w:t>地区博物馆2024年工作计划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0C921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C5611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222E41">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6F01E8">
            <w:pPr>
              <w:jc w:val="center"/>
            </w:pPr>
            <w:r>
              <w:rPr>
                <w:rFonts w:ascii="宋体" w:hAnsi="宋体" w:eastAsia="宋体"/>
                <w:sz w:val="16"/>
              </w:rPr>
              <w:t>10</w:t>
            </w:r>
          </w:p>
        </w:tc>
      </w:tr>
      <w:tr w14:paraId="6093553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CC0DB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E386C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596FC0">
            <w:pPr>
              <w:jc w:val="center"/>
            </w:pPr>
            <w:r>
              <w:rPr>
                <w:rFonts w:ascii="宋体" w:hAnsi="宋体" w:eastAsia="宋体"/>
                <w:sz w:val="16"/>
              </w:rPr>
              <w:t>预决算信息公开性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BB2EE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0B8126">
            <w:pPr>
              <w:jc w:val="center"/>
            </w:pPr>
            <w:r>
              <w:rPr>
                <w:rFonts w:ascii="宋体" w:hAnsi="宋体" w:eastAsia="宋体"/>
                <w:sz w:val="16"/>
              </w:rPr>
              <w:t>地区博物馆2024年工作计划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F32C7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448E9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E0F712">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1D370A">
            <w:pPr>
              <w:jc w:val="center"/>
            </w:pPr>
            <w:r>
              <w:rPr>
                <w:rFonts w:ascii="宋体" w:hAnsi="宋体" w:eastAsia="宋体"/>
                <w:sz w:val="16"/>
              </w:rPr>
              <w:t>10</w:t>
            </w:r>
          </w:p>
        </w:tc>
      </w:tr>
      <w:tr w14:paraId="7AD3808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452779">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9762F1">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211C85">
            <w:pPr>
              <w:jc w:val="center"/>
            </w:pPr>
            <w:r>
              <w:rPr>
                <w:rFonts w:ascii="宋体" w:hAnsi="宋体" w:eastAsia="宋体"/>
                <w:sz w:val="16"/>
              </w:rPr>
              <w:t>开展流动博物馆展览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8D7C11">
            <w:pPr>
              <w:jc w:val="center"/>
            </w:pPr>
            <w:r>
              <w:rPr>
                <w:rFonts w:hint="eastAsia" w:ascii="宋体" w:hAnsi="宋体"/>
                <w:sz w:val="16"/>
                <w:lang w:eastAsia="zh-CN"/>
              </w:rPr>
              <w:t>≥</w:t>
            </w:r>
            <w:r>
              <w:rPr>
                <w:rFonts w:ascii="宋体" w:hAnsi="宋体" w:eastAsia="宋体"/>
                <w:sz w:val="16"/>
              </w:rPr>
              <w:t>50场次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65A3D9">
            <w:pPr>
              <w:jc w:val="center"/>
            </w:pPr>
            <w:r>
              <w:rPr>
                <w:rFonts w:ascii="宋体" w:hAnsi="宋体" w:eastAsia="宋体"/>
                <w:sz w:val="16"/>
              </w:rPr>
              <w:t>地区博物馆2024年工作计划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24A11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32C5EB">
            <w:pPr>
              <w:jc w:val="center"/>
            </w:pPr>
            <w:r>
              <w:rPr>
                <w:rFonts w:ascii="宋体" w:hAnsi="宋体" w:eastAsia="宋体"/>
                <w:sz w:val="16"/>
              </w:rPr>
              <w:t>78场次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B18A0D">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7D9635">
            <w:pPr>
              <w:jc w:val="center"/>
            </w:pPr>
            <w:r>
              <w:rPr>
                <w:rFonts w:ascii="宋体" w:hAnsi="宋体" w:eastAsia="宋体"/>
                <w:sz w:val="16"/>
              </w:rPr>
              <w:t>10</w:t>
            </w:r>
          </w:p>
        </w:tc>
      </w:tr>
      <w:tr w14:paraId="0A66272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70447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4704E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A6D254">
            <w:pPr>
              <w:jc w:val="center"/>
            </w:pPr>
            <w:r>
              <w:rPr>
                <w:rFonts w:ascii="宋体" w:hAnsi="宋体" w:eastAsia="宋体"/>
                <w:sz w:val="16"/>
              </w:rPr>
              <w:t>组织文博行业专业职能培训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A7F53D">
            <w:pPr>
              <w:jc w:val="center"/>
            </w:pPr>
            <w:r>
              <w:rPr>
                <w:rFonts w:hint="eastAsia" w:ascii="宋体" w:hAnsi="宋体"/>
                <w:sz w:val="16"/>
                <w:lang w:eastAsia="zh-CN"/>
              </w:rPr>
              <w:t>≥</w:t>
            </w:r>
            <w:r>
              <w:rPr>
                <w:rFonts w:ascii="宋体" w:hAnsi="宋体" w:eastAsia="宋体"/>
                <w:sz w:val="16"/>
              </w:rPr>
              <w:t>12场次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F5428D">
            <w:pPr>
              <w:jc w:val="center"/>
            </w:pPr>
            <w:r>
              <w:rPr>
                <w:rFonts w:ascii="宋体" w:hAnsi="宋体" w:eastAsia="宋体"/>
                <w:sz w:val="16"/>
              </w:rPr>
              <w:t>地区博物馆2024年工作计划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FDB971">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6AD336">
            <w:pPr>
              <w:jc w:val="center"/>
            </w:pPr>
            <w:r>
              <w:rPr>
                <w:rFonts w:ascii="宋体" w:hAnsi="宋体" w:eastAsia="宋体"/>
                <w:sz w:val="16"/>
              </w:rPr>
              <w:t>12场次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867F2C">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0EB019">
            <w:pPr>
              <w:jc w:val="center"/>
            </w:pPr>
            <w:r>
              <w:rPr>
                <w:rFonts w:ascii="宋体" w:hAnsi="宋体" w:eastAsia="宋体"/>
                <w:sz w:val="16"/>
              </w:rPr>
              <w:t>15</w:t>
            </w:r>
          </w:p>
        </w:tc>
      </w:tr>
      <w:tr w14:paraId="3A76F4A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2BEA6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1C94D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A87953">
            <w:pPr>
              <w:jc w:val="center"/>
            </w:pPr>
            <w:r>
              <w:rPr>
                <w:rFonts w:ascii="宋体" w:hAnsi="宋体" w:eastAsia="宋体"/>
                <w:sz w:val="16"/>
              </w:rPr>
              <w:t>博物馆免费开放天数（天）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8FE319">
            <w:pPr>
              <w:jc w:val="center"/>
            </w:pPr>
            <w:r>
              <w:rPr>
                <w:rFonts w:hint="eastAsia" w:ascii="宋体" w:hAnsi="宋体"/>
                <w:sz w:val="16"/>
                <w:lang w:eastAsia="zh-CN"/>
              </w:rPr>
              <w:t>≥</w:t>
            </w:r>
            <w:r>
              <w:rPr>
                <w:rFonts w:ascii="宋体" w:hAnsi="宋体" w:eastAsia="宋体"/>
                <w:sz w:val="16"/>
              </w:rPr>
              <w:t>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B028EA">
            <w:pPr>
              <w:jc w:val="center"/>
            </w:pPr>
            <w:r>
              <w:rPr>
                <w:rFonts w:ascii="宋体" w:hAnsi="宋体" w:eastAsia="宋体"/>
                <w:sz w:val="16"/>
              </w:rPr>
              <w:t>地区博物馆2024年工作计划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1C0B65">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B238A0">
            <w:pPr>
              <w:jc w:val="center"/>
            </w:pPr>
            <w:r>
              <w:rPr>
                <w:rFonts w:ascii="宋体" w:hAnsi="宋体" w:eastAsia="宋体"/>
                <w:sz w:val="16"/>
              </w:rPr>
              <w:t>300天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7A227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B40636">
            <w:pPr>
              <w:jc w:val="center"/>
            </w:pPr>
            <w:r>
              <w:rPr>
                <w:rFonts w:ascii="宋体" w:hAnsi="宋体" w:eastAsia="宋体"/>
                <w:sz w:val="16"/>
              </w:rPr>
              <w:t>15</w:t>
            </w:r>
          </w:p>
        </w:tc>
      </w:tr>
      <w:tr w14:paraId="37AB5D3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AA5DA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BBC0A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251E35">
            <w:pPr>
              <w:jc w:val="center"/>
            </w:pPr>
            <w:r>
              <w:rPr>
                <w:rFonts w:ascii="宋体" w:hAnsi="宋体" w:eastAsia="宋体"/>
                <w:sz w:val="16"/>
              </w:rPr>
              <w:t>组织文博行业专业职能培训（场次）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626221">
            <w:pPr>
              <w:jc w:val="center"/>
            </w:pPr>
            <w:r>
              <w:rPr>
                <w:rFonts w:hint="eastAsia" w:ascii="宋体" w:hAnsi="宋体"/>
                <w:sz w:val="16"/>
                <w:lang w:eastAsia="zh-CN"/>
              </w:rPr>
              <w:t>≥</w:t>
            </w:r>
            <w:r>
              <w:rPr>
                <w:rFonts w:ascii="宋体" w:hAnsi="宋体" w:eastAsia="宋体"/>
                <w:sz w:val="16"/>
              </w:rPr>
              <w:t>12场次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429BBB">
            <w:pPr>
              <w:jc w:val="center"/>
            </w:pPr>
            <w:r>
              <w:rPr>
                <w:rFonts w:ascii="宋体" w:hAnsi="宋体" w:eastAsia="宋体"/>
                <w:sz w:val="16"/>
              </w:rPr>
              <w:t>地区博物馆2024年工作计划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574B4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FB6D4D">
            <w:pPr>
              <w:jc w:val="center"/>
            </w:pPr>
            <w:r>
              <w:rPr>
                <w:rFonts w:ascii="宋体" w:hAnsi="宋体" w:eastAsia="宋体"/>
                <w:sz w:val="16"/>
              </w:rPr>
              <w:t>12场次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96D184">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C07FB3">
            <w:pPr>
              <w:jc w:val="center"/>
            </w:pPr>
            <w:r>
              <w:rPr>
                <w:rFonts w:ascii="宋体" w:hAnsi="宋体" w:eastAsia="宋体"/>
                <w:sz w:val="16"/>
              </w:rPr>
              <w:t>5</w:t>
            </w:r>
          </w:p>
        </w:tc>
      </w:tr>
      <w:tr w14:paraId="6A0E6BD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A6AB9A">
            <w:pPr>
              <w:jc w:val="center"/>
            </w:pPr>
            <w:r>
              <w:rPr>
                <w:rFonts w:ascii="宋体" w:hAnsi="宋体" w:eastAsia="宋体"/>
                <w:sz w:val="16"/>
              </w:rPr>
              <w:t>社会效益</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B7F71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352BF0">
            <w:pPr>
              <w:jc w:val="center"/>
            </w:pPr>
            <w:r>
              <w:rPr>
                <w:rFonts w:ascii="宋体" w:hAnsi="宋体" w:eastAsia="宋体"/>
                <w:sz w:val="16"/>
              </w:rPr>
              <w:t>博物馆公共服务水平提升情况</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9E569B">
            <w:pPr>
              <w:jc w:val="center"/>
            </w:pPr>
            <w:r>
              <w:rPr>
                <w:rFonts w:hint="eastAsia" w:ascii="宋体" w:hAnsi="宋体"/>
                <w:sz w:val="16"/>
                <w:lang w:eastAsia="zh-CN"/>
              </w:rPr>
              <w:t>≥</w:t>
            </w:r>
            <w:r>
              <w:rPr>
                <w:rFonts w:ascii="宋体" w:hAnsi="宋体" w:eastAsia="宋体"/>
                <w:sz w:val="16"/>
              </w:rPr>
              <w:t>90%</w:t>
            </w:r>
            <w:bookmarkStart w:id="0" w:name="_GoBack"/>
            <w:bookmarkEnd w:id="0"/>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74FC67">
            <w:pPr>
              <w:jc w:val="center"/>
            </w:pPr>
            <w:r>
              <w:rPr>
                <w:rFonts w:ascii="宋体" w:hAnsi="宋体" w:eastAsia="宋体"/>
                <w:sz w:val="16"/>
              </w:rPr>
              <w:t>地区博物馆2024年工作计划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9FC28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1D41F6">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E6F789">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C707C8">
            <w:pPr>
              <w:jc w:val="center"/>
            </w:pPr>
            <w:r>
              <w:rPr>
                <w:rFonts w:ascii="宋体" w:hAnsi="宋体" w:eastAsia="宋体"/>
                <w:sz w:val="16"/>
              </w:rPr>
              <w:t>5</w:t>
            </w:r>
          </w:p>
        </w:tc>
      </w:tr>
      <w:tr w14:paraId="4219509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08EF64">
            <w:pPr>
              <w:jc w:val="center"/>
            </w:pPr>
            <w:r>
              <w:rPr>
                <w:rFonts w:ascii="宋体" w:hAnsi="宋体" w:eastAsia="宋体"/>
                <w:sz w:val="16"/>
              </w:rPr>
              <w:t>服务对象满意度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4817A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099520">
            <w:pPr>
              <w:jc w:val="center"/>
            </w:pPr>
            <w:r>
              <w:rPr>
                <w:rFonts w:ascii="宋体" w:hAnsi="宋体" w:eastAsia="宋体"/>
                <w:sz w:val="16"/>
              </w:rPr>
              <w:t>参观人员满意度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B39FEE">
            <w:pPr>
              <w:jc w:val="center"/>
            </w:pPr>
            <w:r>
              <w:rPr>
                <w:rFonts w:hint="eastAsia" w:ascii="宋体" w:hAnsi="宋体"/>
                <w:sz w:val="16"/>
                <w:lang w:eastAsia="zh-CN"/>
              </w:rPr>
              <w:t>≥</w:t>
            </w: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424326">
            <w:pPr>
              <w:jc w:val="center"/>
            </w:pPr>
            <w:r>
              <w:rPr>
                <w:rFonts w:ascii="宋体" w:hAnsi="宋体" w:eastAsia="宋体"/>
                <w:sz w:val="16"/>
              </w:rPr>
              <w:t>地区博物馆2024年工作计划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95182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2DDAF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FEE616">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0A4CB7">
            <w:pPr>
              <w:jc w:val="center"/>
            </w:pPr>
            <w:r>
              <w:rPr>
                <w:rFonts w:ascii="宋体" w:hAnsi="宋体" w:eastAsia="宋体"/>
                <w:sz w:val="16"/>
              </w:rPr>
              <w:t>20</w:t>
            </w:r>
          </w:p>
        </w:tc>
      </w:tr>
    </w:tbl>
    <w:p w14:paraId="005FC36B">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B11DC1D">
        <w:tblPrEx>
          <w:tblCellMar>
            <w:top w:w="0" w:type="dxa"/>
            <w:left w:w="108" w:type="dxa"/>
            <w:bottom w:w="0" w:type="dxa"/>
            <w:right w:w="108" w:type="dxa"/>
          </w:tblCellMar>
        </w:tblPrEx>
        <w:tc>
          <w:tcPr>
            <w:tcW w:w="8847" w:type="dxa"/>
            <w:gridSpan w:val="9"/>
            <w:vAlign w:val="center"/>
          </w:tcPr>
          <w:p w14:paraId="5D2C56FB">
            <w:pPr>
              <w:jc w:val="center"/>
            </w:pPr>
            <w:r>
              <w:rPr>
                <w:rFonts w:ascii="宋体" w:hAnsi="宋体" w:eastAsia="宋体"/>
                <w:sz w:val="24"/>
              </w:rPr>
              <w:t>项目支出绩效自评表</w:t>
            </w:r>
          </w:p>
        </w:tc>
      </w:tr>
      <w:tr w14:paraId="6089F678">
        <w:tblPrEx>
          <w:tblCellMar>
            <w:top w:w="0" w:type="dxa"/>
            <w:left w:w="108" w:type="dxa"/>
            <w:bottom w:w="0" w:type="dxa"/>
            <w:right w:w="108" w:type="dxa"/>
          </w:tblCellMar>
        </w:tblPrEx>
        <w:tc>
          <w:tcPr>
            <w:tcW w:w="8847" w:type="dxa"/>
            <w:gridSpan w:val="9"/>
            <w:vAlign w:val="center"/>
          </w:tcPr>
          <w:p w14:paraId="7FB9A716">
            <w:pPr>
              <w:jc w:val="center"/>
            </w:pPr>
            <w:r>
              <w:rPr>
                <w:rFonts w:ascii="宋体" w:hAnsi="宋体" w:eastAsia="宋体"/>
                <w:sz w:val="24"/>
              </w:rPr>
              <w:t>(2024年度)</w:t>
            </w:r>
          </w:p>
        </w:tc>
      </w:tr>
      <w:tr w14:paraId="5795874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F294DA">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1FE4313">
            <w:pPr>
              <w:jc w:val="center"/>
            </w:pPr>
            <w:r>
              <w:rPr>
                <w:rFonts w:ascii="宋体" w:hAnsi="宋体" w:eastAsia="宋体"/>
                <w:sz w:val="16"/>
              </w:rPr>
              <w:t>2024和田地区博物馆免费开放专项资金项目</w:t>
            </w:r>
          </w:p>
        </w:tc>
      </w:tr>
      <w:tr w14:paraId="7519C99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629987">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4AFC0C6">
            <w:pPr>
              <w:jc w:val="center"/>
            </w:pPr>
            <w:r>
              <w:rPr>
                <w:rFonts w:ascii="宋体" w:hAnsi="宋体" w:eastAsia="宋体"/>
                <w:sz w:val="16"/>
              </w:rPr>
              <w:t>和田地区博物馆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7AA90E">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F64641A">
            <w:pPr>
              <w:jc w:val="center"/>
            </w:pPr>
            <w:r>
              <w:rPr>
                <w:rFonts w:ascii="宋体" w:hAnsi="宋体" w:eastAsia="宋体"/>
                <w:sz w:val="16"/>
              </w:rPr>
              <w:t>和田地区博物馆</w:t>
            </w:r>
          </w:p>
        </w:tc>
      </w:tr>
      <w:tr w14:paraId="76AD93E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B65B15">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A4ECA9">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2435DF">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99D484">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288FFF">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CEF1A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7047A8">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4F3B8C">
            <w:pPr>
              <w:jc w:val="center"/>
            </w:pPr>
            <w:r>
              <w:rPr>
                <w:rFonts w:ascii="宋体" w:hAnsi="宋体" w:eastAsia="宋体"/>
                <w:sz w:val="16"/>
              </w:rPr>
              <w:t>得分</w:t>
            </w:r>
          </w:p>
        </w:tc>
      </w:tr>
      <w:tr w14:paraId="7ED3FCB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D7F14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7BC3D">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198E22">
            <w:pPr>
              <w:jc w:val="center"/>
            </w:pPr>
            <w:r>
              <w:rPr>
                <w:rFonts w:ascii="宋体" w:hAnsi="宋体" w:eastAsia="宋体"/>
                <w:sz w:val="16"/>
              </w:rPr>
              <w:t>275.40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D58843">
            <w:pPr>
              <w:jc w:val="center"/>
            </w:pPr>
            <w:r>
              <w:rPr>
                <w:rFonts w:ascii="宋体" w:hAnsi="宋体" w:eastAsia="宋体"/>
                <w:sz w:val="16"/>
              </w:rPr>
              <w:t>275.40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258465">
            <w:pPr>
              <w:jc w:val="center"/>
            </w:pPr>
            <w:r>
              <w:rPr>
                <w:rFonts w:ascii="宋体" w:hAnsi="宋体" w:eastAsia="宋体"/>
                <w:sz w:val="16"/>
              </w:rPr>
              <w:t>258.56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2BEC2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A23B77">
            <w:pPr>
              <w:jc w:val="center"/>
            </w:pPr>
            <w:r>
              <w:rPr>
                <w:rFonts w:ascii="宋体" w:hAnsi="宋体" w:eastAsia="宋体"/>
                <w:sz w:val="16"/>
              </w:rPr>
              <w:t xml:space="preserve">93.89%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88D9B0">
            <w:pPr>
              <w:jc w:val="center"/>
            </w:pPr>
            <w:r>
              <w:rPr>
                <w:rFonts w:ascii="宋体" w:hAnsi="宋体" w:eastAsia="宋体"/>
                <w:sz w:val="16"/>
              </w:rPr>
              <w:t>8.47分</w:t>
            </w:r>
          </w:p>
        </w:tc>
      </w:tr>
      <w:tr w14:paraId="4D0210A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E5BAA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8293E3">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475EDB">
            <w:pPr>
              <w:jc w:val="center"/>
            </w:pPr>
            <w:r>
              <w:rPr>
                <w:rFonts w:ascii="宋体" w:hAnsi="宋体" w:eastAsia="宋体"/>
                <w:sz w:val="16"/>
              </w:rPr>
              <w:t>250.00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AC984C">
            <w:pPr>
              <w:jc w:val="center"/>
            </w:pPr>
            <w:r>
              <w:rPr>
                <w:rFonts w:ascii="宋体" w:hAnsi="宋体" w:eastAsia="宋体"/>
                <w:sz w:val="16"/>
              </w:rPr>
              <w:t>250.00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836FC3">
            <w:pPr>
              <w:jc w:val="center"/>
            </w:pPr>
            <w:r>
              <w:rPr>
                <w:rFonts w:ascii="宋体" w:hAnsi="宋体" w:eastAsia="宋体"/>
                <w:sz w:val="16"/>
              </w:rPr>
              <w:t>233.16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97CCC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95088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8A8014">
            <w:pPr>
              <w:jc w:val="center"/>
            </w:pPr>
            <w:r>
              <w:rPr>
                <w:rFonts w:ascii="宋体" w:hAnsi="宋体" w:eastAsia="宋体"/>
                <w:sz w:val="16"/>
              </w:rPr>
              <w:t>—</w:t>
            </w:r>
          </w:p>
        </w:tc>
      </w:tr>
      <w:tr w14:paraId="0625C7E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54401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25601">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C5EA25">
            <w:pPr>
              <w:jc w:val="center"/>
            </w:pPr>
            <w:r>
              <w:rPr>
                <w:rFonts w:ascii="宋体" w:hAnsi="宋体" w:eastAsia="宋体"/>
                <w:sz w:val="16"/>
              </w:rPr>
              <w:t>25.40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469F6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D6A658">
            <w:pPr>
              <w:jc w:val="center"/>
            </w:pPr>
            <w:r>
              <w:rPr>
                <w:rFonts w:ascii="宋体" w:hAnsi="宋体" w:eastAsia="宋体"/>
                <w:sz w:val="16"/>
              </w:rPr>
              <w:t>25.40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D1B8B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93676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6CC56E">
            <w:pPr>
              <w:jc w:val="center"/>
            </w:pPr>
            <w:r>
              <w:rPr>
                <w:rFonts w:ascii="宋体" w:hAnsi="宋体" w:eastAsia="宋体"/>
                <w:sz w:val="16"/>
              </w:rPr>
              <w:t>—</w:t>
            </w:r>
          </w:p>
        </w:tc>
      </w:tr>
      <w:tr w14:paraId="14DDA81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823C1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EDECCF">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4DAE6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1C7F9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68718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57746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48EF7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A4ADBB">
            <w:pPr>
              <w:jc w:val="center"/>
            </w:pPr>
            <w:r>
              <w:rPr>
                <w:rFonts w:ascii="宋体" w:hAnsi="宋体" w:eastAsia="宋体"/>
                <w:sz w:val="16"/>
              </w:rPr>
              <w:t>—</w:t>
            </w:r>
          </w:p>
        </w:tc>
      </w:tr>
      <w:tr w14:paraId="694522A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B1E5AE">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E16D434">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482F76E">
            <w:pPr>
              <w:jc w:val="center"/>
            </w:pPr>
            <w:r>
              <w:rPr>
                <w:rFonts w:ascii="宋体" w:hAnsi="宋体" w:eastAsia="宋体"/>
                <w:sz w:val="16"/>
              </w:rPr>
              <w:t>实际完成情况</w:t>
            </w:r>
          </w:p>
        </w:tc>
      </w:tr>
      <w:tr w14:paraId="14ED2DE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E5FA1B"/>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25D5E2C">
            <w:pPr>
              <w:jc w:val="both"/>
            </w:pPr>
            <w:r>
              <w:rPr>
                <w:rFonts w:ascii="宋体" w:hAnsi="宋体" w:eastAsia="宋体"/>
                <w:sz w:val="16"/>
              </w:rPr>
              <w:t>对13000多平方米的博物馆进行有效维护，通过进一步完善博物馆免费开放基础设施和综合服务水平、补齐专业技术人员数量短板，确保开馆今年免费开放天数达到300天以上，每年接纳10万人次以上的观众，对馆藏9500多件文物进行保护研究，举办临时展览一场次，展期两个月，展厅面积达380平方米，使博物馆成为展示和田历史、经济、文化、科教和风土人情的重要文化窗口，社会发展的象征和文化建设的重要标志，同时也是市民和游客求知、游玩和休憩的重要场所和一处重要的旅游景点。</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17A2C5D">
            <w:pPr>
              <w:jc w:val="both"/>
            </w:pPr>
            <w:r>
              <w:rPr>
                <w:rFonts w:ascii="宋体" w:hAnsi="宋体" w:eastAsia="宋体"/>
                <w:sz w:val="16"/>
              </w:rPr>
              <w:t>对13000多平方米的博物馆进行有效维护，通过进一步完善博物馆免费开放基础设施和综合服务水平、补齐专业技术人员数量短板，确保开馆今年免费开放天数达到300天以上，每年接纳10万人次以上的观众，对馆藏9500多件文物进行保护研究，举办临时展览一场次，展期两个月，展厅面积达380平方米，使博物馆成为展示和田历史、经济、文化、科教和风土人情的重要文化窗口，社会发展的象征和文化建设的重要标志，同时也是市民和游客求知、游玩和休憩的重要场所和一处重要的旅游景点。</w:t>
            </w:r>
          </w:p>
        </w:tc>
      </w:tr>
      <w:tr w14:paraId="6AE69A9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AD196C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AC084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FC1865">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A26AC4">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13DC22">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9604EB">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9B2D8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CF388A">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3B894A">
            <w:pPr>
              <w:jc w:val="center"/>
            </w:pPr>
            <w:r>
              <w:rPr>
                <w:rFonts w:ascii="宋体" w:hAnsi="宋体" w:eastAsia="宋体"/>
                <w:sz w:val="16"/>
              </w:rPr>
              <w:t>偏差原因分析及改进措施</w:t>
            </w:r>
          </w:p>
        </w:tc>
      </w:tr>
      <w:tr w14:paraId="0FCEB93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FCBEDE">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18E180">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4AC776">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385FE5">
            <w:pPr>
              <w:jc w:val="center"/>
            </w:pPr>
            <w:r>
              <w:rPr>
                <w:rFonts w:ascii="宋体" w:hAnsi="宋体" w:eastAsia="宋体"/>
                <w:sz w:val="16"/>
              </w:rPr>
              <w:t>博物馆免费开放天数（天）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2F53D6">
            <w:pPr>
              <w:jc w:val="center"/>
            </w:pPr>
            <w:r>
              <w:rPr>
                <w:rFonts w:ascii="宋体" w:hAnsi="宋体" w:eastAsia="宋体"/>
                <w:sz w:val="16"/>
              </w:rPr>
              <w:t>≥300天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FF83D0">
            <w:pPr>
              <w:jc w:val="center"/>
            </w:pPr>
            <w:r>
              <w:rPr>
                <w:rFonts w:ascii="宋体" w:hAnsi="宋体" w:eastAsia="宋体"/>
                <w:sz w:val="16"/>
              </w:rPr>
              <w:t>=300天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26D8C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7DF2D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7B825D">
            <w:pPr>
              <w:jc w:val="center"/>
            </w:pPr>
          </w:p>
        </w:tc>
      </w:tr>
      <w:tr w14:paraId="44EF361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2E1B3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61592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A0FAC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3A5312">
            <w:pPr>
              <w:jc w:val="center"/>
            </w:pPr>
            <w:r>
              <w:rPr>
                <w:rFonts w:ascii="宋体" w:hAnsi="宋体" w:eastAsia="宋体"/>
                <w:sz w:val="16"/>
              </w:rPr>
              <w:t>博物馆维护面积（平方米）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40D7B0">
            <w:pPr>
              <w:jc w:val="center"/>
            </w:pPr>
            <w:r>
              <w:rPr>
                <w:rFonts w:ascii="宋体" w:hAnsi="宋体" w:eastAsia="宋体"/>
                <w:sz w:val="16"/>
              </w:rPr>
              <w:t>≥13000平方米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9AC798">
            <w:pPr>
              <w:jc w:val="center"/>
            </w:pPr>
            <w:r>
              <w:rPr>
                <w:rFonts w:ascii="宋体" w:hAnsi="宋体" w:eastAsia="宋体"/>
                <w:sz w:val="16"/>
              </w:rPr>
              <w:t>=13000平方米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DB8F0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B30A9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9A8710">
            <w:pPr>
              <w:jc w:val="center"/>
            </w:pPr>
          </w:p>
        </w:tc>
      </w:tr>
      <w:tr w14:paraId="375FE94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A5BCC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15799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47D38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00678E">
            <w:pPr>
              <w:jc w:val="center"/>
            </w:pPr>
            <w:r>
              <w:rPr>
                <w:rFonts w:ascii="宋体" w:hAnsi="宋体" w:eastAsia="宋体"/>
                <w:sz w:val="16"/>
              </w:rPr>
              <w:t>保护馆藏文物件数（件）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C80A9A">
            <w:pPr>
              <w:jc w:val="center"/>
            </w:pPr>
            <w:r>
              <w:rPr>
                <w:rFonts w:ascii="宋体" w:hAnsi="宋体" w:eastAsia="宋体"/>
                <w:sz w:val="16"/>
              </w:rPr>
              <w:t>≥9500件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6D06D5">
            <w:pPr>
              <w:jc w:val="center"/>
            </w:pPr>
            <w:r>
              <w:rPr>
                <w:rFonts w:ascii="宋体" w:hAnsi="宋体" w:eastAsia="宋体"/>
                <w:sz w:val="16"/>
              </w:rPr>
              <w:t>=9500件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E26A4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60713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44E2A4">
            <w:pPr>
              <w:jc w:val="center"/>
            </w:pPr>
          </w:p>
        </w:tc>
      </w:tr>
      <w:tr w14:paraId="5F785F2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EBCB5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CDE9A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B2137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B9F3BB">
            <w:pPr>
              <w:jc w:val="center"/>
            </w:pPr>
            <w:r>
              <w:rPr>
                <w:rFonts w:ascii="宋体" w:hAnsi="宋体" w:eastAsia="宋体"/>
                <w:sz w:val="16"/>
              </w:rPr>
              <w:t>临时工作人员（人）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609096">
            <w:pPr>
              <w:jc w:val="center"/>
            </w:pPr>
            <w:r>
              <w:rPr>
                <w:rFonts w:ascii="宋体" w:hAnsi="宋体" w:eastAsia="宋体"/>
                <w:sz w:val="16"/>
              </w:rPr>
              <w:t>≥25人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0D1178">
            <w:pPr>
              <w:jc w:val="center"/>
            </w:pPr>
            <w:r>
              <w:rPr>
                <w:rFonts w:ascii="宋体" w:hAnsi="宋体" w:eastAsia="宋体"/>
                <w:sz w:val="16"/>
              </w:rPr>
              <w:t>=25人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57D19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F1CA2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89F62C">
            <w:pPr>
              <w:jc w:val="center"/>
            </w:pPr>
          </w:p>
        </w:tc>
      </w:tr>
      <w:tr w14:paraId="1955D26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7DA3E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EA0B6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300D80">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18CD75">
            <w:pPr>
              <w:jc w:val="center"/>
            </w:pPr>
            <w:r>
              <w:rPr>
                <w:rFonts w:ascii="宋体" w:hAnsi="宋体" w:eastAsia="宋体"/>
                <w:sz w:val="16"/>
              </w:rPr>
              <w:t>博物馆维护质量合格率（%）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3BE85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710DE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704F2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EB9BA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C4ECB9">
            <w:pPr>
              <w:jc w:val="center"/>
            </w:pPr>
          </w:p>
        </w:tc>
      </w:tr>
      <w:tr w14:paraId="07F9734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2B341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24466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060B7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DDA53A">
            <w:pPr>
              <w:jc w:val="center"/>
            </w:pPr>
            <w:r>
              <w:rPr>
                <w:rFonts w:ascii="宋体" w:hAnsi="宋体" w:eastAsia="宋体"/>
                <w:sz w:val="16"/>
              </w:rPr>
              <w:t>博物馆正常运转率（%）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05828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2D362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9FD79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38FD3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5E7C06">
            <w:pPr>
              <w:jc w:val="center"/>
            </w:pPr>
          </w:p>
        </w:tc>
      </w:tr>
      <w:tr w14:paraId="6F84771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568C4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EAE5F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AFD964">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8E3A0D">
            <w:pPr>
              <w:jc w:val="center"/>
            </w:pPr>
            <w:r>
              <w:rPr>
                <w:rFonts w:ascii="宋体" w:hAnsi="宋体" w:eastAsia="宋体"/>
                <w:sz w:val="16"/>
              </w:rPr>
              <w:t>博物馆免费开馆时效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E8067E">
            <w:pPr>
              <w:jc w:val="center"/>
            </w:pPr>
            <w:r>
              <w:rPr>
                <w:rFonts w:ascii="宋体" w:hAnsi="宋体" w:eastAsia="宋体"/>
                <w:sz w:val="16"/>
              </w:rPr>
              <w:t>每周6天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5FECD9">
            <w:pPr>
              <w:jc w:val="center"/>
            </w:pPr>
            <w:r>
              <w:rPr>
                <w:rFonts w:ascii="宋体" w:hAnsi="宋体" w:eastAsia="宋体"/>
                <w:sz w:val="16"/>
              </w:rPr>
              <w:t>每周6天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27474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9FA23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BD8116">
            <w:pPr>
              <w:jc w:val="center"/>
            </w:pPr>
          </w:p>
        </w:tc>
      </w:tr>
      <w:tr w14:paraId="3CCAF22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0E0AF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8C55A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224C8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F2D642">
            <w:pPr>
              <w:jc w:val="center"/>
            </w:pPr>
            <w:r>
              <w:rPr>
                <w:rFonts w:ascii="宋体" w:hAnsi="宋体" w:eastAsia="宋体"/>
                <w:sz w:val="16"/>
              </w:rPr>
              <w:t>博物馆经费支付及时率（%）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91258F">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555E38">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FDBB5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96658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0DA913">
            <w:pPr>
              <w:jc w:val="center"/>
            </w:pPr>
          </w:p>
        </w:tc>
      </w:tr>
      <w:tr w14:paraId="187F731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F8F64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87A44A">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FB713E">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D5F36A">
            <w:pPr>
              <w:jc w:val="center"/>
            </w:pPr>
            <w:r>
              <w:rPr>
                <w:rFonts w:ascii="宋体" w:hAnsi="宋体" w:eastAsia="宋体"/>
                <w:sz w:val="16"/>
              </w:rPr>
              <w:t>举办临时展览（万元）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8F18A3">
            <w:pPr>
              <w:jc w:val="center"/>
            </w:pPr>
            <w:r>
              <w:rPr>
                <w:rFonts w:ascii="宋体" w:hAnsi="宋体" w:eastAsia="宋体"/>
                <w:sz w:val="16"/>
              </w:rPr>
              <w:t>≤50万元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2BF768">
            <w:pPr>
              <w:jc w:val="center"/>
            </w:pPr>
            <w:r>
              <w:rPr>
                <w:rFonts w:ascii="宋体" w:hAnsi="宋体" w:eastAsia="宋体"/>
                <w:sz w:val="16"/>
              </w:rPr>
              <w:t>=38.56万元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68C97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2342E0">
            <w:pPr>
              <w:jc w:val="center"/>
            </w:pPr>
            <w:r>
              <w:rPr>
                <w:rFonts w:ascii="宋体" w:hAnsi="宋体" w:eastAsia="宋体"/>
                <w:sz w:val="16"/>
              </w:rPr>
              <w:t>2.14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81CDD3">
            <w:pPr>
              <w:jc w:val="center"/>
            </w:pPr>
            <w:r>
              <w:rPr>
                <w:rFonts w:ascii="宋体" w:hAnsi="宋体" w:eastAsia="宋体"/>
                <w:sz w:val="16"/>
              </w:rPr>
              <w:t>偏差原因：本年度临时展览场次较计划有所减少，资金支付也相应减少，改进措施：加强绩效预算能力和水平</w:t>
            </w:r>
          </w:p>
        </w:tc>
      </w:tr>
      <w:tr w14:paraId="51A80F6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0C08F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1DF87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E4361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FAD56B">
            <w:pPr>
              <w:jc w:val="center"/>
            </w:pPr>
            <w:r>
              <w:rPr>
                <w:rFonts w:ascii="宋体" w:hAnsi="宋体" w:eastAsia="宋体"/>
                <w:sz w:val="16"/>
              </w:rPr>
              <w:t>馆区绿化保洁、水电保障支出、馆区保安及安全员的支付（万元）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81DF84">
            <w:pPr>
              <w:jc w:val="center"/>
            </w:pPr>
            <w:r>
              <w:rPr>
                <w:rFonts w:ascii="宋体" w:hAnsi="宋体" w:eastAsia="宋体"/>
                <w:sz w:val="16"/>
              </w:rPr>
              <w:t>≤55.4万元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D0A42C">
            <w:pPr>
              <w:jc w:val="center"/>
            </w:pPr>
            <w:r>
              <w:rPr>
                <w:rFonts w:ascii="宋体" w:hAnsi="宋体" w:eastAsia="宋体"/>
                <w:sz w:val="16"/>
              </w:rPr>
              <w:t>=50万元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65357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6BD075">
            <w:pPr>
              <w:jc w:val="center"/>
            </w:pPr>
            <w:r>
              <w:rPr>
                <w:rFonts w:ascii="宋体" w:hAnsi="宋体" w:eastAsia="宋体"/>
                <w:sz w:val="16"/>
              </w:rPr>
              <w:t>3.78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6F7951">
            <w:pPr>
              <w:jc w:val="center"/>
            </w:pPr>
            <w:r>
              <w:rPr>
                <w:rFonts w:ascii="宋体" w:hAnsi="宋体" w:eastAsia="宋体"/>
                <w:sz w:val="16"/>
              </w:rPr>
              <w:t>偏差原因：本年度实际支出较计划有所减少，改进措施：加强绩效预算能力和水平</w:t>
            </w:r>
          </w:p>
        </w:tc>
      </w:tr>
      <w:tr w14:paraId="648BF9A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2FB1A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BAD72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2A73C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67EF35">
            <w:pPr>
              <w:jc w:val="center"/>
            </w:pPr>
            <w:r>
              <w:rPr>
                <w:rFonts w:ascii="宋体" w:hAnsi="宋体" w:eastAsia="宋体"/>
                <w:sz w:val="16"/>
              </w:rPr>
              <w:t>临时工作人员工资（元/人）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BD7786">
            <w:pPr>
              <w:jc w:val="center"/>
            </w:pPr>
            <w:r>
              <w:rPr>
                <w:rFonts w:ascii="宋体" w:hAnsi="宋体" w:eastAsia="宋体"/>
                <w:sz w:val="16"/>
              </w:rPr>
              <w:t>≤3800（元/人）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8C318E">
            <w:pPr>
              <w:jc w:val="center"/>
            </w:pPr>
            <w:r>
              <w:rPr>
                <w:rFonts w:ascii="宋体" w:hAnsi="宋体" w:eastAsia="宋体"/>
                <w:sz w:val="16"/>
              </w:rPr>
              <w:t>=3800（元/人）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01926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ADDFD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188A3A">
            <w:pPr>
              <w:jc w:val="center"/>
            </w:pPr>
          </w:p>
        </w:tc>
      </w:tr>
      <w:tr w14:paraId="29EB71B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C2810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1743F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A22ED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F4DF58">
            <w:pPr>
              <w:jc w:val="center"/>
            </w:pPr>
            <w:r>
              <w:rPr>
                <w:rFonts w:ascii="宋体" w:hAnsi="宋体" w:eastAsia="宋体"/>
                <w:sz w:val="16"/>
              </w:rPr>
              <w:t>博物馆免费开放配套设施更新及维护(万元）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CBAB56">
            <w:pPr>
              <w:jc w:val="center"/>
            </w:pPr>
            <w:r>
              <w:rPr>
                <w:rFonts w:ascii="宋体" w:hAnsi="宋体" w:eastAsia="宋体"/>
                <w:sz w:val="16"/>
              </w:rPr>
              <w:t>≤56万元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C1E1C0">
            <w:pPr>
              <w:jc w:val="center"/>
            </w:pPr>
            <w:r>
              <w:rPr>
                <w:rFonts w:ascii="宋体" w:hAnsi="宋体" w:eastAsia="宋体"/>
                <w:sz w:val="16"/>
              </w:rPr>
              <w:t>=56万元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F16CE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911F2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232FB5">
            <w:pPr>
              <w:jc w:val="center"/>
            </w:pPr>
          </w:p>
        </w:tc>
      </w:tr>
      <w:tr w14:paraId="22326C0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B5A65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6A7780">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4070D0">
            <w:pPr>
              <w:jc w:val="center"/>
            </w:pPr>
            <w:r>
              <w:rPr>
                <w:rFonts w:ascii="宋体" w:hAnsi="宋体" w:eastAsia="宋体"/>
                <w:sz w:val="16"/>
              </w:rPr>
              <w:t>经济效益指标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5A486F">
            <w:pPr>
              <w:jc w:val="center"/>
            </w:pPr>
            <w:r>
              <w:rPr>
                <w:rFonts w:ascii="宋体" w:hAnsi="宋体" w:eastAsia="宋体"/>
                <w:sz w:val="16"/>
              </w:rPr>
              <w:t>博物馆基础设施完好率（%）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B24F74">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FFCA2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D67079">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E5675F">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4AC1DE">
            <w:pPr>
              <w:jc w:val="center"/>
            </w:pPr>
          </w:p>
        </w:tc>
      </w:tr>
      <w:tr w14:paraId="407FDD7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83ED8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64BCA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B85A88">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24EC0C">
            <w:pPr>
              <w:jc w:val="center"/>
            </w:pPr>
            <w:r>
              <w:rPr>
                <w:rFonts w:ascii="宋体" w:hAnsi="宋体" w:eastAsia="宋体"/>
                <w:sz w:val="16"/>
              </w:rPr>
              <w:t>博物馆服务水平提升情况</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1543A2">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E061E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0F77F7">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BF4CE9">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57C36C">
            <w:pPr>
              <w:jc w:val="center"/>
            </w:pPr>
          </w:p>
        </w:tc>
      </w:tr>
      <w:tr w14:paraId="3980AA7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10EB3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84A0F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4EF0B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18A846">
            <w:pPr>
              <w:jc w:val="center"/>
            </w:pPr>
            <w:r>
              <w:rPr>
                <w:rFonts w:ascii="宋体" w:hAnsi="宋体" w:eastAsia="宋体"/>
                <w:sz w:val="16"/>
              </w:rPr>
              <w:t>带动地方文化旅游发展</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956FAA">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DAE33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AEE345">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E25035">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B11BCF">
            <w:pPr>
              <w:jc w:val="center"/>
            </w:pPr>
          </w:p>
        </w:tc>
      </w:tr>
      <w:tr w14:paraId="71F0274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DC637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CFCB3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E883B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4A41C0">
            <w:pPr>
              <w:jc w:val="center"/>
            </w:pPr>
            <w:r>
              <w:rPr>
                <w:rFonts w:ascii="宋体" w:hAnsi="宋体" w:eastAsia="宋体"/>
                <w:sz w:val="16"/>
              </w:rPr>
              <w:t>游客满意度（%）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4B8A31">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3DEEC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FD5EE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811A4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553DE2">
            <w:pPr>
              <w:jc w:val="center"/>
            </w:pPr>
          </w:p>
        </w:tc>
      </w:tr>
      <w:tr w14:paraId="74CDB3C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70909C">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2FB1B8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DF02C3">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E2A1C87">
            <w:pPr>
              <w:jc w:val="center"/>
            </w:pPr>
            <w:r>
              <w:rPr>
                <w:rFonts w:ascii="宋体" w:hAnsi="宋体" w:eastAsia="宋体"/>
                <w:sz w:val="16"/>
              </w:rPr>
              <w:t>94.39分</w:t>
            </w:r>
          </w:p>
        </w:tc>
      </w:tr>
    </w:tbl>
    <w:p w14:paraId="5BF64D88">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80B9555">
        <w:tblPrEx>
          <w:tblCellMar>
            <w:top w:w="0" w:type="dxa"/>
            <w:left w:w="108" w:type="dxa"/>
            <w:bottom w:w="0" w:type="dxa"/>
            <w:right w:w="108" w:type="dxa"/>
          </w:tblCellMar>
        </w:tblPrEx>
        <w:tc>
          <w:tcPr>
            <w:tcW w:w="8847" w:type="dxa"/>
            <w:gridSpan w:val="9"/>
            <w:vAlign w:val="center"/>
          </w:tcPr>
          <w:p w14:paraId="667246EA">
            <w:pPr>
              <w:jc w:val="center"/>
            </w:pPr>
            <w:r>
              <w:rPr>
                <w:rFonts w:ascii="宋体" w:hAnsi="宋体" w:eastAsia="宋体"/>
                <w:sz w:val="24"/>
              </w:rPr>
              <w:t>项目支出绩效自评表</w:t>
            </w:r>
          </w:p>
        </w:tc>
      </w:tr>
      <w:tr w14:paraId="704B8D22">
        <w:tblPrEx>
          <w:tblCellMar>
            <w:top w:w="0" w:type="dxa"/>
            <w:left w:w="108" w:type="dxa"/>
            <w:bottom w:w="0" w:type="dxa"/>
            <w:right w:w="108" w:type="dxa"/>
          </w:tblCellMar>
        </w:tblPrEx>
        <w:tc>
          <w:tcPr>
            <w:tcW w:w="8847" w:type="dxa"/>
            <w:gridSpan w:val="9"/>
            <w:vAlign w:val="center"/>
          </w:tcPr>
          <w:p w14:paraId="33261353">
            <w:pPr>
              <w:jc w:val="center"/>
            </w:pPr>
            <w:r>
              <w:rPr>
                <w:rFonts w:ascii="宋体" w:hAnsi="宋体" w:eastAsia="宋体"/>
                <w:sz w:val="24"/>
              </w:rPr>
              <w:t>(2024年度)</w:t>
            </w:r>
          </w:p>
        </w:tc>
      </w:tr>
      <w:tr w14:paraId="22FCA6A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898C2D">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C81F407">
            <w:pPr>
              <w:jc w:val="center"/>
            </w:pPr>
            <w:r>
              <w:rPr>
                <w:rFonts w:ascii="宋体" w:hAnsi="宋体" w:eastAsia="宋体"/>
                <w:sz w:val="16"/>
              </w:rPr>
              <w:t>2024年中央支持地方公共文化服务体系建设补助资金</w:t>
            </w:r>
          </w:p>
        </w:tc>
      </w:tr>
      <w:tr w14:paraId="40C9A7A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DAEAE1">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C50C303">
            <w:pPr>
              <w:jc w:val="center"/>
            </w:pPr>
            <w:r>
              <w:rPr>
                <w:rFonts w:ascii="宋体" w:hAnsi="宋体" w:eastAsia="宋体"/>
                <w:sz w:val="16"/>
              </w:rPr>
              <w:t>和田地区博物馆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0CBBFC">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0B2E855">
            <w:pPr>
              <w:jc w:val="center"/>
            </w:pPr>
            <w:r>
              <w:rPr>
                <w:rFonts w:ascii="宋体" w:hAnsi="宋体" w:eastAsia="宋体"/>
                <w:sz w:val="16"/>
              </w:rPr>
              <w:t>和田地区博物馆</w:t>
            </w:r>
          </w:p>
        </w:tc>
      </w:tr>
      <w:tr w14:paraId="3A3AFD9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6B69BA">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B59F78">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EBA37C">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48A359">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E0768A">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3720B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A848BA">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5E2225">
            <w:pPr>
              <w:jc w:val="center"/>
            </w:pPr>
            <w:r>
              <w:rPr>
                <w:rFonts w:ascii="宋体" w:hAnsi="宋体" w:eastAsia="宋体"/>
                <w:sz w:val="16"/>
              </w:rPr>
              <w:t>得分</w:t>
            </w:r>
          </w:p>
        </w:tc>
      </w:tr>
      <w:tr w14:paraId="7793BBD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A351A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9F4FE">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4FA230">
            <w:pPr>
              <w:jc w:val="center"/>
            </w:pPr>
            <w:r>
              <w:rPr>
                <w:rFonts w:ascii="宋体" w:hAnsi="宋体" w:eastAsia="宋体"/>
                <w:sz w:val="16"/>
              </w:rPr>
              <w:t>40.00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0161CC">
            <w:pPr>
              <w:jc w:val="center"/>
            </w:pPr>
            <w:r>
              <w:rPr>
                <w:rFonts w:ascii="宋体" w:hAnsi="宋体" w:eastAsia="宋体"/>
                <w:sz w:val="16"/>
              </w:rPr>
              <w:t>40.00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673C5B">
            <w:pPr>
              <w:jc w:val="center"/>
            </w:pPr>
            <w:r>
              <w:rPr>
                <w:rFonts w:ascii="宋体" w:hAnsi="宋体" w:eastAsia="宋体"/>
                <w:sz w:val="16"/>
              </w:rPr>
              <w:t>39.89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2B2B9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403D87">
            <w:pPr>
              <w:jc w:val="center"/>
            </w:pPr>
            <w:r>
              <w:rPr>
                <w:rFonts w:ascii="宋体" w:hAnsi="宋体" w:eastAsia="宋体"/>
                <w:sz w:val="16"/>
              </w:rPr>
              <w:t xml:space="preserve">99.72%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3690B6">
            <w:pPr>
              <w:jc w:val="center"/>
            </w:pPr>
            <w:r>
              <w:rPr>
                <w:rFonts w:ascii="宋体" w:hAnsi="宋体" w:eastAsia="宋体"/>
                <w:sz w:val="16"/>
              </w:rPr>
              <w:t>10.00分</w:t>
            </w:r>
          </w:p>
        </w:tc>
      </w:tr>
      <w:tr w14:paraId="58C08F8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FB26B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140021">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7A2DA5">
            <w:pPr>
              <w:jc w:val="center"/>
            </w:pPr>
            <w:r>
              <w:rPr>
                <w:rFonts w:ascii="宋体" w:hAnsi="宋体" w:eastAsia="宋体"/>
                <w:sz w:val="16"/>
              </w:rPr>
              <w:t>40.00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E32149">
            <w:pPr>
              <w:jc w:val="center"/>
            </w:pPr>
            <w:r>
              <w:rPr>
                <w:rFonts w:ascii="宋体" w:hAnsi="宋体" w:eastAsia="宋体"/>
                <w:sz w:val="16"/>
              </w:rPr>
              <w:t>40.00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5A9E6B">
            <w:pPr>
              <w:jc w:val="center"/>
            </w:pPr>
            <w:r>
              <w:rPr>
                <w:rFonts w:ascii="宋体" w:hAnsi="宋体" w:eastAsia="宋体"/>
                <w:sz w:val="16"/>
              </w:rPr>
              <w:t>39.89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E0ABB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AAFB3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0E060D">
            <w:pPr>
              <w:jc w:val="center"/>
            </w:pPr>
            <w:r>
              <w:rPr>
                <w:rFonts w:ascii="宋体" w:hAnsi="宋体" w:eastAsia="宋体"/>
                <w:sz w:val="16"/>
              </w:rPr>
              <w:t>—</w:t>
            </w:r>
          </w:p>
        </w:tc>
      </w:tr>
      <w:tr w14:paraId="5F9945B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1ADB9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5BBED9">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16280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D842D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1780D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9B7C1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5BFCF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3F857A">
            <w:pPr>
              <w:jc w:val="center"/>
            </w:pPr>
            <w:r>
              <w:rPr>
                <w:rFonts w:ascii="宋体" w:hAnsi="宋体" w:eastAsia="宋体"/>
                <w:sz w:val="16"/>
              </w:rPr>
              <w:t>—</w:t>
            </w:r>
          </w:p>
        </w:tc>
      </w:tr>
      <w:tr w14:paraId="387D26B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B9224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552488">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29AD1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88B6C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3F863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35134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2AD0D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C88E4B">
            <w:pPr>
              <w:jc w:val="center"/>
            </w:pPr>
            <w:r>
              <w:rPr>
                <w:rFonts w:ascii="宋体" w:hAnsi="宋体" w:eastAsia="宋体"/>
                <w:sz w:val="16"/>
              </w:rPr>
              <w:t>—</w:t>
            </w:r>
          </w:p>
        </w:tc>
      </w:tr>
      <w:tr w14:paraId="3F2D1E5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D78989">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DEF6401">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8BA377C">
            <w:pPr>
              <w:jc w:val="center"/>
            </w:pPr>
            <w:r>
              <w:rPr>
                <w:rFonts w:ascii="宋体" w:hAnsi="宋体" w:eastAsia="宋体"/>
                <w:sz w:val="16"/>
              </w:rPr>
              <w:t>实际完成情况</w:t>
            </w:r>
          </w:p>
        </w:tc>
      </w:tr>
      <w:tr w14:paraId="4779C4E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D8C7C6"/>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13AE657">
            <w:pPr>
              <w:jc w:val="both"/>
            </w:pPr>
            <w:r>
              <w:rPr>
                <w:rFonts w:ascii="宋体" w:hAnsi="宋体" w:eastAsia="宋体"/>
                <w:sz w:val="16"/>
              </w:rPr>
              <w:t>1.为更好</w:t>
            </w:r>
            <w:r>
              <w:rPr>
                <w:rFonts w:hint="eastAsia" w:ascii="宋体" w:hAnsi="宋体"/>
                <w:sz w:val="16"/>
                <w:lang w:eastAsia="zh-CN"/>
              </w:rPr>
              <w:t>地</w:t>
            </w:r>
            <w:r>
              <w:rPr>
                <w:rFonts w:ascii="宋体" w:hAnsi="宋体" w:eastAsia="宋体"/>
                <w:sz w:val="16"/>
              </w:rPr>
              <w:t>发挥爱国主义教育基地的作用，做好宣传教育工作，将博物馆基础设施设备进行更新。2.为满足广大观众的参观需求计划在展厅更新多媒体系统。3.为更好</w:t>
            </w:r>
            <w:r>
              <w:rPr>
                <w:rFonts w:hint="eastAsia" w:ascii="宋体" w:hAnsi="宋体"/>
                <w:sz w:val="16"/>
                <w:lang w:eastAsia="zh-CN"/>
              </w:rPr>
              <w:t>地</w:t>
            </w:r>
            <w:r>
              <w:rPr>
                <w:rFonts w:ascii="宋体" w:hAnsi="宋体" w:eastAsia="宋体"/>
                <w:sz w:val="16"/>
              </w:rPr>
              <w:t>提升博物馆宣教功能，进一步对博物馆设施进行改造。</w:t>
            </w:r>
            <w:r>
              <w:rPr>
                <w:rFonts w:ascii="宋体" w:hAnsi="宋体" w:eastAsia="宋体"/>
                <w:sz w:val="16"/>
              </w:rPr>
              <w:br w:type="textWrapping"/>
            </w:r>
            <w:r>
              <w:rPr>
                <w:rFonts w:ascii="宋体" w:hAnsi="宋体" w:eastAsia="宋体"/>
                <w:sz w:val="16"/>
              </w:rPr>
              <w:t>和田地区博物馆关于中央补助地方公共文化服务体系建设专项,用于博物馆日常设备采购与维护。</w:t>
            </w:r>
            <w:r>
              <w:rPr>
                <w:rFonts w:ascii="宋体" w:hAnsi="宋体" w:eastAsia="宋体"/>
                <w:sz w:val="16"/>
              </w:rPr>
              <w:br w:type="textWrapping"/>
            </w:r>
            <w:r>
              <w:rPr>
                <w:rFonts w:ascii="宋体" w:hAnsi="宋体" w:eastAsia="宋体"/>
                <w:sz w:val="16"/>
              </w:rPr>
              <w:t>(一）购买5台消防设备维护及购置20万元。</w:t>
            </w:r>
            <w:r>
              <w:rPr>
                <w:rFonts w:ascii="宋体" w:hAnsi="宋体" w:eastAsia="宋体"/>
                <w:sz w:val="16"/>
              </w:rPr>
              <w:br w:type="textWrapping"/>
            </w:r>
            <w:r>
              <w:rPr>
                <w:rFonts w:ascii="宋体" w:hAnsi="宋体" w:eastAsia="宋体"/>
                <w:sz w:val="16"/>
              </w:rPr>
              <w:t>（二）购买5台多媒体设备维护及购置20万元。</w:t>
            </w:r>
            <w:r>
              <w:rPr>
                <w:rFonts w:ascii="宋体" w:hAnsi="宋体" w:eastAsia="宋体"/>
                <w:sz w:val="16"/>
              </w:rPr>
              <w:br w:type="textWrapping"/>
            </w:r>
            <w:r>
              <w:rPr>
                <w:rFonts w:ascii="宋体" w:hAnsi="宋体" w:eastAsia="宋体"/>
                <w:sz w:val="16"/>
              </w:rPr>
              <w:t>以上费用总计40万元。</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2BEDD0E">
            <w:pPr>
              <w:jc w:val="both"/>
            </w:pPr>
            <w:r>
              <w:rPr>
                <w:rFonts w:hint="eastAsia" w:ascii="宋体" w:hAnsi="宋体"/>
                <w:sz w:val="16"/>
                <w:lang w:eastAsia="zh-CN"/>
              </w:rPr>
              <w:t>截至</w:t>
            </w:r>
            <w:r>
              <w:rPr>
                <w:rFonts w:ascii="宋体" w:hAnsi="宋体" w:eastAsia="宋体"/>
                <w:sz w:val="16"/>
              </w:rPr>
              <w:t>2024年12月31日，本项目实际形成支出39.89万元，已完成购买5台消防设备维护及购置的任务，达到了更好</w:t>
            </w:r>
            <w:r>
              <w:rPr>
                <w:rFonts w:hint="eastAsia" w:ascii="宋体" w:hAnsi="宋体"/>
                <w:sz w:val="16"/>
                <w:lang w:eastAsia="zh-CN"/>
              </w:rPr>
              <w:t>地</w:t>
            </w:r>
            <w:r>
              <w:rPr>
                <w:rFonts w:ascii="宋体" w:hAnsi="宋体" w:eastAsia="宋体"/>
                <w:sz w:val="16"/>
              </w:rPr>
              <w:t>提升博物馆宣教功能，进一步对博物馆设施进行改造的效益，社会公众对博物馆满意度达到100%。</w:t>
            </w:r>
          </w:p>
        </w:tc>
      </w:tr>
      <w:tr w14:paraId="7B1DFD8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00204F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CD621A">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D1103E">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CC05F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930E3B">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6D74EA">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41777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9C4A8E">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E195F5">
            <w:pPr>
              <w:jc w:val="center"/>
            </w:pPr>
            <w:r>
              <w:rPr>
                <w:rFonts w:ascii="宋体" w:hAnsi="宋体" w:eastAsia="宋体"/>
                <w:sz w:val="16"/>
              </w:rPr>
              <w:t>偏差原因分析及改进措施</w:t>
            </w:r>
          </w:p>
        </w:tc>
      </w:tr>
      <w:tr w14:paraId="3E8F9F3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6EA6AC">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1AACB3">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BB0AC1">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5582CA">
            <w:pPr>
              <w:jc w:val="center"/>
            </w:pPr>
            <w:r>
              <w:rPr>
                <w:rFonts w:ascii="宋体" w:hAnsi="宋体" w:eastAsia="宋体"/>
                <w:sz w:val="16"/>
              </w:rPr>
              <w:t>多媒体设备购置（台）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1B2D7C">
            <w:pPr>
              <w:jc w:val="center"/>
            </w:pPr>
            <w:r>
              <w:rPr>
                <w:rFonts w:ascii="宋体" w:hAnsi="宋体" w:eastAsia="宋体"/>
                <w:sz w:val="16"/>
              </w:rPr>
              <w:t>≥5台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397CA4">
            <w:pPr>
              <w:jc w:val="center"/>
            </w:pPr>
            <w:r>
              <w:rPr>
                <w:rFonts w:ascii="宋体" w:hAnsi="宋体" w:eastAsia="宋体"/>
                <w:sz w:val="16"/>
              </w:rPr>
              <w:t>=5台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0A4E8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89879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ED7157">
            <w:pPr>
              <w:jc w:val="center"/>
            </w:pPr>
          </w:p>
        </w:tc>
      </w:tr>
      <w:tr w14:paraId="0D023E2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41B1C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9834F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3A888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40268C">
            <w:pPr>
              <w:jc w:val="center"/>
            </w:pPr>
            <w:r>
              <w:rPr>
                <w:rFonts w:ascii="宋体" w:hAnsi="宋体" w:eastAsia="宋体"/>
                <w:sz w:val="16"/>
              </w:rPr>
              <w:t>消防设备购置（台）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DC102E">
            <w:pPr>
              <w:jc w:val="center"/>
            </w:pPr>
            <w:r>
              <w:rPr>
                <w:rFonts w:ascii="宋体" w:hAnsi="宋体" w:eastAsia="宋体"/>
                <w:sz w:val="16"/>
              </w:rPr>
              <w:t>≥5台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61A7C0">
            <w:pPr>
              <w:jc w:val="center"/>
            </w:pPr>
            <w:r>
              <w:rPr>
                <w:rFonts w:ascii="宋体" w:hAnsi="宋体" w:eastAsia="宋体"/>
                <w:sz w:val="16"/>
              </w:rPr>
              <w:t>=5台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837C5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5D634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CE9635">
            <w:pPr>
              <w:jc w:val="center"/>
            </w:pPr>
          </w:p>
        </w:tc>
      </w:tr>
      <w:tr w14:paraId="2ED9F97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1AD17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2E628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EC3FFD">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791E9E">
            <w:pPr>
              <w:jc w:val="center"/>
            </w:pPr>
            <w:r>
              <w:rPr>
                <w:rFonts w:ascii="宋体" w:hAnsi="宋体" w:eastAsia="宋体"/>
                <w:sz w:val="16"/>
              </w:rPr>
              <w:t>项目按计划完成率(%)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51606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2199A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6A51A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A5033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E916AB">
            <w:pPr>
              <w:jc w:val="center"/>
            </w:pPr>
          </w:p>
        </w:tc>
      </w:tr>
      <w:tr w14:paraId="51397C9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2ABA5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C7F24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AB070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99E14E">
            <w:pPr>
              <w:jc w:val="center"/>
            </w:pPr>
            <w:r>
              <w:rPr>
                <w:rFonts w:ascii="宋体" w:hAnsi="宋体" w:eastAsia="宋体"/>
                <w:sz w:val="16"/>
              </w:rPr>
              <w:t>设施设备维护合格率（%）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5E9594">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20A5A7">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63099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69F79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B7D545">
            <w:pPr>
              <w:jc w:val="center"/>
            </w:pPr>
          </w:p>
        </w:tc>
      </w:tr>
      <w:tr w14:paraId="3D9C780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C3D05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6983C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E6AAFC">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F93AFD">
            <w:pPr>
              <w:jc w:val="center"/>
            </w:pPr>
            <w:r>
              <w:rPr>
                <w:rFonts w:ascii="宋体" w:hAnsi="宋体" w:eastAsia="宋体"/>
                <w:sz w:val="16"/>
              </w:rPr>
              <w:t>费用支付及时率（%)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C1EFD6">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23D1D4">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0CCDD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03A70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6B056F">
            <w:pPr>
              <w:jc w:val="center"/>
            </w:pPr>
          </w:p>
        </w:tc>
      </w:tr>
      <w:tr w14:paraId="5E5F80F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AB4CC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F2314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980EF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F8C519">
            <w:pPr>
              <w:jc w:val="center"/>
            </w:pPr>
            <w:r>
              <w:rPr>
                <w:rFonts w:ascii="宋体" w:hAnsi="宋体" w:eastAsia="宋体"/>
                <w:sz w:val="16"/>
              </w:rPr>
              <w:t>设备设施维护维修及时率（%）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5C8B4E">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F0A81F">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412FF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4E9B9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4682F3">
            <w:pPr>
              <w:jc w:val="center"/>
            </w:pPr>
          </w:p>
        </w:tc>
      </w:tr>
      <w:tr w14:paraId="0D9941E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DE40E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536358">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3E85AA">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E9FA90">
            <w:pPr>
              <w:jc w:val="center"/>
            </w:pPr>
            <w:r>
              <w:rPr>
                <w:rFonts w:ascii="宋体" w:hAnsi="宋体" w:eastAsia="宋体"/>
                <w:sz w:val="16"/>
              </w:rPr>
              <w:t>多媒体设备维护及购置（万元）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1F12FA">
            <w:pPr>
              <w:jc w:val="center"/>
            </w:pPr>
            <w:r>
              <w:rPr>
                <w:rFonts w:ascii="宋体" w:hAnsi="宋体" w:eastAsia="宋体"/>
                <w:sz w:val="16"/>
              </w:rPr>
              <w:t>≤20万元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517B7D">
            <w:pPr>
              <w:jc w:val="center"/>
            </w:pPr>
            <w:r>
              <w:rPr>
                <w:rFonts w:ascii="宋体" w:hAnsi="宋体" w:eastAsia="宋体"/>
                <w:sz w:val="16"/>
              </w:rPr>
              <w:t>=20万元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0CB77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90FFB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0FFA57">
            <w:pPr>
              <w:jc w:val="center"/>
            </w:pPr>
          </w:p>
        </w:tc>
      </w:tr>
      <w:tr w14:paraId="37A12F4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35550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B456A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47A4F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129C16">
            <w:pPr>
              <w:jc w:val="center"/>
            </w:pPr>
            <w:r>
              <w:rPr>
                <w:rFonts w:ascii="宋体" w:hAnsi="宋体" w:eastAsia="宋体"/>
                <w:sz w:val="16"/>
              </w:rPr>
              <w:t>消防设备维护及购置（万元）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F711D3">
            <w:pPr>
              <w:jc w:val="center"/>
            </w:pPr>
            <w:r>
              <w:rPr>
                <w:rFonts w:ascii="宋体" w:hAnsi="宋体" w:eastAsia="宋体"/>
                <w:sz w:val="16"/>
              </w:rPr>
              <w:t>≤20万元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98B27C">
            <w:pPr>
              <w:jc w:val="center"/>
            </w:pPr>
            <w:r>
              <w:rPr>
                <w:rFonts w:ascii="宋体" w:hAnsi="宋体" w:eastAsia="宋体"/>
                <w:sz w:val="16"/>
              </w:rPr>
              <w:t>=19.89万元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F1C11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579C9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230008">
            <w:pPr>
              <w:jc w:val="center"/>
            </w:pPr>
          </w:p>
        </w:tc>
      </w:tr>
      <w:tr w14:paraId="5423B12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7BE83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E3B029">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401E75">
            <w:pPr>
              <w:jc w:val="center"/>
            </w:pPr>
            <w:r>
              <w:rPr>
                <w:rFonts w:ascii="宋体" w:hAnsi="宋体" w:eastAsia="宋体"/>
                <w:sz w:val="16"/>
              </w:rPr>
              <w:t>经济效益指标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633188">
            <w:pPr>
              <w:jc w:val="center"/>
            </w:pPr>
            <w:r>
              <w:rPr>
                <w:rFonts w:ascii="宋体" w:hAnsi="宋体" w:eastAsia="宋体"/>
                <w:sz w:val="16"/>
              </w:rPr>
              <w:t>设施设备完好率（%）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013CBC">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E515F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B4C02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2CA28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1BBE17">
            <w:pPr>
              <w:jc w:val="center"/>
            </w:pPr>
          </w:p>
        </w:tc>
      </w:tr>
      <w:tr w14:paraId="42D9172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45799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4160F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E4E421">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38CEA4">
            <w:pPr>
              <w:jc w:val="center"/>
            </w:pPr>
            <w:r>
              <w:rPr>
                <w:rFonts w:ascii="宋体" w:hAnsi="宋体" w:eastAsia="宋体"/>
                <w:sz w:val="16"/>
              </w:rPr>
              <w:t>博物馆服务水平提升情况</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89ECBD">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A51A1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51E0C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E944C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928AFE">
            <w:pPr>
              <w:jc w:val="center"/>
            </w:pPr>
          </w:p>
        </w:tc>
      </w:tr>
      <w:tr w14:paraId="2953913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6CEF1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3141F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D959D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E841B5">
            <w:pPr>
              <w:jc w:val="center"/>
            </w:pPr>
            <w:r>
              <w:rPr>
                <w:rFonts w:ascii="宋体" w:hAnsi="宋体" w:eastAsia="宋体"/>
                <w:sz w:val="16"/>
              </w:rPr>
              <w:t>社会公众对博物馆满意度（%）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AE1165">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F7E39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67AFB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D87F4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A3AFB3">
            <w:pPr>
              <w:jc w:val="center"/>
            </w:pPr>
          </w:p>
        </w:tc>
      </w:tr>
      <w:tr w14:paraId="079BD73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146038">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662EB7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801207">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804B3F4">
            <w:pPr>
              <w:jc w:val="center"/>
            </w:pPr>
            <w:r>
              <w:rPr>
                <w:rFonts w:ascii="宋体" w:hAnsi="宋体" w:eastAsia="宋体"/>
                <w:sz w:val="16"/>
              </w:rPr>
              <w:t>100分</w:t>
            </w:r>
          </w:p>
        </w:tc>
      </w:tr>
    </w:tbl>
    <w:p w14:paraId="6C7ACBCC">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A786138">
        <w:tblPrEx>
          <w:tblCellMar>
            <w:top w:w="0" w:type="dxa"/>
            <w:left w:w="108" w:type="dxa"/>
            <w:bottom w:w="0" w:type="dxa"/>
            <w:right w:w="108" w:type="dxa"/>
          </w:tblCellMar>
        </w:tblPrEx>
        <w:tc>
          <w:tcPr>
            <w:tcW w:w="8847" w:type="dxa"/>
            <w:gridSpan w:val="9"/>
            <w:vAlign w:val="center"/>
          </w:tcPr>
          <w:p w14:paraId="7E2ADD32">
            <w:pPr>
              <w:jc w:val="center"/>
            </w:pPr>
            <w:r>
              <w:rPr>
                <w:rFonts w:ascii="宋体" w:hAnsi="宋体" w:eastAsia="宋体"/>
                <w:sz w:val="24"/>
              </w:rPr>
              <w:t>项目支出绩效自评表</w:t>
            </w:r>
          </w:p>
        </w:tc>
      </w:tr>
      <w:tr w14:paraId="2A0FBD66">
        <w:tblPrEx>
          <w:tblCellMar>
            <w:top w:w="0" w:type="dxa"/>
            <w:left w:w="108" w:type="dxa"/>
            <w:bottom w:w="0" w:type="dxa"/>
            <w:right w:w="108" w:type="dxa"/>
          </w:tblCellMar>
        </w:tblPrEx>
        <w:tc>
          <w:tcPr>
            <w:tcW w:w="8847" w:type="dxa"/>
            <w:gridSpan w:val="9"/>
            <w:vAlign w:val="center"/>
          </w:tcPr>
          <w:p w14:paraId="423901FE">
            <w:pPr>
              <w:jc w:val="center"/>
            </w:pPr>
            <w:r>
              <w:rPr>
                <w:rFonts w:ascii="宋体" w:hAnsi="宋体" w:eastAsia="宋体"/>
                <w:sz w:val="24"/>
              </w:rPr>
              <w:t>(2024年度)</w:t>
            </w:r>
          </w:p>
        </w:tc>
      </w:tr>
      <w:tr w14:paraId="6876A1A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3552A7">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1878344">
            <w:pPr>
              <w:jc w:val="center"/>
            </w:pPr>
            <w:r>
              <w:rPr>
                <w:rFonts w:ascii="宋体" w:hAnsi="宋体" w:eastAsia="宋体"/>
                <w:sz w:val="16"/>
              </w:rPr>
              <w:t>2024年度自治区野外文物保护单位看护人员专项补助经费</w:t>
            </w:r>
          </w:p>
        </w:tc>
      </w:tr>
      <w:tr w14:paraId="548C9C0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D6474B">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AE5326C">
            <w:pPr>
              <w:jc w:val="center"/>
            </w:pPr>
            <w:r>
              <w:rPr>
                <w:rFonts w:ascii="宋体" w:hAnsi="宋体" w:eastAsia="宋体"/>
                <w:sz w:val="16"/>
              </w:rPr>
              <w:t>和田地区博物馆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2C9452">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A04EBA5">
            <w:pPr>
              <w:jc w:val="center"/>
            </w:pPr>
            <w:r>
              <w:rPr>
                <w:rFonts w:ascii="宋体" w:hAnsi="宋体" w:eastAsia="宋体"/>
                <w:sz w:val="16"/>
              </w:rPr>
              <w:t>和田地区博物馆</w:t>
            </w:r>
          </w:p>
        </w:tc>
      </w:tr>
      <w:tr w14:paraId="38EAA0B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62E56F">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EFA21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F13849">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D46577">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0735B8">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D7BDB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D50B87">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A0FFAC">
            <w:pPr>
              <w:jc w:val="center"/>
            </w:pPr>
            <w:r>
              <w:rPr>
                <w:rFonts w:ascii="宋体" w:hAnsi="宋体" w:eastAsia="宋体"/>
                <w:sz w:val="16"/>
              </w:rPr>
              <w:t>得分</w:t>
            </w:r>
          </w:p>
        </w:tc>
      </w:tr>
      <w:tr w14:paraId="2E864BC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7AE10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234FAC">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7C7C2D">
            <w:pPr>
              <w:jc w:val="center"/>
            </w:pPr>
            <w:r>
              <w:rPr>
                <w:rFonts w:ascii="宋体" w:hAnsi="宋体" w:eastAsia="宋体"/>
                <w:sz w:val="16"/>
              </w:rPr>
              <w:t>12.12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EA0EC7">
            <w:pPr>
              <w:jc w:val="center"/>
            </w:pPr>
            <w:r>
              <w:rPr>
                <w:rFonts w:ascii="宋体" w:hAnsi="宋体" w:eastAsia="宋体"/>
                <w:sz w:val="16"/>
              </w:rPr>
              <w:t>12.12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10E84D">
            <w:pPr>
              <w:jc w:val="center"/>
            </w:pPr>
            <w:r>
              <w:rPr>
                <w:rFonts w:ascii="宋体" w:hAnsi="宋体" w:eastAsia="宋体"/>
                <w:sz w:val="16"/>
              </w:rPr>
              <w:t>12.00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EBB62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521A8E">
            <w:pPr>
              <w:jc w:val="center"/>
            </w:pPr>
            <w:r>
              <w:rPr>
                <w:rFonts w:ascii="宋体" w:hAnsi="宋体" w:eastAsia="宋体"/>
                <w:sz w:val="16"/>
              </w:rPr>
              <w:t xml:space="preserve">99.01%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500182">
            <w:pPr>
              <w:jc w:val="center"/>
            </w:pPr>
            <w:r>
              <w:rPr>
                <w:rFonts w:ascii="宋体" w:hAnsi="宋体" w:eastAsia="宋体"/>
                <w:sz w:val="16"/>
              </w:rPr>
              <w:t>9.75分</w:t>
            </w:r>
          </w:p>
        </w:tc>
      </w:tr>
      <w:tr w14:paraId="7B1AD85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6997D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D8FDF0">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87480E">
            <w:pPr>
              <w:jc w:val="center"/>
            </w:pPr>
            <w:r>
              <w:rPr>
                <w:rFonts w:ascii="宋体" w:hAnsi="宋体" w:eastAsia="宋体"/>
                <w:sz w:val="16"/>
              </w:rPr>
              <w:t>12.00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C9D81C">
            <w:pPr>
              <w:jc w:val="center"/>
            </w:pPr>
            <w:r>
              <w:rPr>
                <w:rFonts w:ascii="宋体" w:hAnsi="宋体" w:eastAsia="宋体"/>
                <w:sz w:val="16"/>
              </w:rPr>
              <w:t>12.00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6183A0">
            <w:pPr>
              <w:jc w:val="center"/>
            </w:pPr>
            <w:r>
              <w:rPr>
                <w:rFonts w:ascii="宋体" w:hAnsi="宋体" w:eastAsia="宋体"/>
                <w:sz w:val="16"/>
              </w:rPr>
              <w:t>12.00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C2FD3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E9F7B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5CA7BA">
            <w:pPr>
              <w:jc w:val="center"/>
            </w:pPr>
            <w:r>
              <w:rPr>
                <w:rFonts w:ascii="宋体" w:hAnsi="宋体" w:eastAsia="宋体"/>
                <w:sz w:val="16"/>
              </w:rPr>
              <w:t>—</w:t>
            </w:r>
          </w:p>
        </w:tc>
      </w:tr>
      <w:tr w14:paraId="59A6F71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FCF5D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8937FB">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56DE7D">
            <w:pPr>
              <w:jc w:val="center"/>
            </w:pPr>
            <w:r>
              <w:rPr>
                <w:rFonts w:ascii="宋体" w:hAnsi="宋体" w:eastAsia="宋体"/>
                <w:sz w:val="16"/>
              </w:rPr>
              <w:t>0.12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D0320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66E30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4839B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9CD96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81E4CE">
            <w:pPr>
              <w:jc w:val="center"/>
            </w:pPr>
            <w:r>
              <w:rPr>
                <w:rFonts w:ascii="宋体" w:hAnsi="宋体" w:eastAsia="宋体"/>
                <w:sz w:val="16"/>
              </w:rPr>
              <w:t>—</w:t>
            </w:r>
          </w:p>
        </w:tc>
      </w:tr>
      <w:tr w14:paraId="21619FE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06193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B7E88">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B11AD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5B901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83140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D8884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E081E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7EE27F">
            <w:pPr>
              <w:jc w:val="center"/>
            </w:pPr>
            <w:r>
              <w:rPr>
                <w:rFonts w:ascii="宋体" w:hAnsi="宋体" w:eastAsia="宋体"/>
                <w:sz w:val="16"/>
              </w:rPr>
              <w:t>—</w:t>
            </w:r>
          </w:p>
        </w:tc>
      </w:tr>
      <w:tr w14:paraId="30C1631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8B529D">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664AF62">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82289C9">
            <w:pPr>
              <w:jc w:val="center"/>
            </w:pPr>
            <w:r>
              <w:rPr>
                <w:rFonts w:ascii="宋体" w:hAnsi="宋体" w:eastAsia="宋体"/>
                <w:sz w:val="16"/>
              </w:rPr>
              <w:t>实际完成情况</w:t>
            </w:r>
          </w:p>
        </w:tc>
      </w:tr>
      <w:tr w14:paraId="3476A9E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9CF091"/>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D4EF46B">
            <w:pPr>
              <w:jc w:val="both"/>
            </w:pPr>
            <w:r>
              <w:rPr>
                <w:rFonts w:ascii="宋体" w:hAnsi="宋体" w:eastAsia="宋体"/>
                <w:sz w:val="16"/>
              </w:rPr>
              <w:t>对5位文物保护看护人员发放的补助经费12.12万元，对4.5平方公里的文化遗址进行保护8公里的铁丝保护围栏进行看护，为确保文物遗址不受到盗挖及人为破坏，经过调查，受益人员满意度95%以上。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0DD1C36">
            <w:pPr>
              <w:jc w:val="both"/>
            </w:pPr>
            <w:r>
              <w:rPr>
                <w:rFonts w:hint="eastAsia" w:ascii="宋体" w:hAnsi="宋体"/>
                <w:sz w:val="16"/>
                <w:lang w:eastAsia="zh-CN"/>
              </w:rPr>
              <w:t>截至</w:t>
            </w:r>
            <w:r>
              <w:rPr>
                <w:rFonts w:ascii="宋体" w:hAnsi="宋体" w:eastAsia="宋体"/>
                <w:sz w:val="16"/>
              </w:rPr>
              <w:t>2024年12月31日，本项目实际形成支出12万元，已完成对5位文物保护看护人员发放经费，对4.5平方公里的文化遗址进行保护8公里的铁丝保护围栏进行看护，为确保文物遗址不受到盗挖及人为破坏，经过调查，文物看护人员满意度达到100%。</w:t>
            </w:r>
          </w:p>
        </w:tc>
      </w:tr>
      <w:tr w14:paraId="39F8E4C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436E88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E672DE">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48EB95">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8FF8F4">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91476B">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84EE93">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1BEEA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1DD36A">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A3B0DC">
            <w:pPr>
              <w:jc w:val="center"/>
            </w:pPr>
            <w:r>
              <w:rPr>
                <w:rFonts w:ascii="宋体" w:hAnsi="宋体" w:eastAsia="宋体"/>
                <w:sz w:val="16"/>
              </w:rPr>
              <w:t>偏差原因分析及改进措施</w:t>
            </w:r>
          </w:p>
        </w:tc>
      </w:tr>
      <w:tr w14:paraId="21FECEA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F67429">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F61298">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4D05A5">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41D918">
            <w:pPr>
              <w:jc w:val="center"/>
            </w:pPr>
            <w:r>
              <w:rPr>
                <w:rFonts w:ascii="宋体" w:hAnsi="宋体" w:eastAsia="宋体"/>
                <w:sz w:val="16"/>
              </w:rPr>
              <w:t>文物看护人员人数（人）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EC7FAF">
            <w:pPr>
              <w:jc w:val="center"/>
            </w:pPr>
            <w:r>
              <w:rPr>
                <w:rFonts w:ascii="宋体" w:hAnsi="宋体" w:eastAsia="宋体"/>
                <w:sz w:val="16"/>
              </w:rPr>
              <w:t>≥5人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5B7E2B">
            <w:pPr>
              <w:jc w:val="center"/>
            </w:pPr>
            <w:r>
              <w:rPr>
                <w:rFonts w:ascii="宋体" w:hAnsi="宋体" w:eastAsia="宋体"/>
                <w:sz w:val="16"/>
              </w:rPr>
              <w:t>=5人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18B3A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0BAFE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119B48">
            <w:pPr>
              <w:jc w:val="center"/>
            </w:pPr>
          </w:p>
        </w:tc>
      </w:tr>
      <w:tr w14:paraId="0FC1401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433AB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78BA9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CAD5E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BEA077">
            <w:pPr>
              <w:jc w:val="center"/>
            </w:pPr>
            <w:r>
              <w:rPr>
                <w:rFonts w:ascii="宋体" w:hAnsi="宋体" w:eastAsia="宋体"/>
                <w:sz w:val="16"/>
              </w:rPr>
              <w:t>遗址保护范围（平方公里）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C86FDB">
            <w:pPr>
              <w:jc w:val="center"/>
            </w:pPr>
            <w:r>
              <w:rPr>
                <w:rFonts w:ascii="宋体" w:hAnsi="宋体" w:eastAsia="宋体"/>
                <w:sz w:val="16"/>
              </w:rPr>
              <w:t>≥4.50平方公里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8F26C9">
            <w:pPr>
              <w:jc w:val="center"/>
            </w:pPr>
            <w:r>
              <w:rPr>
                <w:rFonts w:ascii="宋体" w:hAnsi="宋体" w:eastAsia="宋体"/>
                <w:sz w:val="16"/>
              </w:rPr>
              <w:t>=4.5平方公里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DCBEC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28E14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458CF3">
            <w:pPr>
              <w:jc w:val="center"/>
            </w:pPr>
          </w:p>
        </w:tc>
      </w:tr>
      <w:tr w14:paraId="550F92A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776AB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5F46C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CE9F7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F34F73">
            <w:pPr>
              <w:jc w:val="center"/>
            </w:pPr>
            <w:r>
              <w:rPr>
                <w:rFonts w:ascii="宋体" w:hAnsi="宋体" w:eastAsia="宋体"/>
                <w:sz w:val="16"/>
              </w:rPr>
              <w:t>铁丝保护围栏长度（公里）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D2D3EF">
            <w:pPr>
              <w:jc w:val="center"/>
            </w:pPr>
            <w:r>
              <w:rPr>
                <w:rFonts w:ascii="宋体" w:hAnsi="宋体" w:eastAsia="宋体"/>
                <w:sz w:val="16"/>
              </w:rPr>
              <w:t>≥8公里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9939CB">
            <w:pPr>
              <w:jc w:val="center"/>
            </w:pPr>
            <w:r>
              <w:rPr>
                <w:rFonts w:ascii="宋体" w:hAnsi="宋体" w:eastAsia="宋体"/>
                <w:sz w:val="16"/>
              </w:rPr>
              <w:t>=8公里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DDFBF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07C28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0D594B">
            <w:pPr>
              <w:jc w:val="center"/>
            </w:pPr>
          </w:p>
        </w:tc>
      </w:tr>
      <w:tr w14:paraId="1E48894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8ADCE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5883F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2A4F8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5A6F77">
            <w:pPr>
              <w:jc w:val="center"/>
            </w:pPr>
            <w:r>
              <w:rPr>
                <w:rFonts w:ascii="宋体" w:hAnsi="宋体" w:eastAsia="宋体"/>
                <w:sz w:val="16"/>
              </w:rPr>
              <w:t>每天巡查次数（次）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E80622">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36EF6F">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D8259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D0C09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F79C54">
            <w:pPr>
              <w:jc w:val="center"/>
            </w:pPr>
          </w:p>
        </w:tc>
      </w:tr>
      <w:tr w14:paraId="7762BCB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44BCA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7AF87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5C9FF4">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A5377F">
            <w:pPr>
              <w:jc w:val="center"/>
            </w:pPr>
            <w:r>
              <w:rPr>
                <w:rFonts w:ascii="宋体" w:hAnsi="宋体" w:eastAsia="宋体"/>
                <w:sz w:val="16"/>
              </w:rPr>
              <w:t>人员考核合格率（%）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70B8CB">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4B6EB9">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1D991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CD7CC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20C166">
            <w:pPr>
              <w:jc w:val="center"/>
            </w:pPr>
          </w:p>
        </w:tc>
      </w:tr>
      <w:tr w14:paraId="4D863FB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1453F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9284A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6F1A2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8A9B4F">
            <w:pPr>
              <w:jc w:val="center"/>
            </w:pPr>
            <w:r>
              <w:rPr>
                <w:rFonts w:ascii="宋体" w:hAnsi="宋体" w:eastAsia="宋体"/>
                <w:sz w:val="16"/>
              </w:rPr>
              <w:t>补助发放完成率（%）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C4C977">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85D005">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B0BB4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2E06A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ECBEAA">
            <w:pPr>
              <w:jc w:val="center"/>
            </w:pPr>
          </w:p>
        </w:tc>
      </w:tr>
      <w:tr w14:paraId="7745B9C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AD01A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6D22E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FFD4ED">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24872B">
            <w:pPr>
              <w:jc w:val="center"/>
            </w:pPr>
            <w:r>
              <w:rPr>
                <w:rFonts w:ascii="宋体" w:hAnsi="宋体" w:eastAsia="宋体"/>
                <w:sz w:val="16"/>
              </w:rPr>
              <w:t>巡查工作完成及时率（%）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C1F02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52DD6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34649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D1557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3A6B57">
            <w:pPr>
              <w:jc w:val="center"/>
            </w:pPr>
          </w:p>
        </w:tc>
      </w:tr>
      <w:tr w14:paraId="625BE4C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DDF5B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7C809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004DA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0BB71C">
            <w:pPr>
              <w:jc w:val="center"/>
            </w:pPr>
            <w:r>
              <w:rPr>
                <w:rFonts w:ascii="宋体" w:hAnsi="宋体" w:eastAsia="宋体"/>
                <w:sz w:val="16"/>
              </w:rPr>
              <w:t>补助发放完成时间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B6CEA2">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AFAA4A">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F58CF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E47AE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9BC407">
            <w:pPr>
              <w:jc w:val="center"/>
            </w:pPr>
          </w:p>
        </w:tc>
      </w:tr>
      <w:tr w14:paraId="7D30058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A0C75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A10E5D">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636C50">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18AF21">
            <w:pPr>
              <w:jc w:val="center"/>
            </w:pPr>
            <w:r>
              <w:rPr>
                <w:rFonts w:ascii="宋体" w:hAnsi="宋体" w:eastAsia="宋体"/>
                <w:sz w:val="16"/>
              </w:rPr>
              <w:t>文物看护人员工资（人/月/元）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7304E3">
            <w:pPr>
              <w:jc w:val="center"/>
            </w:pPr>
            <w:r>
              <w:rPr>
                <w:rFonts w:ascii="宋体" w:hAnsi="宋体" w:eastAsia="宋体"/>
                <w:sz w:val="16"/>
              </w:rPr>
              <w:t>≤2020元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AFEBEC">
            <w:pPr>
              <w:jc w:val="center"/>
            </w:pPr>
            <w:r>
              <w:rPr>
                <w:rFonts w:ascii="宋体" w:hAnsi="宋体" w:eastAsia="宋体"/>
                <w:sz w:val="16"/>
              </w:rPr>
              <w:t>=2000元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AC3F0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87861D">
            <w:pPr>
              <w:jc w:val="center"/>
            </w:pPr>
            <w:r>
              <w:rPr>
                <w:rFonts w:ascii="宋体" w:hAnsi="宋体" w:eastAsia="宋体"/>
                <w:sz w:val="16"/>
              </w:rPr>
              <w:t>19.51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F43D48">
            <w:pPr>
              <w:jc w:val="center"/>
            </w:pPr>
            <w:r>
              <w:rPr>
                <w:rFonts w:ascii="宋体" w:hAnsi="宋体" w:eastAsia="宋体"/>
                <w:sz w:val="16"/>
              </w:rPr>
              <w:t>偏差原因：按照自治区印发《新疆维吾尔自治区野外看护人员管理办法（试行）》的通知（新文旅发</w:t>
            </w:r>
            <w:r>
              <w:rPr>
                <w:rFonts w:hint="eastAsia" w:ascii="宋体" w:hAnsi="宋体"/>
                <w:sz w:val="16"/>
                <w:lang w:eastAsia="zh-CN"/>
              </w:rPr>
              <w:t>〔2021〕51号</w:t>
            </w:r>
            <w:r>
              <w:rPr>
                <w:rFonts w:ascii="宋体" w:hAnsi="宋体" w:eastAsia="宋体"/>
                <w:sz w:val="16"/>
              </w:rPr>
              <w:t>）第十九条要求，野外看护人员发放标准为每人每月2000元整，不得超额发放。改进措施：根据文件要求合理开展。</w:t>
            </w:r>
          </w:p>
        </w:tc>
      </w:tr>
      <w:tr w14:paraId="4DDB7B5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38542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026FCD">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D73110">
            <w:pPr>
              <w:jc w:val="center"/>
            </w:pPr>
            <w:r>
              <w:rPr>
                <w:rFonts w:ascii="宋体" w:hAnsi="宋体" w:eastAsia="宋体"/>
                <w:sz w:val="16"/>
              </w:rPr>
              <w:t>经济效益指标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89C9E4">
            <w:pPr>
              <w:jc w:val="center"/>
            </w:pPr>
            <w:r>
              <w:rPr>
                <w:rFonts w:ascii="宋体" w:hAnsi="宋体" w:eastAsia="宋体"/>
                <w:sz w:val="16"/>
              </w:rPr>
              <w:t>看护人员增收（万元/人/年）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65EC8F">
            <w:pPr>
              <w:jc w:val="center"/>
            </w:pPr>
            <w:r>
              <w:rPr>
                <w:rFonts w:ascii="宋体" w:hAnsi="宋体" w:eastAsia="宋体"/>
                <w:sz w:val="16"/>
              </w:rPr>
              <w:t>≥2.42万元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C93CD9">
            <w:pPr>
              <w:jc w:val="center"/>
            </w:pPr>
            <w:r>
              <w:rPr>
                <w:rFonts w:ascii="宋体" w:hAnsi="宋体" w:eastAsia="宋体"/>
                <w:sz w:val="16"/>
              </w:rPr>
              <w:t>=2.4万元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4F85D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1ABB77">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47921D">
            <w:pPr>
              <w:jc w:val="center"/>
            </w:pPr>
            <w:r>
              <w:rPr>
                <w:rFonts w:ascii="宋体" w:hAnsi="宋体" w:eastAsia="宋体"/>
                <w:sz w:val="16"/>
              </w:rPr>
              <w:t>偏差原因：按照自治区印发《新疆维吾尔自治区野外看护人员管理办法（试行）》的通知（新文旅发</w:t>
            </w:r>
            <w:r>
              <w:rPr>
                <w:rFonts w:hint="eastAsia" w:ascii="宋体" w:hAnsi="宋体"/>
                <w:sz w:val="16"/>
                <w:lang w:eastAsia="zh-CN"/>
              </w:rPr>
              <w:t>〔2021〕51号</w:t>
            </w:r>
            <w:r>
              <w:rPr>
                <w:rFonts w:ascii="宋体" w:hAnsi="宋体" w:eastAsia="宋体"/>
                <w:sz w:val="16"/>
              </w:rPr>
              <w:t>）第十九条要求，野外看护人员发放标准为每人每月2000元整，每人每年收入为2.4万元。改进措施：根据文件要求合理开展。</w:t>
            </w:r>
          </w:p>
        </w:tc>
      </w:tr>
      <w:tr w14:paraId="434263A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5D8A2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3BB5C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8B0E82">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079A4C">
            <w:pPr>
              <w:jc w:val="center"/>
            </w:pPr>
            <w:r>
              <w:rPr>
                <w:rFonts w:ascii="宋体" w:hAnsi="宋体" w:eastAsia="宋体"/>
                <w:sz w:val="16"/>
              </w:rPr>
              <w:t>文物保护工作业务保障情况</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9F2AC8">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6F0825">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44B88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175DB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8DB6B2">
            <w:pPr>
              <w:jc w:val="center"/>
            </w:pPr>
          </w:p>
        </w:tc>
      </w:tr>
      <w:tr w14:paraId="4E756C6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2D334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0B839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9F70F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8416B6">
            <w:pPr>
              <w:jc w:val="center"/>
            </w:pPr>
            <w:r>
              <w:rPr>
                <w:rFonts w:ascii="宋体" w:hAnsi="宋体" w:eastAsia="宋体"/>
                <w:sz w:val="16"/>
              </w:rPr>
              <w:t>改善看护人员生活水平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9C448C">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4349B3">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0474B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D9316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5F5F8B">
            <w:pPr>
              <w:jc w:val="center"/>
            </w:pPr>
          </w:p>
        </w:tc>
      </w:tr>
      <w:tr w14:paraId="7FAE096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0B59F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05F43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0F7AC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479140">
            <w:pPr>
              <w:jc w:val="center"/>
            </w:pPr>
            <w:r>
              <w:rPr>
                <w:rFonts w:ascii="宋体" w:hAnsi="宋体" w:eastAsia="宋体"/>
                <w:sz w:val="16"/>
              </w:rPr>
              <w:t>文物看护人员满意度（%）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B87486">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41804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41204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E6B23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6526FC">
            <w:pPr>
              <w:jc w:val="center"/>
            </w:pPr>
          </w:p>
        </w:tc>
      </w:tr>
      <w:tr w14:paraId="61AE121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16C844">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55DCD6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3B5084">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9730F2A">
            <w:pPr>
              <w:jc w:val="center"/>
            </w:pPr>
            <w:r>
              <w:rPr>
                <w:rFonts w:ascii="宋体" w:hAnsi="宋体" w:eastAsia="宋体"/>
                <w:sz w:val="16"/>
              </w:rPr>
              <w:t>99.06分</w:t>
            </w:r>
          </w:p>
        </w:tc>
      </w:tr>
    </w:tbl>
    <w:p w14:paraId="36AC1F05">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1234"/>
        <w:gridCol w:w="920"/>
        <w:gridCol w:w="795"/>
        <w:gridCol w:w="983"/>
        <w:gridCol w:w="983"/>
        <w:gridCol w:w="983"/>
      </w:tblGrid>
      <w:tr w14:paraId="5E55F931">
        <w:tblPrEx>
          <w:tblCellMar>
            <w:top w:w="0" w:type="dxa"/>
            <w:left w:w="108" w:type="dxa"/>
            <w:bottom w:w="0" w:type="dxa"/>
            <w:right w:w="108" w:type="dxa"/>
          </w:tblCellMar>
        </w:tblPrEx>
        <w:tc>
          <w:tcPr>
            <w:tcW w:w="8847" w:type="dxa"/>
            <w:gridSpan w:val="9"/>
            <w:vAlign w:val="center"/>
          </w:tcPr>
          <w:p w14:paraId="7B99C3D6">
            <w:pPr>
              <w:jc w:val="center"/>
            </w:pPr>
            <w:r>
              <w:rPr>
                <w:rFonts w:ascii="宋体" w:hAnsi="宋体" w:eastAsia="宋体"/>
                <w:sz w:val="24"/>
              </w:rPr>
              <w:t>项目支出绩效自评表</w:t>
            </w:r>
          </w:p>
        </w:tc>
      </w:tr>
      <w:tr w14:paraId="3BEA1DC2">
        <w:tblPrEx>
          <w:tblCellMar>
            <w:top w:w="0" w:type="dxa"/>
            <w:left w:w="108" w:type="dxa"/>
            <w:bottom w:w="0" w:type="dxa"/>
            <w:right w:w="108" w:type="dxa"/>
          </w:tblCellMar>
        </w:tblPrEx>
        <w:tc>
          <w:tcPr>
            <w:tcW w:w="8847" w:type="dxa"/>
            <w:gridSpan w:val="9"/>
            <w:vAlign w:val="center"/>
          </w:tcPr>
          <w:p w14:paraId="15C0020F">
            <w:pPr>
              <w:jc w:val="center"/>
            </w:pPr>
            <w:r>
              <w:rPr>
                <w:rFonts w:ascii="宋体" w:hAnsi="宋体" w:eastAsia="宋体"/>
                <w:sz w:val="24"/>
              </w:rPr>
              <w:t>(2024年度)</w:t>
            </w:r>
          </w:p>
        </w:tc>
      </w:tr>
      <w:tr w14:paraId="1A03B78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D2FB06">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42AAE70">
            <w:pPr>
              <w:jc w:val="center"/>
            </w:pPr>
            <w:r>
              <w:rPr>
                <w:rFonts w:ascii="宋体" w:hAnsi="宋体" w:eastAsia="宋体"/>
                <w:sz w:val="16"/>
              </w:rPr>
              <w:t>三馆一院取暖项目</w:t>
            </w:r>
          </w:p>
        </w:tc>
      </w:tr>
      <w:tr w14:paraId="7BFC287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688FEA">
            <w:pPr>
              <w:jc w:val="center"/>
            </w:pPr>
            <w:r>
              <w:rPr>
                <w:rFonts w:ascii="宋体" w:hAnsi="宋体" w:eastAsia="宋体"/>
                <w:sz w:val="16"/>
              </w:rPr>
              <w:t>主管部门</w:t>
            </w:r>
          </w:p>
        </w:tc>
        <w:tc>
          <w:tcPr>
            <w:tcW w:w="320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D354856">
            <w:pPr>
              <w:jc w:val="center"/>
            </w:pPr>
            <w:r>
              <w:rPr>
                <w:rFonts w:ascii="宋体" w:hAnsi="宋体" w:eastAsia="宋体"/>
                <w:sz w:val="16"/>
              </w:rPr>
              <w:t>和田地区博物馆</w:t>
            </w:r>
          </w:p>
        </w:tc>
        <w:tc>
          <w:tcPr>
            <w:tcW w:w="920" w:type="dxa"/>
            <w:tcBorders>
              <w:top w:val="single" w:color="auto" w:sz="10" w:space="0"/>
              <w:left w:val="single" w:color="auto" w:sz="10" w:space="0"/>
              <w:bottom w:val="single" w:color="auto" w:sz="10" w:space="0"/>
              <w:right w:val="single" w:color="auto" w:sz="10" w:space="0"/>
              <w:insideV w:val="single" w:sz="10" w:space="0"/>
            </w:tcBorders>
            <w:vAlign w:val="center"/>
          </w:tcPr>
          <w:p w14:paraId="7744D134">
            <w:pPr>
              <w:jc w:val="center"/>
            </w:pPr>
            <w:r>
              <w:rPr>
                <w:rFonts w:ascii="宋体" w:hAnsi="宋体" w:eastAsia="宋体"/>
                <w:sz w:val="16"/>
              </w:rPr>
              <w:t>实施单位</w:t>
            </w:r>
          </w:p>
        </w:tc>
        <w:tc>
          <w:tcPr>
            <w:tcW w:w="374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F9B6189">
            <w:pPr>
              <w:jc w:val="center"/>
            </w:pPr>
            <w:r>
              <w:rPr>
                <w:rFonts w:ascii="宋体" w:hAnsi="宋体" w:eastAsia="宋体"/>
                <w:sz w:val="16"/>
              </w:rPr>
              <w:t>和田地区博物馆</w:t>
            </w:r>
          </w:p>
        </w:tc>
      </w:tr>
      <w:tr w14:paraId="28DF462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C6D0D5">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2CA00">
            <w:pPr>
              <w:jc w:val="center"/>
            </w:pPr>
          </w:p>
        </w:tc>
        <w:tc>
          <w:tcPr>
            <w:tcW w:w="1234" w:type="dxa"/>
            <w:tcBorders>
              <w:top w:val="single" w:color="auto" w:sz="10" w:space="0"/>
              <w:left w:val="single" w:color="auto" w:sz="10" w:space="0"/>
              <w:bottom w:val="single" w:color="auto" w:sz="10" w:space="0"/>
              <w:right w:val="single" w:color="auto" w:sz="10" w:space="0"/>
              <w:insideV w:val="single" w:sz="10" w:space="0"/>
            </w:tcBorders>
            <w:vAlign w:val="center"/>
          </w:tcPr>
          <w:p w14:paraId="5291D546">
            <w:pPr>
              <w:jc w:val="center"/>
            </w:pPr>
            <w:r>
              <w:rPr>
                <w:rFonts w:ascii="宋体" w:hAnsi="宋体" w:eastAsia="宋体"/>
                <w:sz w:val="16"/>
              </w:rPr>
              <w:t>年初预算数</w:t>
            </w:r>
          </w:p>
        </w:tc>
        <w:tc>
          <w:tcPr>
            <w:tcW w:w="920" w:type="dxa"/>
            <w:tcBorders>
              <w:top w:val="single" w:color="auto" w:sz="10" w:space="0"/>
              <w:left w:val="single" w:color="auto" w:sz="10" w:space="0"/>
              <w:bottom w:val="single" w:color="auto" w:sz="10" w:space="0"/>
              <w:right w:val="single" w:color="auto" w:sz="10" w:space="0"/>
              <w:insideV w:val="single" w:sz="10" w:space="0"/>
            </w:tcBorders>
            <w:vAlign w:val="center"/>
          </w:tcPr>
          <w:p w14:paraId="75A9AF79">
            <w:pPr>
              <w:jc w:val="center"/>
            </w:pPr>
            <w:r>
              <w:rPr>
                <w:rFonts w:ascii="宋体" w:hAnsi="宋体" w:eastAsia="宋体"/>
                <w:sz w:val="16"/>
              </w:rPr>
              <w:t>全年预算数</w:t>
            </w:r>
          </w:p>
        </w:tc>
        <w:tc>
          <w:tcPr>
            <w:tcW w:w="795" w:type="dxa"/>
            <w:tcBorders>
              <w:top w:val="single" w:color="auto" w:sz="10" w:space="0"/>
              <w:left w:val="single" w:color="auto" w:sz="10" w:space="0"/>
              <w:bottom w:val="single" w:color="auto" w:sz="10" w:space="0"/>
              <w:right w:val="single" w:color="auto" w:sz="10" w:space="0"/>
              <w:insideV w:val="single" w:sz="10" w:space="0"/>
            </w:tcBorders>
            <w:vAlign w:val="center"/>
          </w:tcPr>
          <w:p w14:paraId="3903E888">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3BD18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7D366A">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648EC6">
            <w:pPr>
              <w:jc w:val="center"/>
            </w:pPr>
            <w:r>
              <w:rPr>
                <w:rFonts w:ascii="宋体" w:hAnsi="宋体" w:eastAsia="宋体"/>
                <w:sz w:val="16"/>
              </w:rPr>
              <w:t>得分</w:t>
            </w:r>
          </w:p>
        </w:tc>
      </w:tr>
      <w:tr w14:paraId="1A8A638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CF7FB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4E7257">
            <w:pPr>
              <w:jc w:val="center"/>
            </w:pPr>
            <w:r>
              <w:rPr>
                <w:rFonts w:ascii="宋体" w:hAnsi="宋体" w:eastAsia="宋体"/>
                <w:sz w:val="16"/>
              </w:rPr>
              <w:t>年度资金总额</w:t>
            </w:r>
          </w:p>
        </w:tc>
        <w:tc>
          <w:tcPr>
            <w:tcW w:w="1234" w:type="dxa"/>
            <w:tcBorders>
              <w:top w:val="single" w:color="auto" w:sz="10" w:space="0"/>
              <w:left w:val="single" w:color="auto" w:sz="10" w:space="0"/>
              <w:bottom w:val="single" w:color="auto" w:sz="10" w:space="0"/>
              <w:right w:val="single" w:color="auto" w:sz="10" w:space="0"/>
              <w:insideV w:val="single" w:sz="10" w:space="0"/>
            </w:tcBorders>
            <w:vAlign w:val="center"/>
          </w:tcPr>
          <w:p w14:paraId="3244EB13">
            <w:pPr>
              <w:jc w:val="center"/>
            </w:pPr>
            <w:r>
              <w:rPr>
                <w:rFonts w:ascii="宋体" w:hAnsi="宋体" w:eastAsia="宋体"/>
                <w:sz w:val="16"/>
              </w:rPr>
              <w:t>60.00</w:t>
            </w:r>
          </w:p>
        </w:tc>
        <w:tc>
          <w:tcPr>
            <w:tcW w:w="920" w:type="dxa"/>
            <w:tcBorders>
              <w:top w:val="single" w:color="auto" w:sz="10" w:space="0"/>
              <w:left w:val="single" w:color="auto" w:sz="10" w:space="0"/>
              <w:bottom w:val="single" w:color="auto" w:sz="10" w:space="0"/>
              <w:right w:val="single" w:color="auto" w:sz="10" w:space="0"/>
              <w:insideV w:val="single" w:sz="10" w:space="0"/>
            </w:tcBorders>
            <w:vAlign w:val="center"/>
          </w:tcPr>
          <w:p w14:paraId="745D46E7">
            <w:pPr>
              <w:jc w:val="center"/>
            </w:pPr>
            <w:r>
              <w:rPr>
                <w:rFonts w:ascii="宋体" w:hAnsi="宋体" w:eastAsia="宋体"/>
                <w:sz w:val="16"/>
              </w:rPr>
              <w:t>60.00</w:t>
            </w:r>
          </w:p>
        </w:tc>
        <w:tc>
          <w:tcPr>
            <w:tcW w:w="795" w:type="dxa"/>
            <w:tcBorders>
              <w:top w:val="single" w:color="auto" w:sz="10" w:space="0"/>
              <w:left w:val="single" w:color="auto" w:sz="10" w:space="0"/>
              <w:bottom w:val="single" w:color="auto" w:sz="10" w:space="0"/>
              <w:right w:val="single" w:color="auto" w:sz="10" w:space="0"/>
              <w:insideV w:val="single" w:sz="10" w:space="0"/>
            </w:tcBorders>
            <w:vAlign w:val="center"/>
          </w:tcPr>
          <w:p w14:paraId="2639EF85">
            <w:pPr>
              <w:jc w:val="center"/>
            </w:pPr>
            <w:r>
              <w:rPr>
                <w:rFonts w:ascii="宋体" w:hAnsi="宋体" w:eastAsia="宋体"/>
                <w:sz w:val="16"/>
              </w:rPr>
              <w:t>59.99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7CC2B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957994">
            <w:pPr>
              <w:jc w:val="center"/>
            </w:pPr>
            <w:r>
              <w:rPr>
                <w:rFonts w:ascii="宋体" w:hAnsi="宋体" w:eastAsia="宋体"/>
                <w:sz w:val="16"/>
              </w:rPr>
              <w:t xml:space="preserve">99.98%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C11EC2">
            <w:pPr>
              <w:jc w:val="center"/>
            </w:pPr>
            <w:r>
              <w:rPr>
                <w:rFonts w:ascii="宋体" w:hAnsi="宋体" w:eastAsia="宋体"/>
                <w:sz w:val="16"/>
              </w:rPr>
              <w:t>10.00分</w:t>
            </w:r>
          </w:p>
        </w:tc>
      </w:tr>
      <w:tr w14:paraId="6E91633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EAB4D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4EBD3A">
            <w:pPr>
              <w:jc w:val="center"/>
            </w:pPr>
            <w:r>
              <w:rPr>
                <w:rFonts w:ascii="宋体" w:hAnsi="宋体" w:eastAsia="宋体"/>
                <w:sz w:val="16"/>
              </w:rPr>
              <w:t>其中：当年财政拨款</w:t>
            </w:r>
          </w:p>
        </w:tc>
        <w:tc>
          <w:tcPr>
            <w:tcW w:w="1234" w:type="dxa"/>
            <w:tcBorders>
              <w:top w:val="single" w:color="auto" w:sz="10" w:space="0"/>
              <w:left w:val="single" w:color="auto" w:sz="10" w:space="0"/>
              <w:bottom w:val="single" w:color="auto" w:sz="10" w:space="0"/>
              <w:right w:val="single" w:color="auto" w:sz="10" w:space="0"/>
              <w:insideV w:val="single" w:sz="10" w:space="0"/>
            </w:tcBorders>
            <w:vAlign w:val="center"/>
          </w:tcPr>
          <w:p w14:paraId="403CBBDA">
            <w:pPr>
              <w:jc w:val="center"/>
            </w:pPr>
            <w:r>
              <w:rPr>
                <w:rFonts w:ascii="宋体" w:hAnsi="宋体" w:eastAsia="宋体"/>
                <w:sz w:val="16"/>
              </w:rPr>
              <w:t>60.00</w:t>
            </w:r>
          </w:p>
        </w:tc>
        <w:tc>
          <w:tcPr>
            <w:tcW w:w="920" w:type="dxa"/>
            <w:tcBorders>
              <w:top w:val="single" w:color="auto" w:sz="10" w:space="0"/>
              <w:left w:val="single" w:color="auto" w:sz="10" w:space="0"/>
              <w:bottom w:val="single" w:color="auto" w:sz="10" w:space="0"/>
              <w:right w:val="single" w:color="auto" w:sz="10" w:space="0"/>
              <w:insideV w:val="single" w:sz="10" w:space="0"/>
            </w:tcBorders>
            <w:vAlign w:val="center"/>
          </w:tcPr>
          <w:p w14:paraId="012C606E">
            <w:pPr>
              <w:jc w:val="center"/>
            </w:pPr>
            <w:r>
              <w:rPr>
                <w:rFonts w:ascii="宋体" w:hAnsi="宋体" w:eastAsia="宋体"/>
                <w:sz w:val="16"/>
              </w:rPr>
              <w:t>60.00</w:t>
            </w:r>
          </w:p>
        </w:tc>
        <w:tc>
          <w:tcPr>
            <w:tcW w:w="795" w:type="dxa"/>
            <w:tcBorders>
              <w:top w:val="single" w:color="auto" w:sz="10" w:space="0"/>
              <w:left w:val="single" w:color="auto" w:sz="10" w:space="0"/>
              <w:bottom w:val="single" w:color="auto" w:sz="10" w:space="0"/>
              <w:right w:val="single" w:color="auto" w:sz="10" w:space="0"/>
              <w:insideV w:val="single" w:sz="10" w:space="0"/>
            </w:tcBorders>
            <w:vAlign w:val="center"/>
          </w:tcPr>
          <w:p w14:paraId="39D41EF2">
            <w:pPr>
              <w:jc w:val="center"/>
            </w:pPr>
            <w:r>
              <w:rPr>
                <w:rFonts w:ascii="宋体" w:hAnsi="宋体" w:eastAsia="宋体"/>
                <w:sz w:val="16"/>
              </w:rPr>
              <w:t>59.99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1F4D8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1EECF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9A615C">
            <w:pPr>
              <w:jc w:val="center"/>
            </w:pPr>
            <w:r>
              <w:rPr>
                <w:rFonts w:ascii="宋体" w:hAnsi="宋体" w:eastAsia="宋体"/>
                <w:sz w:val="16"/>
              </w:rPr>
              <w:t>—</w:t>
            </w:r>
          </w:p>
        </w:tc>
      </w:tr>
      <w:tr w14:paraId="0C8DA47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DEDE0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F8B1FC">
            <w:pPr>
              <w:jc w:val="center"/>
            </w:pPr>
            <w:r>
              <w:rPr>
                <w:rFonts w:ascii="宋体" w:hAnsi="宋体" w:eastAsia="宋体"/>
                <w:sz w:val="16"/>
              </w:rPr>
              <w:t xml:space="preserve">      上年结转资金</w:t>
            </w:r>
          </w:p>
        </w:tc>
        <w:tc>
          <w:tcPr>
            <w:tcW w:w="1234" w:type="dxa"/>
            <w:tcBorders>
              <w:top w:val="single" w:color="auto" w:sz="10" w:space="0"/>
              <w:left w:val="single" w:color="auto" w:sz="10" w:space="0"/>
              <w:bottom w:val="single" w:color="auto" w:sz="10" w:space="0"/>
              <w:right w:val="single" w:color="auto" w:sz="10" w:space="0"/>
              <w:insideV w:val="single" w:sz="10" w:space="0"/>
            </w:tcBorders>
            <w:vAlign w:val="center"/>
          </w:tcPr>
          <w:p w14:paraId="57FA3B17">
            <w:pPr>
              <w:jc w:val="center"/>
            </w:pPr>
            <w:r>
              <w:rPr>
                <w:rFonts w:ascii="宋体" w:hAnsi="宋体" w:eastAsia="宋体"/>
                <w:sz w:val="16"/>
              </w:rPr>
              <w:t>0.00</w:t>
            </w:r>
          </w:p>
        </w:tc>
        <w:tc>
          <w:tcPr>
            <w:tcW w:w="920" w:type="dxa"/>
            <w:tcBorders>
              <w:top w:val="single" w:color="auto" w:sz="10" w:space="0"/>
              <w:left w:val="single" w:color="auto" w:sz="10" w:space="0"/>
              <w:bottom w:val="single" w:color="auto" w:sz="10" w:space="0"/>
              <w:right w:val="single" w:color="auto" w:sz="10" w:space="0"/>
              <w:insideV w:val="single" w:sz="10" w:space="0"/>
            </w:tcBorders>
            <w:vAlign w:val="center"/>
          </w:tcPr>
          <w:p w14:paraId="498FB853">
            <w:pPr>
              <w:jc w:val="center"/>
            </w:pPr>
            <w:r>
              <w:rPr>
                <w:rFonts w:ascii="宋体" w:hAnsi="宋体" w:eastAsia="宋体"/>
                <w:sz w:val="16"/>
              </w:rPr>
              <w:t>0.00</w:t>
            </w:r>
          </w:p>
        </w:tc>
        <w:tc>
          <w:tcPr>
            <w:tcW w:w="795" w:type="dxa"/>
            <w:tcBorders>
              <w:top w:val="single" w:color="auto" w:sz="10" w:space="0"/>
              <w:left w:val="single" w:color="auto" w:sz="10" w:space="0"/>
              <w:bottom w:val="single" w:color="auto" w:sz="10" w:space="0"/>
              <w:right w:val="single" w:color="auto" w:sz="10" w:space="0"/>
              <w:insideV w:val="single" w:sz="10" w:space="0"/>
            </w:tcBorders>
            <w:vAlign w:val="center"/>
          </w:tcPr>
          <w:p w14:paraId="0B773E0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BE0D4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614E3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DE6AAE">
            <w:pPr>
              <w:jc w:val="center"/>
            </w:pPr>
            <w:r>
              <w:rPr>
                <w:rFonts w:ascii="宋体" w:hAnsi="宋体" w:eastAsia="宋体"/>
                <w:sz w:val="16"/>
              </w:rPr>
              <w:t>—</w:t>
            </w:r>
          </w:p>
        </w:tc>
      </w:tr>
      <w:tr w14:paraId="2DF9B51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F5D8F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44E101">
            <w:pPr>
              <w:jc w:val="center"/>
            </w:pPr>
            <w:r>
              <w:rPr>
                <w:rFonts w:ascii="宋体" w:hAnsi="宋体" w:eastAsia="宋体"/>
                <w:sz w:val="16"/>
              </w:rPr>
              <w:t xml:space="preserve">  其他资金</w:t>
            </w:r>
          </w:p>
        </w:tc>
        <w:tc>
          <w:tcPr>
            <w:tcW w:w="1234" w:type="dxa"/>
            <w:tcBorders>
              <w:top w:val="single" w:color="auto" w:sz="10" w:space="0"/>
              <w:left w:val="single" w:color="auto" w:sz="10" w:space="0"/>
              <w:bottom w:val="single" w:color="auto" w:sz="10" w:space="0"/>
              <w:right w:val="single" w:color="auto" w:sz="10" w:space="0"/>
              <w:insideV w:val="single" w:sz="10" w:space="0"/>
            </w:tcBorders>
            <w:vAlign w:val="center"/>
          </w:tcPr>
          <w:p w14:paraId="5AC6678F">
            <w:pPr>
              <w:jc w:val="center"/>
            </w:pPr>
            <w:r>
              <w:rPr>
                <w:rFonts w:ascii="宋体" w:hAnsi="宋体" w:eastAsia="宋体"/>
                <w:sz w:val="16"/>
              </w:rPr>
              <w:t>0.00</w:t>
            </w:r>
          </w:p>
        </w:tc>
        <w:tc>
          <w:tcPr>
            <w:tcW w:w="920" w:type="dxa"/>
            <w:tcBorders>
              <w:top w:val="single" w:color="auto" w:sz="10" w:space="0"/>
              <w:left w:val="single" w:color="auto" w:sz="10" w:space="0"/>
              <w:bottom w:val="single" w:color="auto" w:sz="10" w:space="0"/>
              <w:right w:val="single" w:color="auto" w:sz="10" w:space="0"/>
              <w:insideV w:val="single" w:sz="10" w:space="0"/>
            </w:tcBorders>
            <w:vAlign w:val="center"/>
          </w:tcPr>
          <w:p w14:paraId="53653CA7">
            <w:pPr>
              <w:jc w:val="center"/>
            </w:pPr>
            <w:r>
              <w:rPr>
                <w:rFonts w:ascii="宋体" w:hAnsi="宋体" w:eastAsia="宋体"/>
                <w:sz w:val="16"/>
              </w:rPr>
              <w:t>0.00</w:t>
            </w:r>
          </w:p>
        </w:tc>
        <w:tc>
          <w:tcPr>
            <w:tcW w:w="795" w:type="dxa"/>
            <w:tcBorders>
              <w:top w:val="single" w:color="auto" w:sz="10" w:space="0"/>
              <w:left w:val="single" w:color="auto" w:sz="10" w:space="0"/>
              <w:bottom w:val="single" w:color="auto" w:sz="10" w:space="0"/>
              <w:right w:val="single" w:color="auto" w:sz="10" w:space="0"/>
              <w:insideV w:val="single" w:sz="10" w:space="0"/>
            </w:tcBorders>
            <w:vAlign w:val="center"/>
          </w:tcPr>
          <w:p w14:paraId="44CA843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2EB5E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C8C48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F0E2A7">
            <w:pPr>
              <w:jc w:val="center"/>
            </w:pPr>
            <w:r>
              <w:rPr>
                <w:rFonts w:ascii="宋体" w:hAnsi="宋体" w:eastAsia="宋体"/>
                <w:sz w:val="16"/>
              </w:rPr>
              <w:t>—</w:t>
            </w:r>
          </w:p>
        </w:tc>
      </w:tr>
      <w:tr w14:paraId="42F571F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A9D219">
            <w:pPr>
              <w:jc w:val="center"/>
            </w:pPr>
            <w:r>
              <w:rPr>
                <w:rFonts w:ascii="宋体" w:hAnsi="宋体" w:eastAsia="宋体"/>
                <w:sz w:val="16"/>
              </w:rPr>
              <w:t>年度总体目标</w:t>
            </w:r>
          </w:p>
        </w:tc>
        <w:tc>
          <w:tcPr>
            <w:tcW w:w="320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6529B1B">
            <w:pPr>
              <w:jc w:val="center"/>
            </w:pPr>
            <w:r>
              <w:rPr>
                <w:rFonts w:ascii="宋体" w:hAnsi="宋体" w:eastAsia="宋体"/>
                <w:sz w:val="16"/>
              </w:rPr>
              <w:t>预期目标</w:t>
            </w:r>
          </w:p>
        </w:tc>
        <w:tc>
          <w:tcPr>
            <w:tcW w:w="466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2BDBF6C">
            <w:pPr>
              <w:jc w:val="center"/>
            </w:pPr>
            <w:r>
              <w:rPr>
                <w:rFonts w:ascii="宋体" w:hAnsi="宋体" w:eastAsia="宋体"/>
                <w:sz w:val="16"/>
              </w:rPr>
              <w:t>实际完成情况</w:t>
            </w:r>
          </w:p>
        </w:tc>
      </w:tr>
      <w:tr w14:paraId="6A968F8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78908A"/>
        </w:tc>
        <w:tc>
          <w:tcPr>
            <w:tcW w:w="320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1F41502">
            <w:pPr>
              <w:jc w:val="both"/>
            </w:pPr>
            <w:r>
              <w:rPr>
                <w:rFonts w:ascii="宋体" w:hAnsi="宋体" w:eastAsia="宋体"/>
                <w:sz w:val="16"/>
              </w:rPr>
              <w:t>本项目主要实施内容为：冬季保障取暖单位4个，三馆一院取暖面积39937平方米，项目总投资为60万元，项目计划于2024年12月完成。通过本项目的实施，可保障三馆一院冬季取得暖气，待项目实施完成，争取使受益人群满意度不低于95%。</w:t>
            </w:r>
          </w:p>
        </w:tc>
        <w:tc>
          <w:tcPr>
            <w:tcW w:w="466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2A63E55">
            <w:pPr>
              <w:jc w:val="both"/>
            </w:pPr>
            <w:r>
              <w:rPr>
                <w:rFonts w:hint="eastAsia" w:ascii="宋体" w:hAnsi="宋体"/>
                <w:sz w:val="16"/>
                <w:lang w:eastAsia="zh-CN"/>
              </w:rPr>
              <w:t>截至</w:t>
            </w:r>
            <w:r>
              <w:rPr>
                <w:rFonts w:ascii="宋体" w:hAnsi="宋体" w:eastAsia="宋体"/>
                <w:sz w:val="16"/>
              </w:rPr>
              <w:t>2024年12月31日，本项目实际形成支出59.99万元，已完成冬季保障取暖单位4个，三馆一院取暖面积39937平方米的任务，达到了保障三馆一院冬季取得暖气的效益，</w:t>
            </w:r>
            <w:r>
              <w:rPr>
                <w:rFonts w:ascii="宋体" w:hAnsi="宋体" w:eastAsia="宋体"/>
                <w:sz w:val="16"/>
              </w:rPr>
              <w:tab/>
            </w:r>
            <w:r>
              <w:rPr>
                <w:rFonts w:ascii="宋体" w:hAnsi="宋体" w:eastAsia="宋体"/>
                <w:sz w:val="16"/>
              </w:rPr>
              <w:t>受益群众满意度达到100%。</w:t>
            </w:r>
          </w:p>
        </w:tc>
      </w:tr>
      <w:tr w14:paraId="6C22B00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8E71AF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D8CAEF">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E276B8">
            <w:pPr>
              <w:jc w:val="center"/>
            </w:pPr>
            <w:r>
              <w:rPr>
                <w:rFonts w:ascii="宋体" w:hAnsi="宋体" w:eastAsia="宋体"/>
                <w:sz w:val="16"/>
              </w:rPr>
              <w:t>二级指标</w:t>
            </w:r>
          </w:p>
        </w:tc>
        <w:tc>
          <w:tcPr>
            <w:tcW w:w="1234" w:type="dxa"/>
            <w:tcBorders>
              <w:top w:val="single" w:color="auto" w:sz="10" w:space="0"/>
              <w:left w:val="single" w:color="auto" w:sz="10" w:space="0"/>
              <w:bottom w:val="single" w:color="auto" w:sz="10" w:space="0"/>
              <w:right w:val="single" w:color="auto" w:sz="10" w:space="0"/>
              <w:insideV w:val="single" w:sz="10" w:space="0"/>
            </w:tcBorders>
            <w:vAlign w:val="center"/>
          </w:tcPr>
          <w:p w14:paraId="12292318">
            <w:pPr>
              <w:jc w:val="center"/>
            </w:pPr>
            <w:r>
              <w:rPr>
                <w:rFonts w:ascii="宋体" w:hAnsi="宋体" w:eastAsia="宋体"/>
                <w:sz w:val="16"/>
              </w:rPr>
              <w:t>三级指标</w:t>
            </w:r>
          </w:p>
        </w:tc>
        <w:tc>
          <w:tcPr>
            <w:tcW w:w="920" w:type="dxa"/>
            <w:tcBorders>
              <w:top w:val="single" w:color="auto" w:sz="10" w:space="0"/>
              <w:left w:val="single" w:color="auto" w:sz="10" w:space="0"/>
              <w:bottom w:val="single" w:color="auto" w:sz="10" w:space="0"/>
              <w:right w:val="single" w:color="auto" w:sz="10" w:space="0"/>
              <w:insideV w:val="single" w:sz="10" w:space="0"/>
            </w:tcBorders>
            <w:vAlign w:val="center"/>
          </w:tcPr>
          <w:p w14:paraId="11DE562B">
            <w:pPr>
              <w:jc w:val="center"/>
            </w:pPr>
            <w:r>
              <w:rPr>
                <w:rFonts w:ascii="宋体" w:hAnsi="宋体" w:eastAsia="宋体"/>
                <w:sz w:val="16"/>
              </w:rPr>
              <w:t>年度指标值</w:t>
            </w:r>
          </w:p>
        </w:tc>
        <w:tc>
          <w:tcPr>
            <w:tcW w:w="795" w:type="dxa"/>
            <w:tcBorders>
              <w:top w:val="single" w:color="auto" w:sz="10" w:space="0"/>
              <w:left w:val="single" w:color="auto" w:sz="10" w:space="0"/>
              <w:bottom w:val="single" w:color="auto" w:sz="10" w:space="0"/>
              <w:right w:val="single" w:color="auto" w:sz="10" w:space="0"/>
              <w:insideV w:val="single" w:sz="10" w:space="0"/>
            </w:tcBorders>
            <w:vAlign w:val="center"/>
          </w:tcPr>
          <w:p w14:paraId="08A58EDD">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BBBA3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AE4E0E">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B43D51">
            <w:pPr>
              <w:jc w:val="center"/>
            </w:pPr>
            <w:r>
              <w:rPr>
                <w:rFonts w:ascii="宋体" w:hAnsi="宋体" w:eastAsia="宋体"/>
                <w:sz w:val="16"/>
              </w:rPr>
              <w:t>偏差原因分析及改进措施</w:t>
            </w:r>
          </w:p>
        </w:tc>
      </w:tr>
      <w:tr w14:paraId="4ACEEA0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F8011C">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7F6955">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DFE13C">
            <w:pPr>
              <w:jc w:val="center"/>
            </w:pPr>
            <w:r>
              <w:rPr>
                <w:rFonts w:ascii="宋体" w:hAnsi="宋体" w:eastAsia="宋体"/>
                <w:sz w:val="16"/>
              </w:rPr>
              <w:t>数量指标</w:t>
            </w:r>
          </w:p>
        </w:tc>
        <w:tc>
          <w:tcPr>
            <w:tcW w:w="1234" w:type="dxa"/>
            <w:tcBorders>
              <w:top w:val="single" w:color="auto" w:sz="10" w:space="0"/>
              <w:left w:val="single" w:color="auto" w:sz="10" w:space="0"/>
              <w:bottom w:val="single" w:color="auto" w:sz="10" w:space="0"/>
              <w:right w:val="single" w:color="auto" w:sz="10" w:space="0"/>
              <w:insideV w:val="single" w:sz="10" w:space="0"/>
            </w:tcBorders>
            <w:vAlign w:val="center"/>
          </w:tcPr>
          <w:p w14:paraId="694D447A">
            <w:pPr>
              <w:jc w:val="center"/>
            </w:pPr>
            <w:r>
              <w:rPr>
                <w:rFonts w:ascii="宋体" w:hAnsi="宋体" w:eastAsia="宋体"/>
                <w:sz w:val="16"/>
              </w:rPr>
              <w:t>冬季保障取暖单位</w:t>
            </w:r>
          </w:p>
        </w:tc>
        <w:tc>
          <w:tcPr>
            <w:tcW w:w="920" w:type="dxa"/>
            <w:tcBorders>
              <w:top w:val="single" w:color="auto" w:sz="10" w:space="0"/>
              <w:left w:val="single" w:color="auto" w:sz="10" w:space="0"/>
              <w:bottom w:val="single" w:color="auto" w:sz="10" w:space="0"/>
              <w:right w:val="single" w:color="auto" w:sz="10" w:space="0"/>
              <w:insideV w:val="single" w:sz="10" w:space="0"/>
            </w:tcBorders>
            <w:vAlign w:val="center"/>
          </w:tcPr>
          <w:p w14:paraId="67E17FE5">
            <w:pPr>
              <w:jc w:val="center"/>
            </w:pPr>
            <w:r>
              <w:rPr>
                <w:rFonts w:ascii="宋体" w:hAnsi="宋体" w:eastAsia="宋体"/>
                <w:sz w:val="16"/>
              </w:rPr>
              <w:t>≥4个</w:t>
            </w:r>
          </w:p>
        </w:tc>
        <w:tc>
          <w:tcPr>
            <w:tcW w:w="795" w:type="dxa"/>
            <w:tcBorders>
              <w:top w:val="single" w:color="auto" w:sz="10" w:space="0"/>
              <w:left w:val="single" w:color="auto" w:sz="10" w:space="0"/>
              <w:bottom w:val="single" w:color="auto" w:sz="10" w:space="0"/>
              <w:right w:val="single" w:color="auto" w:sz="10" w:space="0"/>
              <w:insideV w:val="single" w:sz="10" w:space="0"/>
            </w:tcBorders>
            <w:vAlign w:val="center"/>
          </w:tcPr>
          <w:p w14:paraId="56217EB2">
            <w:pPr>
              <w:jc w:val="center"/>
            </w:pPr>
            <w:r>
              <w:rPr>
                <w:rFonts w:ascii="宋体" w:hAnsi="宋体" w:eastAsia="宋体"/>
                <w:sz w:val="16"/>
              </w:rPr>
              <w:t>=4个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EAA84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B7317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47D0BE">
            <w:pPr>
              <w:jc w:val="center"/>
            </w:pPr>
          </w:p>
        </w:tc>
      </w:tr>
      <w:tr w14:paraId="7662FB5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1A108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D1C6E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5C2407"/>
        </w:tc>
        <w:tc>
          <w:tcPr>
            <w:tcW w:w="1234" w:type="dxa"/>
            <w:tcBorders>
              <w:top w:val="single" w:color="auto" w:sz="10" w:space="0"/>
              <w:left w:val="single" w:color="auto" w:sz="10" w:space="0"/>
              <w:bottom w:val="single" w:color="auto" w:sz="10" w:space="0"/>
              <w:right w:val="single" w:color="auto" w:sz="10" w:space="0"/>
              <w:insideV w:val="single" w:sz="10" w:space="0"/>
            </w:tcBorders>
            <w:vAlign w:val="center"/>
          </w:tcPr>
          <w:p w14:paraId="1600AA1A">
            <w:pPr>
              <w:jc w:val="center"/>
            </w:pPr>
            <w:r>
              <w:rPr>
                <w:rFonts w:ascii="宋体" w:hAnsi="宋体" w:eastAsia="宋体"/>
                <w:sz w:val="16"/>
              </w:rPr>
              <w:t>三馆一院取暖面积</w:t>
            </w:r>
          </w:p>
        </w:tc>
        <w:tc>
          <w:tcPr>
            <w:tcW w:w="920" w:type="dxa"/>
            <w:tcBorders>
              <w:top w:val="single" w:color="auto" w:sz="10" w:space="0"/>
              <w:left w:val="single" w:color="auto" w:sz="10" w:space="0"/>
              <w:bottom w:val="single" w:color="auto" w:sz="10" w:space="0"/>
              <w:right w:val="single" w:color="auto" w:sz="10" w:space="0"/>
              <w:insideV w:val="single" w:sz="10" w:space="0"/>
            </w:tcBorders>
            <w:vAlign w:val="center"/>
          </w:tcPr>
          <w:p w14:paraId="04EF5C0D">
            <w:pPr>
              <w:jc w:val="center"/>
            </w:pPr>
            <w:r>
              <w:rPr>
                <w:rFonts w:ascii="宋体" w:hAnsi="宋体" w:eastAsia="宋体"/>
                <w:sz w:val="16"/>
              </w:rPr>
              <w:t>≥39937平方米</w:t>
            </w:r>
          </w:p>
        </w:tc>
        <w:tc>
          <w:tcPr>
            <w:tcW w:w="795" w:type="dxa"/>
            <w:tcBorders>
              <w:top w:val="single" w:color="auto" w:sz="10" w:space="0"/>
              <w:left w:val="single" w:color="auto" w:sz="10" w:space="0"/>
              <w:bottom w:val="single" w:color="auto" w:sz="10" w:space="0"/>
              <w:right w:val="single" w:color="auto" w:sz="10" w:space="0"/>
              <w:insideV w:val="single" w:sz="10" w:space="0"/>
            </w:tcBorders>
            <w:vAlign w:val="center"/>
          </w:tcPr>
          <w:p w14:paraId="0C790B07">
            <w:pPr>
              <w:jc w:val="center"/>
            </w:pPr>
            <w:r>
              <w:rPr>
                <w:rFonts w:ascii="宋体" w:hAnsi="宋体" w:eastAsia="宋体"/>
                <w:sz w:val="16"/>
              </w:rPr>
              <w:t>=39937平方米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358B0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E6833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1B4759">
            <w:pPr>
              <w:jc w:val="center"/>
            </w:pPr>
          </w:p>
        </w:tc>
      </w:tr>
      <w:tr w14:paraId="280BEAC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BEC12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EFA29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354202">
            <w:pPr>
              <w:jc w:val="center"/>
            </w:pPr>
            <w:r>
              <w:rPr>
                <w:rFonts w:ascii="宋体" w:hAnsi="宋体" w:eastAsia="宋体"/>
                <w:sz w:val="16"/>
              </w:rPr>
              <w:t>质量指标</w:t>
            </w:r>
          </w:p>
        </w:tc>
        <w:tc>
          <w:tcPr>
            <w:tcW w:w="1234" w:type="dxa"/>
            <w:tcBorders>
              <w:top w:val="single" w:color="auto" w:sz="10" w:space="0"/>
              <w:left w:val="single" w:color="auto" w:sz="10" w:space="0"/>
              <w:bottom w:val="single" w:color="auto" w:sz="10" w:space="0"/>
              <w:right w:val="single" w:color="auto" w:sz="10" w:space="0"/>
              <w:insideV w:val="single" w:sz="10" w:space="0"/>
            </w:tcBorders>
            <w:vAlign w:val="center"/>
          </w:tcPr>
          <w:p w14:paraId="6C3F09DC">
            <w:pPr>
              <w:jc w:val="center"/>
            </w:pPr>
            <w:r>
              <w:rPr>
                <w:rFonts w:ascii="宋体" w:hAnsi="宋体" w:eastAsia="宋体"/>
                <w:sz w:val="16"/>
              </w:rPr>
              <w:t>三馆一院正常运转率</w:t>
            </w:r>
          </w:p>
        </w:tc>
        <w:tc>
          <w:tcPr>
            <w:tcW w:w="920" w:type="dxa"/>
            <w:tcBorders>
              <w:top w:val="single" w:color="auto" w:sz="10" w:space="0"/>
              <w:left w:val="single" w:color="auto" w:sz="10" w:space="0"/>
              <w:bottom w:val="single" w:color="auto" w:sz="10" w:space="0"/>
              <w:right w:val="single" w:color="auto" w:sz="10" w:space="0"/>
              <w:insideV w:val="single" w:sz="10" w:space="0"/>
            </w:tcBorders>
            <w:vAlign w:val="center"/>
          </w:tcPr>
          <w:p w14:paraId="5B095CF3">
            <w:pPr>
              <w:jc w:val="center"/>
            </w:pPr>
            <w:r>
              <w:rPr>
                <w:rFonts w:ascii="宋体" w:hAnsi="宋体" w:eastAsia="宋体"/>
                <w:sz w:val="16"/>
              </w:rPr>
              <w:t>=100%</w:t>
            </w:r>
          </w:p>
        </w:tc>
        <w:tc>
          <w:tcPr>
            <w:tcW w:w="795" w:type="dxa"/>
            <w:tcBorders>
              <w:top w:val="single" w:color="auto" w:sz="10" w:space="0"/>
              <w:left w:val="single" w:color="auto" w:sz="10" w:space="0"/>
              <w:bottom w:val="single" w:color="auto" w:sz="10" w:space="0"/>
              <w:right w:val="single" w:color="auto" w:sz="10" w:space="0"/>
              <w:insideV w:val="single" w:sz="10" w:space="0"/>
            </w:tcBorders>
            <w:vAlign w:val="center"/>
          </w:tcPr>
          <w:p w14:paraId="06667B6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0CD92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907A6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96BA43">
            <w:pPr>
              <w:jc w:val="center"/>
            </w:pPr>
          </w:p>
        </w:tc>
      </w:tr>
      <w:tr w14:paraId="6407EB0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DB4CF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B35E7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131415">
            <w:pPr>
              <w:jc w:val="center"/>
            </w:pPr>
            <w:r>
              <w:rPr>
                <w:rFonts w:ascii="宋体" w:hAnsi="宋体" w:eastAsia="宋体"/>
                <w:sz w:val="16"/>
              </w:rPr>
              <w:t>时效指标</w:t>
            </w:r>
          </w:p>
        </w:tc>
        <w:tc>
          <w:tcPr>
            <w:tcW w:w="1234" w:type="dxa"/>
            <w:tcBorders>
              <w:top w:val="single" w:color="auto" w:sz="10" w:space="0"/>
              <w:left w:val="single" w:color="auto" w:sz="10" w:space="0"/>
              <w:bottom w:val="single" w:color="auto" w:sz="10" w:space="0"/>
              <w:right w:val="single" w:color="auto" w:sz="10" w:space="0"/>
              <w:insideV w:val="single" w:sz="10" w:space="0"/>
            </w:tcBorders>
            <w:vAlign w:val="center"/>
          </w:tcPr>
          <w:p w14:paraId="4D945B50">
            <w:pPr>
              <w:jc w:val="center"/>
            </w:pPr>
            <w:r>
              <w:rPr>
                <w:rFonts w:ascii="宋体" w:hAnsi="宋体" w:eastAsia="宋体"/>
                <w:sz w:val="16"/>
              </w:rPr>
              <w:t>冬季供暖时间</w:t>
            </w:r>
          </w:p>
        </w:tc>
        <w:tc>
          <w:tcPr>
            <w:tcW w:w="920" w:type="dxa"/>
            <w:tcBorders>
              <w:top w:val="single" w:color="auto" w:sz="10" w:space="0"/>
              <w:left w:val="single" w:color="auto" w:sz="10" w:space="0"/>
              <w:bottom w:val="single" w:color="auto" w:sz="10" w:space="0"/>
              <w:right w:val="single" w:color="auto" w:sz="10" w:space="0"/>
              <w:insideV w:val="single" w:sz="10" w:space="0"/>
            </w:tcBorders>
            <w:vAlign w:val="center"/>
          </w:tcPr>
          <w:p w14:paraId="2CD46BE4">
            <w:pPr>
              <w:jc w:val="center"/>
            </w:pPr>
            <w:r>
              <w:rPr>
                <w:rFonts w:ascii="宋体" w:hAnsi="宋体" w:eastAsia="宋体"/>
                <w:sz w:val="16"/>
              </w:rPr>
              <w:t>≥5月</w:t>
            </w:r>
          </w:p>
        </w:tc>
        <w:tc>
          <w:tcPr>
            <w:tcW w:w="795" w:type="dxa"/>
            <w:tcBorders>
              <w:top w:val="single" w:color="auto" w:sz="10" w:space="0"/>
              <w:left w:val="single" w:color="auto" w:sz="10" w:space="0"/>
              <w:bottom w:val="single" w:color="auto" w:sz="10" w:space="0"/>
              <w:right w:val="single" w:color="auto" w:sz="10" w:space="0"/>
              <w:insideV w:val="single" w:sz="10" w:space="0"/>
            </w:tcBorders>
            <w:vAlign w:val="center"/>
          </w:tcPr>
          <w:p w14:paraId="73890831">
            <w:pPr>
              <w:jc w:val="center"/>
            </w:pPr>
            <w:r>
              <w:rPr>
                <w:rFonts w:ascii="宋体" w:hAnsi="宋体" w:eastAsia="宋体"/>
                <w:sz w:val="16"/>
              </w:rPr>
              <w:t>=5月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FEE3D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EFF6A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D237AE">
            <w:pPr>
              <w:jc w:val="center"/>
            </w:pPr>
          </w:p>
        </w:tc>
      </w:tr>
      <w:tr w14:paraId="3D15E8E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67E55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A8E2A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67BE8B"/>
        </w:tc>
        <w:tc>
          <w:tcPr>
            <w:tcW w:w="1234" w:type="dxa"/>
            <w:tcBorders>
              <w:top w:val="single" w:color="auto" w:sz="10" w:space="0"/>
              <w:left w:val="single" w:color="auto" w:sz="10" w:space="0"/>
              <w:bottom w:val="single" w:color="auto" w:sz="10" w:space="0"/>
              <w:right w:val="single" w:color="auto" w:sz="10" w:space="0"/>
              <w:insideV w:val="single" w:sz="10" w:space="0"/>
            </w:tcBorders>
            <w:vAlign w:val="center"/>
          </w:tcPr>
          <w:p w14:paraId="6FCFDBB5">
            <w:pPr>
              <w:jc w:val="center"/>
            </w:pPr>
            <w:r>
              <w:rPr>
                <w:rFonts w:ascii="宋体" w:hAnsi="宋体" w:eastAsia="宋体"/>
                <w:sz w:val="16"/>
              </w:rPr>
              <w:t>取暖费缴纳及时率</w:t>
            </w:r>
          </w:p>
        </w:tc>
        <w:tc>
          <w:tcPr>
            <w:tcW w:w="920" w:type="dxa"/>
            <w:tcBorders>
              <w:top w:val="single" w:color="auto" w:sz="10" w:space="0"/>
              <w:left w:val="single" w:color="auto" w:sz="10" w:space="0"/>
              <w:bottom w:val="single" w:color="auto" w:sz="10" w:space="0"/>
              <w:right w:val="single" w:color="auto" w:sz="10" w:space="0"/>
              <w:insideV w:val="single" w:sz="10" w:space="0"/>
            </w:tcBorders>
            <w:vAlign w:val="center"/>
          </w:tcPr>
          <w:p w14:paraId="3FA9A2E2">
            <w:pPr>
              <w:jc w:val="center"/>
            </w:pPr>
            <w:r>
              <w:rPr>
                <w:rFonts w:ascii="宋体" w:hAnsi="宋体" w:eastAsia="宋体"/>
                <w:sz w:val="16"/>
              </w:rPr>
              <w:t>≥95%</w:t>
            </w:r>
          </w:p>
        </w:tc>
        <w:tc>
          <w:tcPr>
            <w:tcW w:w="795" w:type="dxa"/>
            <w:tcBorders>
              <w:top w:val="single" w:color="auto" w:sz="10" w:space="0"/>
              <w:left w:val="single" w:color="auto" w:sz="10" w:space="0"/>
              <w:bottom w:val="single" w:color="auto" w:sz="10" w:space="0"/>
              <w:right w:val="single" w:color="auto" w:sz="10" w:space="0"/>
              <w:insideV w:val="single" w:sz="10" w:space="0"/>
            </w:tcBorders>
            <w:vAlign w:val="center"/>
          </w:tcPr>
          <w:p w14:paraId="7EC61922">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1DC4B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8BA5B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3EA83B">
            <w:pPr>
              <w:jc w:val="center"/>
            </w:pPr>
          </w:p>
        </w:tc>
      </w:tr>
      <w:tr w14:paraId="098665B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EADF6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4149D9">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DCF866">
            <w:pPr>
              <w:jc w:val="center"/>
            </w:pPr>
            <w:r>
              <w:rPr>
                <w:rFonts w:ascii="宋体" w:hAnsi="宋体" w:eastAsia="宋体"/>
                <w:sz w:val="16"/>
              </w:rPr>
              <w:t>经济成本指标</w:t>
            </w:r>
          </w:p>
        </w:tc>
        <w:tc>
          <w:tcPr>
            <w:tcW w:w="1234" w:type="dxa"/>
            <w:tcBorders>
              <w:top w:val="single" w:color="auto" w:sz="10" w:space="0"/>
              <w:left w:val="single" w:color="auto" w:sz="10" w:space="0"/>
              <w:bottom w:val="single" w:color="auto" w:sz="10" w:space="0"/>
              <w:right w:val="single" w:color="auto" w:sz="10" w:space="0"/>
              <w:insideV w:val="single" w:sz="10" w:space="0"/>
            </w:tcBorders>
            <w:vAlign w:val="center"/>
          </w:tcPr>
          <w:p w14:paraId="1470BAF4">
            <w:pPr>
              <w:jc w:val="center"/>
            </w:pPr>
            <w:r>
              <w:rPr>
                <w:rFonts w:ascii="宋体" w:hAnsi="宋体" w:eastAsia="宋体"/>
                <w:sz w:val="16"/>
              </w:rPr>
              <w:t>平均每个单位取暖费用</w:t>
            </w:r>
          </w:p>
        </w:tc>
        <w:tc>
          <w:tcPr>
            <w:tcW w:w="920" w:type="dxa"/>
            <w:tcBorders>
              <w:top w:val="single" w:color="auto" w:sz="10" w:space="0"/>
              <w:left w:val="single" w:color="auto" w:sz="10" w:space="0"/>
              <w:bottom w:val="single" w:color="auto" w:sz="10" w:space="0"/>
              <w:right w:val="single" w:color="auto" w:sz="10" w:space="0"/>
              <w:insideV w:val="single" w:sz="10" w:space="0"/>
            </w:tcBorders>
            <w:vAlign w:val="center"/>
          </w:tcPr>
          <w:p w14:paraId="69DF06F5">
            <w:pPr>
              <w:jc w:val="center"/>
            </w:pPr>
            <w:r>
              <w:rPr>
                <w:rFonts w:ascii="宋体" w:hAnsi="宋体" w:eastAsia="宋体"/>
                <w:sz w:val="16"/>
              </w:rPr>
              <w:t>≤15万元/个</w:t>
            </w:r>
          </w:p>
        </w:tc>
        <w:tc>
          <w:tcPr>
            <w:tcW w:w="795" w:type="dxa"/>
            <w:tcBorders>
              <w:top w:val="single" w:color="auto" w:sz="10" w:space="0"/>
              <w:left w:val="single" w:color="auto" w:sz="10" w:space="0"/>
              <w:bottom w:val="single" w:color="auto" w:sz="10" w:space="0"/>
              <w:right w:val="single" w:color="auto" w:sz="10" w:space="0"/>
              <w:insideV w:val="single" w:sz="10" w:space="0"/>
            </w:tcBorders>
            <w:vAlign w:val="center"/>
          </w:tcPr>
          <w:p w14:paraId="12636FC6">
            <w:pPr>
              <w:jc w:val="center"/>
            </w:pPr>
            <w:r>
              <w:rPr>
                <w:rFonts w:ascii="宋体" w:hAnsi="宋体" w:eastAsia="宋体"/>
                <w:sz w:val="16"/>
              </w:rPr>
              <w:t>=15万元/个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2070F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E5D8D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DE661A">
            <w:pPr>
              <w:jc w:val="center"/>
            </w:pPr>
          </w:p>
        </w:tc>
      </w:tr>
      <w:tr w14:paraId="388782A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FA4BF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AD0D1B">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D4AEED">
            <w:pPr>
              <w:jc w:val="center"/>
            </w:pPr>
            <w:r>
              <w:rPr>
                <w:rFonts w:ascii="宋体" w:hAnsi="宋体" w:eastAsia="宋体"/>
                <w:sz w:val="16"/>
              </w:rPr>
              <w:t>社会效益指标</w:t>
            </w:r>
          </w:p>
        </w:tc>
        <w:tc>
          <w:tcPr>
            <w:tcW w:w="1234" w:type="dxa"/>
            <w:tcBorders>
              <w:top w:val="single" w:color="auto" w:sz="10" w:space="0"/>
              <w:left w:val="single" w:color="auto" w:sz="10" w:space="0"/>
              <w:bottom w:val="single" w:color="auto" w:sz="10" w:space="0"/>
              <w:right w:val="single" w:color="auto" w:sz="10" w:space="0"/>
              <w:insideV w:val="single" w:sz="10" w:space="0"/>
            </w:tcBorders>
            <w:vAlign w:val="center"/>
          </w:tcPr>
          <w:p w14:paraId="0C439468">
            <w:pPr>
              <w:jc w:val="center"/>
            </w:pPr>
            <w:r>
              <w:rPr>
                <w:rFonts w:ascii="宋体" w:hAnsi="宋体" w:eastAsia="宋体"/>
                <w:sz w:val="16"/>
              </w:rPr>
              <w:t>三馆一院冬季取暖得到保障</w:t>
            </w:r>
          </w:p>
        </w:tc>
        <w:tc>
          <w:tcPr>
            <w:tcW w:w="920" w:type="dxa"/>
            <w:tcBorders>
              <w:top w:val="single" w:color="auto" w:sz="10" w:space="0"/>
              <w:left w:val="single" w:color="auto" w:sz="10" w:space="0"/>
              <w:bottom w:val="single" w:color="auto" w:sz="10" w:space="0"/>
              <w:right w:val="single" w:color="auto" w:sz="10" w:space="0"/>
              <w:insideV w:val="single" w:sz="10" w:space="0"/>
            </w:tcBorders>
            <w:vAlign w:val="center"/>
          </w:tcPr>
          <w:p w14:paraId="3CA1B56C">
            <w:pPr>
              <w:jc w:val="center"/>
            </w:pPr>
            <w:r>
              <w:rPr>
                <w:rFonts w:ascii="宋体" w:hAnsi="宋体" w:eastAsia="宋体"/>
                <w:sz w:val="16"/>
              </w:rPr>
              <w:t>有效保障</w:t>
            </w:r>
          </w:p>
        </w:tc>
        <w:tc>
          <w:tcPr>
            <w:tcW w:w="795" w:type="dxa"/>
            <w:tcBorders>
              <w:top w:val="single" w:color="auto" w:sz="10" w:space="0"/>
              <w:left w:val="single" w:color="auto" w:sz="10" w:space="0"/>
              <w:bottom w:val="single" w:color="auto" w:sz="10" w:space="0"/>
              <w:right w:val="single" w:color="auto" w:sz="10" w:space="0"/>
              <w:insideV w:val="single" w:sz="10" w:space="0"/>
            </w:tcBorders>
            <w:vAlign w:val="center"/>
          </w:tcPr>
          <w:p w14:paraId="0CEC2D2F">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8F624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F34C1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05D7F9">
            <w:pPr>
              <w:jc w:val="center"/>
            </w:pPr>
          </w:p>
        </w:tc>
      </w:tr>
      <w:tr w14:paraId="16A40CF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FB3F6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710EA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C29CFD">
            <w:pPr>
              <w:jc w:val="center"/>
            </w:pPr>
            <w:r>
              <w:rPr>
                <w:rFonts w:ascii="宋体" w:hAnsi="宋体" w:eastAsia="宋体"/>
                <w:sz w:val="16"/>
              </w:rPr>
              <w:t>满意度指标</w:t>
            </w:r>
          </w:p>
        </w:tc>
        <w:tc>
          <w:tcPr>
            <w:tcW w:w="1234" w:type="dxa"/>
            <w:tcBorders>
              <w:top w:val="single" w:color="auto" w:sz="10" w:space="0"/>
              <w:left w:val="single" w:color="auto" w:sz="10" w:space="0"/>
              <w:bottom w:val="single" w:color="auto" w:sz="10" w:space="0"/>
              <w:right w:val="single" w:color="auto" w:sz="10" w:space="0"/>
              <w:insideV w:val="single" w:sz="10" w:space="0"/>
            </w:tcBorders>
            <w:vAlign w:val="center"/>
          </w:tcPr>
          <w:p w14:paraId="27F706CB">
            <w:pPr>
              <w:jc w:val="center"/>
            </w:pPr>
            <w:r>
              <w:rPr>
                <w:rFonts w:ascii="宋体" w:hAnsi="宋体" w:eastAsia="宋体"/>
                <w:sz w:val="16"/>
              </w:rPr>
              <w:t>受益群众满意度</w:t>
            </w:r>
          </w:p>
        </w:tc>
        <w:tc>
          <w:tcPr>
            <w:tcW w:w="920" w:type="dxa"/>
            <w:tcBorders>
              <w:top w:val="single" w:color="auto" w:sz="10" w:space="0"/>
              <w:left w:val="single" w:color="auto" w:sz="10" w:space="0"/>
              <w:bottom w:val="single" w:color="auto" w:sz="10" w:space="0"/>
              <w:right w:val="single" w:color="auto" w:sz="10" w:space="0"/>
              <w:insideV w:val="single" w:sz="10" w:space="0"/>
            </w:tcBorders>
            <w:vAlign w:val="center"/>
          </w:tcPr>
          <w:p w14:paraId="1DA653E2">
            <w:pPr>
              <w:jc w:val="center"/>
            </w:pPr>
            <w:r>
              <w:rPr>
                <w:rFonts w:ascii="宋体" w:hAnsi="宋体" w:eastAsia="宋体"/>
                <w:sz w:val="16"/>
              </w:rPr>
              <w:t>≥95%</w:t>
            </w:r>
          </w:p>
        </w:tc>
        <w:tc>
          <w:tcPr>
            <w:tcW w:w="795" w:type="dxa"/>
            <w:tcBorders>
              <w:top w:val="single" w:color="auto" w:sz="10" w:space="0"/>
              <w:left w:val="single" w:color="auto" w:sz="10" w:space="0"/>
              <w:bottom w:val="single" w:color="auto" w:sz="10" w:space="0"/>
              <w:right w:val="single" w:color="auto" w:sz="10" w:space="0"/>
              <w:insideV w:val="single" w:sz="10" w:space="0"/>
            </w:tcBorders>
            <w:vAlign w:val="center"/>
          </w:tcPr>
          <w:p w14:paraId="1680DA0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95588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3C8A9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8D54E0">
            <w:pPr>
              <w:jc w:val="center"/>
            </w:pPr>
          </w:p>
        </w:tc>
      </w:tr>
      <w:tr w14:paraId="366954C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F6D592">
            <w:pPr>
              <w:jc w:val="center"/>
            </w:pPr>
            <w:r>
              <w:rPr>
                <w:rFonts w:ascii="宋体" w:hAnsi="宋体" w:eastAsia="宋体"/>
                <w:sz w:val="16"/>
              </w:rPr>
              <w:t>总分</w:t>
            </w:r>
          </w:p>
        </w:tc>
        <w:tc>
          <w:tcPr>
            <w:tcW w:w="320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8024A51">
            <w:pPr>
              <w:jc w:val="center"/>
            </w:pPr>
            <w:r>
              <w:rPr>
                <w:rFonts w:ascii="宋体" w:hAnsi="宋体" w:eastAsia="宋体"/>
                <w:sz w:val="16"/>
              </w:rPr>
              <w:t>100</w:t>
            </w:r>
          </w:p>
        </w:tc>
        <w:tc>
          <w:tcPr>
            <w:tcW w:w="920" w:type="dxa"/>
            <w:tcBorders>
              <w:top w:val="single" w:color="auto" w:sz="10" w:space="0"/>
              <w:left w:val="single" w:color="auto" w:sz="10" w:space="0"/>
              <w:bottom w:val="single" w:color="auto" w:sz="10" w:space="0"/>
              <w:right w:val="single" w:color="auto" w:sz="10" w:space="0"/>
              <w:insideV w:val="single" w:sz="10" w:space="0"/>
            </w:tcBorders>
            <w:vAlign w:val="center"/>
          </w:tcPr>
          <w:p w14:paraId="4C34D42F">
            <w:pPr>
              <w:jc w:val="center"/>
            </w:pPr>
            <w:r>
              <w:rPr>
                <w:rFonts w:ascii="宋体" w:hAnsi="宋体" w:eastAsia="宋体"/>
                <w:sz w:val="16"/>
              </w:rPr>
              <w:t>得分</w:t>
            </w:r>
          </w:p>
        </w:tc>
        <w:tc>
          <w:tcPr>
            <w:tcW w:w="374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A24FA66">
            <w:pPr>
              <w:jc w:val="center"/>
            </w:pPr>
            <w:r>
              <w:rPr>
                <w:rFonts w:ascii="宋体" w:hAnsi="宋体" w:eastAsia="宋体"/>
                <w:sz w:val="16"/>
              </w:rPr>
              <w:t>100分</w:t>
            </w:r>
          </w:p>
        </w:tc>
      </w:tr>
    </w:tbl>
    <w:p w14:paraId="7CBAD6CD">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6199588">
        <w:tblPrEx>
          <w:tblCellMar>
            <w:top w:w="0" w:type="dxa"/>
            <w:left w:w="108" w:type="dxa"/>
            <w:bottom w:w="0" w:type="dxa"/>
            <w:right w:w="108" w:type="dxa"/>
          </w:tblCellMar>
        </w:tblPrEx>
        <w:tc>
          <w:tcPr>
            <w:tcW w:w="8847" w:type="dxa"/>
            <w:gridSpan w:val="9"/>
            <w:vAlign w:val="center"/>
          </w:tcPr>
          <w:p w14:paraId="0B2475C8">
            <w:pPr>
              <w:jc w:val="center"/>
            </w:pPr>
            <w:r>
              <w:rPr>
                <w:rFonts w:ascii="宋体" w:hAnsi="宋体" w:eastAsia="宋体"/>
                <w:sz w:val="24"/>
              </w:rPr>
              <w:t>项目支出绩效自评表</w:t>
            </w:r>
          </w:p>
        </w:tc>
      </w:tr>
      <w:tr w14:paraId="6F92C2FD">
        <w:tblPrEx>
          <w:tblCellMar>
            <w:top w:w="0" w:type="dxa"/>
            <w:left w:w="108" w:type="dxa"/>
            <w:bottom w:w="0" w:type="dxa"/>
            <w:right w:w="108" w:type="dxa"/>
          </w:tblCellMar>
        </w:tblPrEx>
        <w:tc>
          <w:tcPr>
            <w:tcW w:w="8847" w:type="dxa"/>
            <w:gridSpan w:val="9"/>
            <w:vAlign w:val="center"/>
          </w:tcPr>
          <w:p w14:paraId="7F2D2150">
            <w:pPr>
              <w:jc w:val="center"/>
            </w:pPr>
            <w:r>
              <w:rPr>
                <w:rFonts w:ascii="宋体" w:hAnsi="宋体" w:eastAsia="宋体"/>
                <w:sz w:val="24"/>
              </w:rPr>
              <w:t>(2024年度)</w:t>
            </w:r>
          </w:p>
        </w:tc>
      </w:tr>
      <w:tr w14:paraId="1CE0C4B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EF39C7">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72E3131">
            <w:pPr>
              <w:jc w:val="center"/>
            </w:pPr>
            <w:r>
              <w:rPr>
                <w:rFonts w:ascii="宋体" w:hAnsi="宋体" w:eastAsia="宋体"/>
                <w:sz w:val="16"/>
              </w:rPr>
              <w:t>援疆干部公共文化与传媒项目</w:t>
            </w:r>
          </w:p>
        </w:tc>
      </w:tr>
      <w:tr w14:paraId="57084F6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1C282A">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E3B42ED">
            <w:pPr>
              <w:jc w:val="center"/>
            </w:pPr>
            <w:r>
              <w:rPr>
                <w:rFonts w:ascii="宋体" w:hAnsi="宋体" w:eastAsia="宋体"/>
                <w:sz w:val="16"/>
              </w:rPr>
              <w:t>和田地区博物馆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D52FCE">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0C7033F">
            <w:pPr>
              <w:jc w:val="center"/>
            </w:pPr>
            <w:r>
              <w:rPr>
                <w:rFonts w:ascii="宋体" w:hAnsi="宋体" w:eastAsia="宋体"/>
                <w:sz w:val="16"/>
              </w:rPr>
              <w:t>和田地区博物馆</w:t>
            </w:r>
          </w:p>
        </w:tc>
      </w:tr>
      <w:tr w14:paraId="57CE34A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546AA1">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5BC001">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6B6470">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F2230C">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457FE3">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F8F96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CA2757">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AF6F99">
            <w:pPr>
              <w:jc w:val="center"/>
            </w:pPr>
            <w:r>
              <w:rPr>
                <w:rFonts w:ascii="宋体" w:hAnsi="宋体" w:eastAsia="宋体"/>
                <w:sz w:val="16"/>
              </w:rPr>
              <w:t>得分</w:t>
            </w:r>
          </w:p>
        </w:tc>
      </w:tr>
      <w:tr w14:paraId="00DB9F1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55A77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D9D7E6">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91B2B4">
            <w:pPr>
              <w:jc w:val="center"/>
            </w:pPr>
            <w:r>
              <w:rPr>
                <w:rFonts w:ascii="宋体" w:hAnsi="宋体" w:eastAsia="宋体"/>
                <w:sz w:val="16"/>
              </w:rPr>
              <w:t>1.20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8AB693">
            <w:pPr>
              <w:jc w:val="center"/>
            </w:pPr>
            <w:r>
              <w:rPr>
                <w:rFonts w:ascii="宋体" w:hAnsi="宋体" w:eastAsia="宋体"/>
                <w:sz w:val="16"/>
              </w:rPr>
              <w:t>1.20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B76E17">
            <w:pPr>
              <w:jc w:val="center"/>
            </w:pPr>
            <w:r>
              <w:rPr>
                <w:rFonts w:ascii="宋体" w:hAnsi="宋体" w:eastAsia="宋体"/>
                <w:sz w:val="16"/>
              </w:rPr>
              <w:t>1.20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FA8F4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5E9686">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EE2FD2">
            <w:pPr>
              <w:jc w:val="center"/>
            </w:pPr>
            <w:r>
              <w:rPr>
                <w:rFonts w:ascii="宋体" w:hAnsi="宋体" w:eastAsia="宋体"/>
                <w:sz w:val="16"/>
              </w:rPr>
              <w:t>10.00分</w:t>
            </w:r>
          </w:p>
        </w:tc>
      </w:tr>
      <w:tr w14:paraId="06D2460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D17D7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D1C942">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90687C">
            <w:pPr>
              <w:jc w:val="center"/>
            </w:pPr>
            <w:r>
              <w:rPr>
                <w:rFonts w:ascii="宋体" w:hAnsi="宋体" w:eastAsia="宋体"/>
                <w:sz w:val="16"/>
              </w:rPr>
              <w:t>1.20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5BD3E3">
            <w:pPr>
              <w:jc w:val="center"/>
            </w:pPr>
            <w:r>
              <w:rPr>
                <w:rFonts w:ascii="宋体" w:hAnsi="宋体" w:eastAsia="宋体"/>
                <w:sz w:val="16"/>
              </w:rPr>
              <w:t>1.20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DD78A7">
            <w:pPr>
              <w:jc w:val="center"/>
            </w:pPr>
            <w:r>
              <w:rPr>
                <w:rFonts w:ascii="宋体" w:hAnsi="宋体" w:eastAsia="宋体"/>
                <w:sz w:val="16"/>
              </w:rPr>
              <w:t>1.20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45DCD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4FC89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2F4F51">
            <w:pPr>
              <w:jc w:val="center"/>
            </w:pPr>
            <w:r>
              <w:rPr>
                <w:rFonts w:ascii="宋体" w:hAnsi="宋体" w:eastAsia="宋体"/>
                <w:sz w:val="16"/>
              </w:rPr>
              <w:t>—</w:t>
            </w:r>
          </w:p>
        </w:tc>
      </w:tr>
      <w:tr w14:paraId="540F6D3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9382C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39C53B">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D9FFF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B8913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1F8AF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6DB15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4FC7A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35A466">
            <w:pPr>
              <w:jc w:val="center"/>
            </w:pPr>
            <w:r>
              <w:rPr>
                <w:rFonts w:ascii="宋体" w:hAnsi="宋体" w:eastAsia="宋体"/>
                <w:sz w:val="16"/>
              </w:rPr>
              <w:t>—</w:t>
            </w:r>
          </w:p>
        </w:tc>
      </w:tr>
      <w:tr w14:paraId="528E37E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B363D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EE3AF6">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342E0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76A2F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4E324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F9BA9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07133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48FCE6">
            <w:pPr>
              <w:jc w:val="center"/>
            </w:pPr>
            <w:r>
              <w:rPr>
                <w:rFonts w:ascii="宋体" w:hAnsi="宋体" w:eastAsia="宋体"/>
                <w:sz w:val="16"/>
              </w:rPr>
              <w:t>—</w:t>
            </w:r>
          </w:p>
        </w:tc>
      </w:tr>
      <w:tr w14:paraId="7BE3260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657EAD">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32EDE3D">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B24679">
            <w:pPr>
              <w:jc w:val="center"/>
            </w:pPr>
            <w:r>
              <w:rPr>
                <w:rFonts w:ascii="宋体" w:hAnsi="宋体" w:eastAsia="宋体"/>
                <w:sz w:val="16"/>
              </w:rPr>
              <w:t>实际完成情况</w:t>
            </w:r>
          </w:p>
        </w:tc>
      </w:tr>
      <w:tr w14:paraId="0EFFC9F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105B7D"/>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68EE5D2">
            <w:pPr>
              <w:jc w:val="both"/>
            </w:pPr>
            <w:r>
              <w:rPr>
                <w:rFonts w:ascii="宋体" w:hAnsi="宋体" w:eastAsia="宋体"/>
                <w:sz w:val="16"/>
              </w:rPr>
              <w:t>本项目主要实施内容为：保障人数1人，项目总投资为1.2万元，项目计划于2024年12月完成。通过本项目的实施，可有效提高公共文化服务水平，待项目实施完成，争取使受益人群满意度达到100%。</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F4935F6">
            <w:pPr>
              <w:jc w:val="both"/>
            </w:pPr>
            <w:r>
              <w:rPr>
                <w:rFonts w:hint="eastAsia" w:ascii="宋体" w:hAnsi="宋体"/>
                <w:sz w:val="16"/>
                <w:lang w:eastAsia="zh-CN"/>
              </w:rPr>
              <w:t>截至</w:t>
            </w:r>
            <w:r>
              <w:rPr>
                <w:rFonts w:ascii="宋体" w:hAnsi="宋体" w:eastAsia="宋体"/>
                <w:sz w:val="16"/>
              </w:rPr>
              <w:t>2024年12月31日，本项目实际形成支出1.2万元，已完成保障援疆干部1人的任务，达到了有效提高公共文化服务水平的效益，受益干部满意度达到100%。</w:t>
            </w:r>
          </w:p>
        </w:tc>
      </w:tr>
      <w:tr w14:paraId="57DB2DE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9025D6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8AA9B5">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ED90C1">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75821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1D53BE">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9603E8">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9880A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6FF2C0">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37DB0D">
            <w:pPr>
              <w:jc w:val="center"/>
            </w:pPr>
            <w:r>
              <w:rPr>
                <w:rFonts w:ascii="宋体" w:hAnsi="宋体" w:eastAsia="宋体"/>
                <w:sz w:val="16"/>
              </w:rPr>
              <w:t>偏差原因分析及改进措施</w:t>
            </w:r>
          </w:p>
        </w:tc>
      </w:tr>
      <w:tr w14:paraId="51C9430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5A609B">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E7F64E">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F358C7">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69CBAF">
            <w:pPr>
              <w:jc w:val="center"/>
            </w:pPr>
            <w:r>
              <w:rPr>
                <w:rFonts w:ascii="宋体" w:hAnsi="宋体" w:eastAsia="宋体"/>
                <w:sz w:val="16"/>
              </w:rPr>
              <w:t>补助人数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F76BD6">
            <w:pPr>
              <w:jc w:val="center"/>
            </w:pPr>
            <w:r>
              <w:rPr>
                <w:rFonts w:ascii="宋体" w:hAnsi="宋体" w:eastAsia="宋体"/>
                <w:sz w:val="16"/>
              </w:rPr>
              <w:t>≥1人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AD3369">
            <w:pPr>
              <w:jc w:val="center"/>
            </w:pPr>
            <w:r>
              <w:rPr>
                <w:rFonts w:ascii="宋体" w:hAnsi="宋体" w:eastAsia="宋体"/>
                <w:sz w:val="16"/>
              </w:rPr>
              <w:t>=1人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5F0C3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AAEC7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3EE38D">
            <w:pPr>
              <w:jc w:val="center"/>
            </w:pPr>
          </w:p>
        </w:tc>
      </w:tr>
      <w:tr w14:paraId="29E9AC7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7D66F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26D05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5FEF83">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9C8788">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AF1A8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ED1B1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7167A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5569D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3B387A">
            <w:pPr>
              <w:jc w:val="center"/>
            </w:pPr>
          </w:p>
        </w:tc>
      </w:tr>
      <w:tr w14:paraId="7ED89CB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2AA39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A5BBB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680597">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305964">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FEBB1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06E94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7347F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85891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5863A2">
            <w:pPr>
              <w:jc w:val="center"/>
            </w:pPr>
          </w:p>
        </w:tc>
      </w:tr>
      <w:tr w14:paraId="0EC0B4D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703C6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2691F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76356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A075FE">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5E1DEC">
            <w:pPr>
              <w:jc w:val="center"/>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53FCA7">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235A8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AEBE5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8AB226">
            <w:pPr>
              <w:jc w:val="center"/>
            </w:pPr>
          </w:p>
        </w:tc>
      </w:tr>
      <w:tr w14:paraId="7142590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51CC4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523613">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510E7A">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5ABF1A">
            <w:pPr>
              <w:jc w:val="center"/>
            </w:pPr>
            <w:r>
              <w:rPr>
                <w:rFonts w:ascii="宋体" w:hAnsi="宋体" w:eastAsia="宋体"/>
                <w:sz w:val="16"/>
              </w:rPr>
              <w:t>援疆补贴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3B1A85">
            <w:pPr>
              <w:jc w:val="center"/>
            </w:pPr>
            <w:r>
              <w:rPr>
                <w:rFonts w:ascii="宋体" w:hAnsi="宋体" w:eastAsia="宋体"/>
                <w:sz w:val="16"/>
              </w:rPr>
              <w:t>≤1.2万元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BB5A64">
            <w:pPr>
              <w:jc w:val="center"/>
            </w:pPr>
            <w:r>
              <w:rPr>
                <w:rFonts w:ascii="宋体" w:hAnsi="宋体" w:eastAsia="宋体"/>
                <w:sz w:val="16"/>
              </w:rPr>
              <w:t>=1.2万元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6D7FD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9554E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9224F4">
            <w:pPr>
              <w:jc w:val="center"/>
            </w:pPr>
          </w:p>
        </w:tc>
      </w:tr>
      <w:tr w14:paraId="069A706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0E962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A69574">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6988AD">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3D8F8A">
            <w:pPr>
              <w:jc w:val="center"/>
            </w:pPr>
            <w:r>
              <w:rPr>
                <w:rFonts w:ascii="宋体" w:hAnsi="宋体" w:eastAsia="宋体"/>
                <w:sz w:val="16"/>
              </w:rPr>
              <w:t>公共文化服务水平提高程度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FCA087">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EEA74D">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49600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BBC98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9AD759">
            <w:pPr>
              <w:jc w:val="center"/>
            </w:pPr>
          </w:p>
        </w:tc>
      </w:tr>
      <w:tr w14:paraId="5629102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9B633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A54EC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68A85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B3EBE4">
            <w:pPr>
              <w:jc w:val="center"/>
            </w:pPr>
            <w:r>
              <w:rPr>
                <w:rFonts w:ascii="宋体" w:hAnsi="宋体" w:eastAsia="宋体"/>
                <w:sz w:val="16"/>
              </w:rPr>
              <w:t>受益干部满意度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41549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6C06A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6BD3F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6B951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33A380">
            <w:pPr>
              <w:jc w:val="center"/>
            </w:pPr>
          </w:p>
        </w:tc>
      </w:tr>
      <w:tr w14:paraId="640C0FC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103A19">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F6D5C8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08A5A8">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290295F">
            <w:pPr>
              <w:jc w:val="center"/>
            </w:pPr>
            <w:r>
              <w:rPr>
                <w:rFonts w:ascii="宋体" w:hAnsi="宋体" w:eastAsia="宋体"/>
                <w:sz w:val="16"/>
              </w:rPr>
              <w:t>100分</w:t>
            </w:r>
          </w:p>
        </w:tc>
      </w:tr>
    </w:tbl>
    <w:p w14:paraId="438FC571">
      <w:r>
        <w:br w:type="page"/>
      </w:r>
    </w:p>
    <w:p w14:paraId="0E25E541">
      <w:pPr>
        <w:spacing w:line="640" w:lineRule="exact"/>
        <w:ind w:firstLine="640"/>
        <w:jc w:val="both"/>
        <w:outlineLvl w:val="2"/>
      </w:pPr>
      <w:r>
        <w:rPr>
          <w:rFonts w:ascii="黑体" w:hAnsi="黑体" w:eastAsia="黑体"/>
          <w:sz w:val="32"/>
        </w:rPr>
        <w:t>十二、其他需说明的事项</w:t>
      </w:r>
    </w:p>
    <w:p w14:paraId="49D7D7BA">
      <w:pPr>
        <w:spacing w:line="580" w:lineRule="exact"/>
        <w:ind w:firstLine="640"/>
        <w:jc w:val="both"/>
      </w:pPr>
      <w:r>
        <w:rPr>
          <w:rFonts w:ascii="仿宋_GB2312" w:hAnsi="仿宋_GB2312" w:eastAsia="仿宋_GB2312"/>
          <w:b w:val="0"/>
          <w:sz w:val="32"/>
        </w:rPr>
        <w:t>本单位无其他需说明的事项。</w:t>
      </w:r>
    </w:p>
    <w:p w14:paraId="4AF69215">
      <w:r>
        <w:br w:type="page"/>
      </w:r>
    </w:p>
    <w:p w14:paraId="1CCE8333">
      <w:pPr>
        <w:spacing w:line="240" w:lineRule="auto"/>
        <w:jc w:val="center"/>
        <w:outlineLvl w:val="1"/>
      </w:pPr>
      <w:r>
        <w:rPr>
          <w:rFonts w:ascii="黑体" w:hAnsi="黑体" w:eastAsia="黑体"/>
          <w:sz w:val="32"/>
        </w:rPr>
        <w:t>第三部分 专业名词解释</w:t>
      </w:r>
    </w:p>
    <w:p w14:paraId="39798073">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0A354CD">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94618A2">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AF68EF2">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3A23DEF8">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80FD796">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429543E3">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5439A54">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3F8DABC">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78E6683">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AF15BE3">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23672ED">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5DAED51">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30A885A">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E0B5284">
      <w:r>
        <w:br w:type="page"/>
      </w:r>
    </w:p>
    <w:p w14:paraId="21C009DA">
      <w:pPr>
        <w:spacing w:line="240" w:lineRule="auto"/>
        <w:jc w:val="center"/>
        <w:outlineLvl w:val="1"/>
      </w:pPr>
      <w:r>
        <w:rPr>
          <w:rFonts w:ascii="黑体" w:hAnsi="黑体" w:eastAsia="黑体"/>
          <w:sz w:val="32"/>
        </w:rPr>
        <w:t>第四部分 部门决算报表（见附表）</w:t>
      </w:r>
    </w:p>
    <w:p w14:paraId="2CA89B95">
      <w:pPr>
        <w:spacing w:line="240" w:lineRule="auto"/>
        <w:ind w:firstLine="640"/>
        <w:jc w:val="both"/>
      </w:pPr>
      <w:r>
        <w:rPr>
          <w:rFonts w:ascii="仿宋_GB2312" w:hAnsi="仿宋_GB2312" w:eastAsia="仿宋_GB2312"/>
          <w:b w:val="0"/>
          <w:sz w:val="32"/>
        </w:rPr>
        <w:t>一、《收入支出决算总表》</w:t>
      </w:r>
    </w:p>
    <w:p w14:paraId="507CA47A">
      <w:pPr>
        <w:spacing w:line="240" w:lineRule="auto"/>
        <w:ind w:firstLine="640"/>
        <w:jc w:val="both"/>
      </w:pPr>
      <w:r>
        <w:rPr>
          <w:rFonts w:ascii="仿宋_GB2312" w:hAnsi="仿宋_GB2312" w:eastAsia="仿宋_GB2312"/>
          <w:b w:val="0"/>
          <w:sz w:val="32"/>
        </w:rPr>
        <w:t>二、《收入决算表》</w:t>
      </w:r>
    </w:p>
    <w:p w14:paraId="71B95266">
      <w:pPr>
        <w:spacing w:line="240" w:lineRule="auto"/>
        <w:ind w:firstLine="640"/>
        <w:jc w:val="both"/>
      </w:pPr>
      <w:r>
        <w:rPr>
          <w:rFonts w:ascii="仿宋_GB2312" w:hAnsi="仿宋_GB2312" w:eastAsia="仿宋_GB2312"/>
          <w:b w:val="0"/>
          <w:sz w:val="32"/>
        </w:rPr>
        <w:t>三、《支出决算表》</w:t>
      </w:r>
    </w:p>
    <w:p w14:paraId="0E5CBE1B">
      <w:pPr>
        <w:spacing w:line="240" w:lineRule="auto"/>
        <w:ind w:firstLine="640"/>
        <w:jc w:val="both"/>
      </w:pPr>
      <w:r>
        <w:rPr>
          <w:rFonts w:ascii="仿宋_GB2312" w:hAnsi="仿宋_GB2312" w:eastAsia="仿宋_GB2312"/>
          <w:b w:val="0"/>
          <w:sz w:val="32"/>
        </w:rPr>
        <w:t>四、《财政拨款收入支出决算总表》</w:t>
      </w:r>
    </w:p>
    <w:p w14:paraId="719D97D3">
      <w:pPr>
        <w:spacing w:line="240" w:lineRule="auto"/>
        <w:ind w:firstLine="640"/>
        <w:jc w:val="both"/>
      </w:pPr>
      <w:r>
        <w:rPr>
          <w:rFonts w:ascii="仿宋_GB2312" w:hAnsi="仿宋_GB2312" w:eastAsia="仿宋_GB2312"/>
          <w:b w:val="0"/>
          <w:sz w:val="32"/>
        </w:rPr>
        <w:t>五、《一般公共预算财政拨款支出决算表》</w:t>
      </w:r>
    </w:p>
    <w:p w14:paraId="04F03199">
      <w:pPr>
        <w:spacing w:line="240" w:lineRule="auto"/>
        <w:ind w:firstLine="640"/>
        <w:jc w:val="both"/>
      </w:pPr>
      <w:r>
        <w:rPr>
          <w:rFonts w:ascii="仿宋_GB2312" w:hAnsi="仿宋_GB2312" w:eastAsia="仿宋_GB2312"/>
          <w:b w:val="0"/>
          <w:sz w:val="32"/>
        </w:rPr>
        <w:t>六、《一般公共预算财政拨款基本支出决算表》</w:t>
      </w:r>
    </w:p>
    <w:p w14:paraId="03832893">
      <w:pPr>
        <w:spacing w:line="240" w:lineRule="auto"/>
        <w:ind w:firstLine="640"/>
        <w:jc w:val="both"/>
      </w:pPr>
      <w:r>
        <w:rPr>
          <w:rFonts w:ascii="仿宋_GB2312" w:hAnsi="仿宋_GB2312" w:eastAsia="仿宋_GB2312"/>
          <w:b w:val="0"/>
          <w:sz w:val="32"/>
        </w:rPr>
        <w:t>七、《政府性基金预算财政拨款收入支出决算表》</w:t>
      </w:r>
    </w:p>
    <w:p w14:paraId="2B449C28">
      <w:pPr>
        <w:spacing w:line="240" w:lineRule="auto"/>
        <w:ind w:firstLine="640"/>
        <w:jc w:val="both"/>
      </w:pPr>
      <w:r>
        <w:rPr>
          <w:rFonts w:ascii="仿宋_GB2312" w:hAnsi="仿宋_GB2312" w:eastAsia="仿宋_GB2312"/>
          <w:b w:val="0"/>
          <w:sz w:val="32"/>
        </w:rPr>
        <w:t>八、《国有资本经营预算财政拨款收入支出决算表》</w:t>
      </w:r>
    </w:p>
    <w:p w14:paraId="4D2E6EFC">
      <w:pPr>
        <w:spacing w:line="240" w:lineRule="auto"/>
        <w:ind w:firstLine="640"/>
        <w:jc w:val="both"/>
      </w:pPr>
      <w:r>
        <w:rPr>
          <w:rFonts w:ascii="仿宋_GB2312" w:hAnsi="仿宋_GB2312" w:eastAsia="仿宋_GB2312"/>
          <w:b w:val="0"/>
          <w:sz w:val="32"/>
        </w:rPr>
        <w:t>九、《财政拨款“三公”经费支出决算表》</w:t>
      </w:r>
    </w:p>
    <w:p w14:paraId="1B8B3BD9">
      <w:pPr>
        <w:spacing w:line="240" w:lineRule="auto"/>
        <w:ind w:firstLine="640"/>
        <w:jc w:val="both"/>
      </w:pPr>
    </w:p>
    <w:p w14:paraId="76D3D776">
      <w:pPr>
        <w:spacing w:line="240" w:lineRule="auto"/>
        <w:ind w:firstLine="640"/>
        <w:jc w:val="both"/>
      </w:pPr>
    </w:p>
    <w:p w14:paraId="618CEA00">
      <w:pPr>
        <w:spacing w:line="240" w:lineRule="auto"/>
        <w:ind w:firstLine="640"/>
        <w:jc w:val="both"/>
      </w:pPr>
    </w:p>
    <w:p w14:paraId="0EEC0146">
      <w:pPr>
        <w:spacing w:line="240" w:lineRule="auto"/>
        <w:ind w:firstLine="640"/>
        <w:jc w:val="both"/>
      </w:pPr>
    </w:p>
    <w:p w14:paraId="232285DB">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script"/>
    <w:pitch w:val="default"/>
    <w:sig w:usb0="A00002BF" w:usb1="38CF7CFA" w:usb2="00082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68243A4"/>
    <w:rsid w:val="67D111AB"/>
    <w:rsid w:val="68DB0208"/>
    <w:rsid w:val="68DF36D5"/>
    <w:rsid w:val="69846A0E"/>
    <w:rsid w:val="69AD798C"/>
    <w:rsid w:val="6B68175F"/>
    <w:rsid w:val="6B8B5C99"/>
    <w:rsid w:val="6CA7198F"/>
    <w:rsid w:val="6D4276A4"/>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29</Pages>
  <Words>1504</Words>
  <Characters>1711</Characters>
  <Lines>0</Lines>
  <Paragraphs>0</Paragraphs>
  <TotalTime>3</TotalTime>
  <ScaleCrop>false</ScaleCrop>
  <LinksUpToDate>false</LinksUpToDate>
  <CharactersWithSpaces>1720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对方正在输入</cp:lastModifiedBy>
  <cp:lastPrinted>2025-09-12T09:36:07Z</cp:lastPrinted>
  <dcterms:modified xsi:type="dcterms:W3CDTF">2025-09-12T09:36:15Z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eyJoZGlkIjoiMTJhZjI3ZGU3OTE4YjQxN2ZhZTBjYzIyODBlZGNiMzUiLCJ1c2VySWQiOiI1OTI3ODI2OTAifQ==</vt:lpwstr>
  </property>
</Properties>
</file>