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和田地区大数据发展服务中心2024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0A91FB">
      <w:r>
        <w:br w:type="page"/>
      </w:r>
    </w:p>
    <w:p w14:paraId="702FE6F9">
      <w:pPr>
        <w:spacing w:line="640" w:lineRule="exact"/>
        <w:jc w:val="center"/>
        <w:outlineLvl w:val="1"/>
      </w:pPr>
      <w:r>
        <w:rPr>
          <w:rFonts w:ascii="黑体" w:hAnsi="黑体" w:eastAsia="黑体"/>
          <w:sz w:val="32"/>
        </w:rPr>
        <w:t>第一部分 单位概况</w:t>
      </w:r>
    </w:p>
    <w:p w14:paraId="0B998A7E">
      <w:pPr>
        <w:spacing w:line="640" w:lineRule="exact"/>
        <w:ind w:firstLine="640"/>
        <w:jc w:val="both"/>
        <w:outlineLvl w:val="2"/>
      </w:pPr>
      <w:r>
        <w:rPr>
          <w:rFonts w:ascii="黑体" w:hAnsi="黑体" w:eastAsia="黑体"/>
          <w:sz w:val="32"/>
        </w:rPr>
        <w:t>一、主要职能</w:t>
      </w:r>
    </w:p>
    <w:p w14:paraId="21A5D2F5">
      <w:pPr>
        <w:spacing w:line="580" w:lineRule="exact"/>
        <w:ind w:firstLine="640"/>
        <w:jc w:val="both"/>
      </w:pPr>
      <w:r>
        <w:rPr>
          <w:rFonts w:ascii="仿宋_GB2312" w:hAnsi="仿宋_GB2312" w:eastAsia="仿宋_GB2312"/>
          <w:sz w:val="32"/>
        </w:rPr>
        <w:t>（一）贯彻落实全地区数据资源的采集归集、存储使用、开放共享等标准规范，承担全地区数据资源归集整理、开发利用、开放共享等具体工作；为数据资源做好技术支持、协调推进、服务保障等工作。</w:t>
      </w:r>
    </w:p>
    <w:p w14:paraId="6F8D707C">
      <w:pPr>
        <w:spacing w:line="580" w:lineRule="exact"/>
        <w:ind w:firstLine="640"/>
        <w:jc w:val="both"/>
      </w:pPr>
      <w:r>
        <w:rPr>
          <w:rFonts w:ascii="仿宋_GB2312" w:hAnsi="仿宋_GB2312" w:eastAsia="仿宋_GB2312"/>
          <w:sz w:val="32"/>
        </w:rPr>
        <w:t>（二）承担地区公共数据基础设施建设，日常管理工作。</w:t>
      </w:r>
    </w:p>
    <w:p w14:paraId="73ED4015">
      <w:pPr>
        <w:spacing w:line="580" w:lineRule="exact"/>
        <w:ind w:firstLine="640"/>
        <w:jc w:val="both"/>
      </w:pPr>
      <w:r>
        <w:rPr>
          <w:rFonts w:ascii="仿宋_GB2312" w:hAnsi="仿宋_GB2312" w:eastAsia="仿宋_GB2312"/>
          <w:sz w:val="32"/>
        </w:rPr>
        <w:t>（三）承担地区信息公开数据资源平台、信息化系统的建设、日常管理、技术保障等工作。</w:t>
      </w:r>
    </w:p>
    <w:p w14:paraId="0FA5822E">
      <w:pPr>
        <w:spacing w:line="580" w:lineRule="exact"/>
        <w:ind w:firstLine="640"/>
        <w:jc w:val="both"/>
      </w:pPr>
      <w:r>
        <w:rPr>
          <w:rFonts w:ascii="仿宋_GB2312" w:hAnsi="仿宋_GB2312" w:eastAsia="仿宋_GB2312"/>
          <w:sz w:val="32"/>
        </w:rPr>
        <w:t>（四）指导地区经济社会各领域的数据开发利用工作，促进地区大数据产业发展。</w:t>
      </w:r>
    </w:p>
    <w:p w14:paraId="635602F0">
      <w:pPr>
        <w:spacing w:line="580" w:lineRule="exact"/>
        <w:ind w:firstLine="640"/>
        <w:jc w:val="both"/>
      </w:pPr>
      <w:r>
        <w:rPr>
          <w:rFonts w:ascii="仿宋_GB2312" w:hAnsi="仿宋_GB2312" w:eastAsia="仿宋_GB2312"/>
          <w:sz w:val="32"/>
        </w:rPr>
        <w:t>（五）负责地区数据资源领域的对外交流合作。</w:t>
      </w:r>
    </w:p>
    <w:p w14:paraId="40A892D6">
      <w:pPr>
        <w:spacing w:line="580" w:lineRule="exact"/>
        <w:ind w:firstLine="640"/>
        <w:jc w:val="both"/>
      </w:pPr>
      <w:r>
        <w:rPr>
          <w:rFonts w:ascii="仿宋_GB2312" w:hAnsi="仿宋_GB2312" w:eastAsia="仿宋_GB2312"/>
          <w:sz w:val="32"/>
        </w:rPr>
        <w:t>（六）承担县市数据中心数据资源建设维护的技术交流指导工作。</w:t>
      </w:r>
    </w:p>
    <w:p w14:paraId="590AD40A">
      <w:pPr>
        <w:spacing w:line="580" w:lineRule="exact"/>
        <w:ind w:firstLine="640"/>
        <w:jc w:val="both"/>
      </w:pPr>
      <w:r>
        <w:rPr>
          <w:rFonts w:ascii="仿宋_GB2312" w:hAnsi="仿宋_GB2312" w:eastAsia="仿宋_GB2312"/>
          <w:sz w:val="32"/>
        </w:rPr>
        <w:t>（七）承办地委、行署及上级业务部门交办的其他工作。</w:t>
      </w:r>
    </w:p>
    <w:p w14:paraId="7AA8332E">
      <w:pPr>
        <w:spacing w:line="640" w:lineRule="exact"/>
        <w:ind w:firstLine="640"/>
        <w:jc w:val="both"/>
        <w:outlineLvl w:val="2"/>
      </w:pPr>
      <w:r>
        <w:rPr>
          <w:rFonts w:ascii="黑体" w:hAnsi="黑体" w:eastAsia="黑体"/>
          <w:sz w:val="32"/>
        </w:rPr>
        <w:t>二、机构设置及人员情况</w:t>
      </w:r>
    </w:p>
    <w:p w14:paraId="3493CC4C">
      <w:pPr>
        <w:spacing w:line="580" w:lineRule="exact"/>
        <w:ind w:firstLine="640"/>
        <w:jc w:val="both"/>
      </w:pPr>
      <w:r>
        <w:rPr>
          <w:rFonts w:ascii="仿宋_GB2312" w:hAnsi="仿宋_GB2312" w:eastAsia="仿宋_GB2312"/>
          <w:sz w:val="32"/>
        </w:rPr>
        <w:t>和田地区大数据发展服务中心2024年度，实有人数6人，其中：在职人员6人，减少1人；离休人员0人，增加0人；退休人员0人,增加0人。</w:t>
      </w:r>
    </w:p>
    <w:p w14:paraId="69BE5484">
      <w:pPr>
        <w:spacing w:line="580" w:lineRule="exact"/>
        <w:ind w:firstLine="640"/>
        <w:jc w:val="both"/>
      </w:pPr>
      <w:r>
        <w:rPr>
          <w:rFonts w:ascii="仿宋_GB2312" w:hAnsi="仿宋_GB2312" w:eastAsia="仿宋_GB2312"/>
          <w:sz w:val="32"/>
        </w:rPr>
        <w:t>和田地区大数据发展服务中心无下属预算单位，下设2个科室，分别是：办公室、数据资源中心。</w:t>
      </w:r>
    </w:p>
    <w:p w14:paraId="65238115">
      <w:r>
        <w:br w:type="page"/>
      </w:r>
    </w:p>
    <w:p w14:paraId="124EBB9E">
      <w:pPr>
        <w:spacing w:line="240" w:lineRule="auto"/>
        <w:jc w:val="center"/>
        <w:outlineLvl w:val="1"/>
      </w:pPr>
      <w:r>
        <w:rPr>
          <w:rFonts w:ascii="黑体" w:hAnsi="黑体" w:eastAsia="黑体"/>
          <w:sz w:val="32"/>
        </w:rPr>
        <w:t>第二部分 部门决算情况说明</w:t>
      </w:r>
    </w:p>
    <w:p w14:paraId="203909F0">
      <w:pPr>
        <w:spacing w:line="640" w:lineRule="exact"/>
        <w:ind w:firstLine="640"/>
        <w:jc w:val="both"/>
        <w:outlineLvl w:val="2"/>
      </w:pPr>
      <w:r>
        <w:rPr>
          <w:rFonts w:ascii="黑体" w:hAnsi="黑体" w:eastAsia="黑体"/>
          <w:sz w:val="32"/>
        </w:rPr>
        <w:t>一、收入支出决算总体情况说明</w:t>
      </w:r>
    </w:p>
    <w:p w14:paraId="393C932A">
      <w:pPr>
        <w:spacing w:line="580" w:lineRule="exact"/>
        <w:ind w:firstLine="640"/>
        <w:jc w:val="both"/>
      </w:pPr>
      <w:r>
        <w:rPr>
          <w:rFonts w:ascii="仿宋_GB2312" w:hAnsi="仿宋_GB2312" w:eastAsia="仿宋_GB2312"/>
          <w:b/>
          <w:sz w:val="32"/>
        </w:rPr>
        <w:t>2024年度收入总计113.79万元，</w:t>
      </w:r>
      <w:r>
        <w:rPr>
          <w:rFonts w:ascii="仿宋_GB2312" w:hAnsi="仿宋_GB2312" w:eastAsia="仿宋_GB2312"/>
          <w:b w:val="0"/>
          <w:sz w:val="32"/>
        </w:rPr>
        <w:t>其中：本年收入合计113.78万元，使用非财政拨款结余（含专用结余）0.00万元，年初结转和结余0.01万元。</w:t>
      </w:r>
    </w:p>
    <w:p w14:paraId="290A12C1">
      <w:pPr>
        <w:spacing w:line="580" w:lineRule="exact"/>
        <w:ind w:firstLine="640"/>
        <w:jc w:val="both"/>
      </w:pPr>
      <w:r>
        <w:rPr>
          <w:rFonts w:ascii="仿宋_GB2312" w:hAnsi="仿宋_GB2312" w:eastAsia="仿宋_GB2312"/>
          <w:b/>
          <w:sz w:val="32"/>
        </w:rPr>
        <w:t>2024年度支出总计113.79万元，</w:t>
      </w:r>
      <w:r>
        <w:rPr>
          <w:rFonts w:ascii="仿宋_GB2312" w:hAnsi="仿宋_GB2312" w:eastAsia="仿宋_GB2312"/>
          <w:b w:val="0"/>
          <w:sz w:val="32"/>
        </w:rPr>
        <w:t>其中：本年支出合计113.79万元，结余分配0.00万元，年末结转和结余0.00万元。</w:t>
      </w:r>
    </w:p>
    <w:p w14:paraId="07D3F66A">
      <w:pPr>
        <w:spacing w:line="580" w:lineRule="exact"/>
        <w:ind w:firstLine="640"/>
        <w:jc w:val="both"/>
      </w:pPr>
      <w:r>
        <w:rPr>
          <w:rFonts w:ascii="仿宋_GB2312" w:hAnsi="仿宋_GB2312" w:eastAsia="仿宋_GB2312"/>
          <w:b w:val="0"/>
          <w:sz w:val="32"/>
        </w:rPr>
        <w:t>收入支出总体与上年相比，减少401.31万元，下降77.91%，主要原因是：本年度机构改革，8</w:t>
      </w:r>
      <w:r>
        <w:rPr>
          <w:rFonts w:hint="eastAsia" w:ascii="仿宋_GB2312" w:hAnsi="仿宋_GB2312" w:eastAsia="仿宋_GB2312"/>
          <w:b w:val="0"/>
          <w:sz w:val="32"/>
          <w:lang w:eastAsia="zh-CN"/>
        </w:rPr>
        <w:t>月份以</w:t>
      </w:r>
      <w:r>
        <w:rPr>
          <w:rFonts w:ascii="仿宋_GB2312" w:hAnsi="仿宋_GB2312" w:eastAsia="仿宋_GB2312"/>
          <w:b w:val="0"/>
          <w:sz w:val="32"/>
        </w:rPr>
        <w:t>后人员经费、公用经费及项目经费，全部合并至和田地区数字化发展局，导致本年收入支出较上年减少。</w:t>
      </w:r>
    </w:p>
    <w:p w14:paraId="67A2BC15">
      <w:pPr>
        <w:spacing w:line="640" w:lineRule="exact"/>
        <w:ind w:firstLine="640"/>
        <w:jc w:val="both"/>
        <w:outlineLvl w:val="2"/>
      </w:pPr>
      <w:r>
        <w:rPr>
          <w:rFonts w:ascii="黑体" w:hAnsi="黑体" w:eastAsia="黑体"/>
          <w:sz w:val="32"/>
        </w:rPr>
        <w:t>二、收入决算情况说明</w:t>
      </w:r>
    </w:p>
    <w:p w14:paraId="2C1B8612">
      <w:pPr>
        <w:spacing w:line="580" w:lineRule="exact"/>
        <w:ind w:firstLine="640"/>
        <w:jc w:val="both"/>
      </w:pPr>
      <w:r>
        <w:rPr>
          <w:rFonts w:ascii="仿宋_GB2312" w:hAnsi="仿宋_GB2312" w:eastAsia="仿宋_GB2312"/>
          <w:b/>
          <w:sz w:val="32"/>
        </w:rPr>
        <w:t>本年收入113.78万元，</w:t>
      </w:r>
      <w:r>
        <w:rPr>
          <w:rFonts w:ascii="仿宋_GB2312" w:hAnsi="仿宋_GB2312" w:eastAsia="仿宋_GB2312"/>
          <w:b w:val="0"/>
          <w:sz w:val="32"/>
        </w:rPr>
        <w:t>其中：财政拨款收入113.77万元，占99.99%；上级补助收入0.00万元，占0.00%；事业收入0.00万元，占0.00%；经营收入0.00万元，占0.00%；附属单位上缴收入0.00万元，占0.00%；其他收入0.01万元，占0.0</w:t>
      </w:r>
      <w:r>
        <w:rPr>
          <w:rFonts w:hint="eastAsia" w:ascii="仿宋_GB2312" w:hAnsi="仿宋_GB2312" w:eastAsia="仿宋_GB2312"/>
          <w:b w:val="0"/>
          <w:sz w:val="32"/>
          <w:lang w:val="en-US" w:eastAsia="zh-CN"/>
        </w:rPr>
        <w:t>1</w:t>
      </w:r>
      <w:r>
        <w:rPr>
          <w:rFonts w:ascii="仿宋_GB2312" w:hAnsi="仿宋_GB2312" w:eastAsia="仿宋_GB2312"/>
          <w:b w:val="0"/>
          <w:sz w:val="32"/>
        </w:rPr>
        <w:t>%。</w:t>
      </w:r>
    </w:p>
    <w:p w14:paraId="29495C4D">
      <w:pPr>
        <w:spacing w:line="640" w:lineRule="exact"/>
        <w:ind w:firstLine="640"/>
        <w:jc w:val="both"/>
        <w:outlineLvl w:val="2"/>
      </w:pPr>
      <w:r>
        <w:rPr>
          <w:rFonts w:ascii="黑体" w:hAnsi="黑体" w:eastAsia="黑体"/>
          <w:sz w:val="32"/>
        </w:rPr>
        <w:t>三、支出决算情况说明</w:t>
      </w:r>
    </w:p>
    <w:p w14:paraId="1C006321">
      <w:pPr>
        <w:spacing w:line="580" w:lineRule="exact"/>
        <w:ind w:firstLine="640"/>
        <w:jc w:val="both"/>
      </w:pPr>
      <w:r>
        <w:rPr>
          <w:rFonts w:ascii="仿宋_GB2312" w:hAnsi="仿宋_GB2312" w:eastAsia="仿宋_GB2312"/>
          <w:b/>
          <w:sz w:val="32"/>
        </w:rPr>
        <w:t>本年支出113.79万元，</w:t>
      </w:r>
      <w:r>
        <w:rPr>
          <w:rFonts w:ascii="仿宋_GB2312" w:hAnsi="仿宋_GB2312" w:eastAsia="仿宋_GB2312"/>
          <w:b w:val="0"/>
          <w:sz w:val="32"/>
        </w:rPr>
        <w:t>其中：基本支出113.09万元，占99.38%；项目支出0.70万元，占0.62%；上缴上级支出0.00万元，占0.00%；经营支出0.00万元，占0.00%；对附属单位补助支出0.00万元，占0.00%。</w:t>
      </w:r>
    </w:p>
    <w:p w14:paraId="21F8726D">
      <w:pPr>
        <w:spacing w:line="640" w:lineRule="exact"/>
        <w:ind w:firstLine="640"/>
        <w:jc w:val="both"/>
        <w:outlineLvl w:val="2"/>
      </w:pPr>
      <w:r>
        <w:rPr>
          <w:rFonts w:ascii="黑体" w:hAnsi="黑体" w:eastAsia="黑体"/>
          <w:sz w:val="32"/>
        </w:rPr>
        <w:t>四、财政拨款收入支出决算总体情况说明</w:t>
      </w:r>
    </w:p>
    <w:p w14:paraId="05201721">
      <w:pPr>
        <w:spacing w:line="580" w:lineRule="exact"/>
        <w:ind w:firstLine="640"/>
        <w:jc w:val="both"/>
      </w:pPr>
      <w:r>
        <w:rPr>
          <w:rFonts w:ascii="仿宋_GB2312" w:hAnsi="仿宋_GB2312" w:eastAsia="仿宋_GB2312"/>
          <w:b/>
          <w:sz w:val="32"/>
        </w:rPr>
        <w:t>2024年度财政拨款收入总计113.77万元，</w:t>
      </w:r>
      <w:r>
        <w:rPr>
          <w:rFonts w:ascii="仿宋_GB2312" w:hAnsi="仿宋_GB2312" w:eastAsia="仿宋_GB2312"/>
          <w:b w:val="0"/>
          <w:sz w:val="32"/>
        </w:rPr>
        <w:t>其中：年初财政拨款结转和结余0.00万元，本年财政拨款收入113.77万元。</w:t>
      </w:r>
      <w:r>
        <w:rPr>
          <w:rFonts w:ascii="仿宋_GB2312" w:hAnsi="仿宋_GB2312" w:eastAsia="仿宋_GB2312"/>
          <w:b/>
          <w:sz w:val="32"/>
        </w:rPr>
        <w:t>财政拨款支出总计113.77万元，</w:t>
      </w:r>
      <w:r>
        <w:rPr>
          <w:rFonts w:ascii="仿宋_GB2312" w:hAnsi="仿宋_GB2312" w:eastAsia="仿宋_GB2312"/>
          <w:b w:val="0"/>
          <w:sz w:val="32"/>
        </w:rPr>
        <w:t>其中：年末财政拨款结转和结余0.00万元，本年财政拨款支出113.77万元。</w:t>
      </w:r>
    </w:p>
    <w:p w14:paraId="5AAE47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减少62.20万元，下降35.35%，主要原因是：本年度机构改革，8</w:t>
      </w:r>
      <w:r>
        <w:rPr>
          <w:rFonts w:hint="eastAsia" w:ascii="仿宋_GB2312" w:hAnsi="仿宋_GB2312" w:eastAsia="仿宋_GB2312"/>
          <w:b w:val="0"/>
          <w:sz w:val="32"/>
          <w:lang w:eastAsia="zh-CN"/>
        </w:rPr>
        <w:t>月份以</w:t>
      </w:r>
      <w:r>
        <w:rPr>
          <w:rFonts w:ascii="仿宋_GB2312" w:hAnsi="仿宋_GB2312" w:eastAsia="仿宋_GB2312"/>
          <w:b w:val="0"/>
          <w:sz w:val="32"/>
        </w:rPr>
        <w:t>后人员经费、公用经费及项目经费，全部合并至和田地区数字化发展局，导致本年收入支出较上年减少。</w:t>
      </w:r>
      <w:r>
        <w:rPr>
          <w:rFonts w:ascii="仿宋_GB2312" w:hAnsi="仿宋_GB2312" w:eastAsia="仿宋_GB2312"/>
          <w:b/>
          <w:sz w:val="32"/>
        </w:rPr>
        <w:t>与年初预算相比，</w:t>
      </w:r>
      <w:r>
        <w:rPr>
          <w:rFonts w:ascii="仿宋_GB2312" w:hAnsi="仿宋_GB2312" w:eastAsia="仿宋_GB2312"/>
          <w:b w:val="0"/>
          <w:sz w:val="32"/>
        </w:rPr>
        <w:t>年初预算数443.39万元，决算数113.77万元，预决算差异率-74.34%，主要原因是：本年度机构改革，8月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后人员经费、公用经费及项目经费，全部合并至和田地区数字化发展局，预算未</w:t>
      </w:r>
      <w:r>
        <w:rPr>
          <w:rFonts w:hint="eastAsia" w:ascii="仿宋_GB2312" w:hAnsi="仿宋_GB2312" w:eastAsia="仿宋_GB2312"/>
          <w:b w:val="0"/>
          <w:sz w:val="32"/>
          <w:lang w:eastAsia="zh-CN"/>
        </w:rPr>
        <w:t>全部</w:t>
      </w:r>
      <w:r>
        <w:rPr>
          <w:rFonts w:ascii="仿宋_GB2312" w:hAnsi="仿宋_GB2312" w:eastAsia="仿宋_GB2312"/>
          <w:b w:val="0"/>
          <w:sz w:val="32"/>
        </w:rPr>
        <w:t>执行，导致预决算存在差异。</w:t>
      </w:r>
    </w:p>
    <w:p w14:paraId="789DE84D">
      <w:pPr>
        <w:spacing w:line="640" w:lineRule="exact"/>
        <w:ind w:firstLine="640"/>
        <w:jc w:val="both"/>
        <w:outlineLvl w:val="2"/>
      </w:pPr>
      <w:r>
        <w:rPr>
          <w:rFonts w:ascii="黑体" w:hAnsi="黑体" w:eastAsia="黑体"/>
          <w:sz w:val="32"/>
        </w:rPr>
        <w:t>五、一般公共预算财政拨款支出决算情况说明</w:t>
      </w:r>
    </w:p>
    <w:p w14:paraId="6F956786">
      <w:pPr>
        <w:spacing w:line="640" w:lineRule="exact"/>
        <w:ind w:firstLine="640"/>
        <w:jc w:val="both"/>
        <w:outlineLvl w:val="3"/>
      </w:pPr>
      <w:r>
        <w:rPr>
          <w:rFonts w:ascii="楷体_GB2312" w:hAnsi="楷体_GB2312" w:eastAsia="楷体_GB2312"/>
          <w:b/>
          <w:sz w:val="32"/>
        </w:rPr>
        <w:t>（一）一般公共预算财政拨款支出决算总体情况</w:t>
      </w:r>
    </w:p>
    <w:p w14:paraId="25A2FFC5">
      <w:pPr>
        <w:spacing w:line="580" w:lineRule="exact"/>
        <w:ind w:firstLine="640"/>
        <w:jc w:val="both"/>
      </w:pPr>
      <w:r>
        <w:rPr>
          <w:rFonts w:ascii="仿宋_GB2312" w:hAnsi="仿宋_GB2312" w:eastAsia="仿宋_GB2312"/>
          <w:b/>
          <w:sz w:val="32"/>
        </w:rPr>
        <w:t>2024年度一般公共预算财政拨款支出113.77万元，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减少62.20万元，下降35.35%，主要原因是：本年度机构改革，8月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后人员经费、公用经费及项目经费，全部合并至和田地区数字化发展局，导致本年支出较上年减少。</w:t>
      </w:r>
      <w:r>
        <w:rPr>
          <w:rFonts w:ascii="仿宋_GB2312" w:hAnsi="仿宋_GB2312" w:eastAsia="仿宋_GB2312"/>
          <w:b/>
          <w:sz w:val="32"/>
        </w:rPr>
        <w:t>与年初预算相比,</w:t>
      </w:r>
      <w:r>
        <w:rPr>
          <w:rFonts w:ascii="仿宋_GB2312" w:hAnsi="仿宋_GB2312" w:eastAsia="仿宋_GB2312"/>
          <w:b w:val="0"/>
          <w:sz w:val="32"/>
        </w:rPr>
        <w:t>年初预算数443.39万元，决算数113.77万元，预决算差异率-74.34%，主要原因是：本年度机构改革，8月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后人员经费、公用经费及项目经费，全部合并至和田地区数字化发展局，预算未</w:t>
      </w:r>
      <w:r>
        <w:rPr>
          <w:rFonts w:hint="eastAsia" w:ascii="仿宋_GB2312" w:hAnsi="仿宋_GB2312" w:eastAsia="仿宋_GB2312"/>
          <w:b w:val="0"/>
          <w:sz w:val="32"/>
          <w:lang w:eastAsia="zh-CN"/>
        </w:rPr>
        <w:t>全部</w:t>
      </w:r>
      <w:r>
        <w:rPr>
          <w:rFonts w:ascii="仿宋_GB2312" w:hAnsi="仿宋_GB2312" w:eastAsia="仿宋_GB2312"/>
          <w:b w:val="0"/>
          <w:sz w:val="32"/>
        </w:rPr>
        <w:t>执行，导致预决算存在差异。</w:t>
      </w:r>
    </w:p>
    <w:p w14:paraId="43F17A9F">
      <w:pPr>
        <w:spacing w:line="640" w:lineRule="exact"/>
        <w:ind w:firstLine="640"/>
        <w:jc w:val="both"/>
        <w:outlineLvl w:val="3"/>
      </w:pPr>
      <w:r>
        <w:rPr>
          <w:rFonts w:ascii="楷体_GB2312" w:hAnsi="楷体_GB2312" w:eastAsia="楷体_GB2312"/>
          <w:b/>
          <w:sz w:val="32"/>
        </w:rPr>
        <w:t>（二）一般公共预算财政拨款支出决算结构情况</w:t>
      </w:r>
    </w:p>
    <w:p w14:paraId="798CFC4E">
      <w:pPr>
        <w:spacing w:line="580" w:lineRule="exact"/>
        <w:ind w:firstLine="640"/>
        <w:jc w:val="both"/>
      </w:pPr>
      <w:r>
        <w:rPr>
          <w:rFonts w:ascii="仿宋_GB2312" w:hAnsi="仿宋_GB2312" w:eastAsia="仿宋_GB2312"/>
          <w:b w:val="0"/>
          <w:sz w:val="32"/>
        </w:rPr>
        <w:t>1.一般公共服务支出(类)79.94万元,占70.26%。</w:t>
      </w:r>
    </w:p>
    <w:p w14:paraId="69B9FD19">
      <w:pPr>
        <w:spacing w:line="580" w:lineRule="exact"/>
        <w:ind w:firstLine="640"/>
        <w:jc w:val="both"/>
      </w:pPr>
      <w:r>
        <w:rPr>
          <w:rFonts w:ascii="仿宋_GB2312" w:hAnsi="仿宋_GB2312" w:eastAsia="仿宋_GB2312"/>
          <w:b w:val="0"/>
          <w:sz w:val="32"/>
        </w:rPr>
        <w:t>2.社会保障和就业支出(类)20.74万元,占18.23%。</w:t>
      </w:r>
    </w:p>
    <w:p w14:paraId="0013005C">
      <w:pPr>
        <w:spacing w:line="580" w:lineRule="exact"/>
        <w:ind w:firstLine="640"/>
        <w:jc w:val="both"/>
      </w:pPr>
      <w:r>
        <w:rPr>
          <w:rFonts w:ascii="仿宋_GB2312" w:hAnsi="仿宋_GB2312" w:eastAsia="仿宋_GB2312"/>
          <w:b w:val="0"/>
          <w:sz w:val="32"/>
        </w:rPr>
        <w:t>3.卫生健康支出(类)4.35万元,占3.82%。</w:t>
      </w:r>
    </w:p>
    <w:p w14:paraId="4467BE24">
      <w:pPr>
        <w:spacing w:line="580" w:lineRule="exact"/>
        <w:ind w:firstLine="640"/>
        <w:jc w:val="both"/>
      </w:pPr>
      <w:r>
        <w:rPr>
          <w:rFonts w:ascii="仿宋_GB2312" w:hAnsi="仿宋_GB2312" w:eastAsia="仿宋_GB2312"/>
          <w:b w:val="0"/>
          <w:sz w:val="32"/>
        </w:rPr>
        <w:t>4.住房保障支出(类)8.04万元,占7.07%。</w:t>
      </w:r>
    </w:p>
    <w:p w14:paraId="6105C40B">
      <w:pPr>
        <w:spacing w:line="580" w:lineRule="exact"/>
        <w:ind w:firstLine="640"/>
        <w:jc w:val="both"/>
      </w:pPr>
      <w:r>
        <w:rPr>
          <w:rFonts w:ascii="仿宋_GB2312" w:hAnsi="仿宋_GB2312" w:eastAsia="仿宋_GB2312"/>
          <w:b w:val="0"/>
          <w:sz w:val="32"/>
        </w:rPr>
        <w:t>5.其他支出(类)0.70万元,占0.62%。</w:t>
      </w:r>
    </w:p>
    <w:p w14:paraId="719EEF26">
      <w:pPr>
        <w:spacing w:line="640" w:lineRule="exact"/>
        <w:ind w:firstLine="640"/>
        <w:jc w:val="both"/>
        <w:outlineLvl w:val="3"/>
      </w:pPr>
      <w:r>
        <w:rPr>
          <w:rFonts w:ascii="楷体_GB2312" w:hAnsi="楷体_GB2312" w:eastAsia="楷体_GB2312"/>
          <w:b/>
          <w:sz w:val="32"/>
        </w:rPr>
        <w:t>（三）一般公共预算财政拨款支出决算具体情况</w:t>
      </w:r>
    </w:p>
    <w:p w14:paraId="0554FB3F">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1.一般公共服务支出(类)政府办公厅（室）及相关机构事务(款)事业运行(项):支出决算数为79.94万元，比上年决算减少81.00万元，下降50.33%,主要原因是：本年度机构改革，8月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后人员经费、公用经费，合并至和田地区数字化发展局，导致支出较上年减少。</w:t>
      </w:r>
    </w:p>
    <w:p w14:paraId="34D3FC13">
      <w:pPr>
        <w:spacing w:line="580" w:lineRule="exact"/>
        <w:ind w:firstLine="640"/>
        <w:jc w:val="both"/>
      </w:pPr>
      <w:r>
        <w:rPr>
          <w:rFonts w:ascii="仿宋_GB2312" w:hAnsi="仿宋_GB2312" w:eastAsia="仿宋_GB2312"/>
          <w:b w:val="0"/>
          <w:sz w:val="32"/>
        </w:rPr>
        <w:t>2.一般公共服务支出(类)组织事务(款)其他组织事务支出(项):支出决算数为0.00万元，比上年决算减少0.80万元，下降100.00%,主要原因是：本年科目调整，援疆干部生活补助资金由其他组织事务支出科目调整至其他支出科目支出，导致经费</w:t>
      </w:r>
      <w:r>
        <w:rPr>
          <w:rFonts w:hint="eastAsia" w:ascii="仿宋_GB2312" w:hAnsi="仿宋_GB2312" w:eastAsia="仿宋_GB2312"/>
          <w:b w:val="0"/>
          <w:sz w:val="32"/>
          <w:lang w:eastAsia="zh-CN"/>
        </w:rPr>
        <w:t>支出</w:t>
      </w:r>
      <w:r>
        <w:rPr>
          <w:rFonts w:ascii="仿宋_GB2312" w:hAnsi="仿宋_GB2312" w:eastAsia="仿宋_GB2312"/>
          <w:b w:val="0"/>
          <w:sz w:val="32"/>
        </w:rPr>
        <w:t>较上年减少。</w:t>
      </w:r>
    </w:p>
    <w:p w14:paraId="2D78DBA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3.社会保障和就业支出(类)行政事业单位养老支出(款)机关事业单位基本养老保险缴费支出(项):支出决算数为10.72万元，比上年决算减少2.85万元，下降21.00%,主要原因是：本年度机构改革，8月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后社会保障和就业支出机关事业单位基本养老保险缴费支出，合并至和田地区数字化发展局，导致本年支出较上年减少。</w:t>
      </w:r>
    </w:p>
    <w:p w14:paraId="2C41349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4.社会保障和就业支出(类)行政事业单位养老支出(款)机关事业单位职业年金缴费支出(项):支出决算数为10.03万元，比上年决算增加9.38万元，增长1,443.08%,主要原因是：本年新增调出人员，</w:t>
      </w:r>
      <w:r>
        <w:rPr>
          <w:rFonts w:hint="eastAsia" w:ascii="仿宋_GB2312" w:hAnsi="仿宋_GB2312" w:eastAsia="仿宋_GB2312"/>
          <w:b w:val="0"/>
          <w:sz w:val="32"/>
          <w:lang w:eastAsia="zh-CN"/>
        </w:rPr>
        <w:t>职业年金单位部分记实，</w:t>
      </w:r>
      <w:r>
        <w:rPr>
          <w:rFonts w:ascii="仿宋_GB2312" w:hAnsi="仿宋_GB2312" w:eastAsia="仿宋_GB2312"/>
          <w:b w:val="0"/>
          <w:sz w:val="32"/>
        </w:rPr>
        <w:t>职业年金缴费支出增加。</w:t>
      </w:r>
    </w:p>
    <w:p w14:paraId="533C85E1">
      <w:pPr>
        <w:spacing w:line="580" w:lineRule="exact"/>
        <w:ind w:firstLine="640"/>
        <w:jc w:val="both"/>
      </w:pPr>
      <w:r>
        <w:rPr>
          <w:rFonts w:ascii="仿宋_GB2312" w:hAnsi="仿宋_GB2312" w:eastAsia="仿宋_GB2312"/>
          <w:b w:val="0"/>
          <w:sz w:val="32"/>
        </w:rPr>
        <w:t>5.卫生健康支出(类)行政事业单位医疗(款)事业单位医疗(项):支出决算数为4.35万元，比上年决算增加4.35万元，增长100.00%,主要原因是：本年功能科目调整，事业单位医疗上年度在主科目列支，本年单独列支，导致经费较上年增加。</w:t>
      </w:r>
    </w:p>
    <w:p w14:paraId="7D148B3E">
      <w:pPr>
        <w:spacing w:line="580" w:lineRule="exact"/>
        <w:ind w:firstLine="640"/>
        <w:jc w:val="both"/>
      </w:pPr>
      <w:r>
        <w:rPr>
          <w:rFonts w:ascii="仿宋_GB2312" w:hAnsi="仿宋_GB2312" w:eastAsia="仿宋_GB2312"/>
          <w:b w:val="0"/>
          <w:sz w:val="32"/>
        </w:rPr>
        <w:t>6.住房保障支出(类)住房改革支出(款)住房公积金(项):支出决算数为8.04万元，比上年决算增加8.04万元，增长100.00%,主要原因是：本年在职人员工资调增，公积金缴费基数上涨，相应支出增加。</w:t>
      </w:r>
    </w:p>
    <w:p w14:paraId="0E4CF9B0">
      <w:pPr>
        <w:spacing w:line="580" w:lineRule="exact"/>
        <w:ind w:firstLine="640"/>
        <w:jc w:val="both"/>
      </w:pPr>
      <w:r>
        <w:rPr>
          <w:rFonts w:ascii="仿宋_GB2312" w:hAnsi="仿宋_GB2312" w:eastAsia="仿宋_GB2312"/>
          <w:b w:val="0"/>
          <w:sz w:val="32"/>
        </w:rPr>
        <w:t>7.其他支出(类)其他支出(款)其他支出(项):支出决算数为0.70万元，比上年决算增加0.70万元，增长100.00%,主要原因是：本年科目调整，援疆干部生活补助资金由其他组织事务支出科目调整至其他支出科目支出，导致经费较上年增加。</w:t>
      </w:r>
    </w:p>
    <w:p w14:paraId="4736742C">
      <w:pPr>
        <w:spacing w:line="640" w:lineRule="exact"/>
        <w:ind w:firstLine="640"/>
        <w:jc w:val="both"/>
        <w:outlineLvl w:val="2"/>
      </w:pPr>
      <w:r>
        <w:rPr>
          <w:rFonts w:ascii="黑体" w:hAnsi="黑体" w:eastAsia="黑体"/>
          <w:sz w:val="32"/>
        </w:rPr>
        <w:t>六、一般公共预算财政拨款基本支出决算情况说明</w:t>
      </w:r>
    </w:p>
    <w:p w14:paraId="21254682">
      <w:pPr>
        <w:spacing w:line="580" w:lineRule="exact"/>
        <w:ind w:firstLine="640"/>
        <w:jc w:val="both"/>
      </w:pPr>
      <w:r>
        <w:rPr>
          <w:rFonts w:ascii="仿宋_GB2312" w:hAnsi="仿宋_GB2312" w:eastAsia="仿宋_GB2312"/>
          <w:b w:val="0"/>
          <w:sz w:val="32"/>
        </w:rPr>
        <w:t>2024年度一般公共预算财政拨款基本支出113.07万元，其中：</w:t>
      </w:r>
      <w:r>
        <w:rPr>
          <w:rFonts w:ascii="仿宋_GB2312" w:hAnsi="仿宋_GB2312" w:eastAsia="仿宋_GB2312"/>
          <w:b/>
          <w:sz w:val="32"/>
        </w:rPr>
        <w:t>人员经费106.65万元，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包括：基本工资、津贴补贴、绩效工资、机关事业单位基本养老保险缴费、职业年金缴费、职工基本医疗保险缴费、其他社会保障缴费、住房公积金、生活补助。</w:t>
      </w:r>
    </w:p>
    <w:p w14:paraId="2FFF4C6D">
      <w:pPr>
        <w:spacing w:line="580" w:lineRule="exact"/>
        <w:ind w:firstLine="640"/>
        <w:jc w:val="both"/>
      </w:pPr>
      <w:r>
        <w:rPr>
          <w:rFonts w:ascii="仿宋_GB2312" w:hAnsi="仿宋_GB2312" w:eastAsia="仿宋_GB2312"/>
          <w:b/>
          <w:sz w:val="32"/>
        </w:rPr>
        <w:t>公用经费6.41万元，</w:t>
      </w:r>
      <w:r>
        <w:rPr>
          <w:rFonts w:ascii="仿宋_GB2312" w:hAnsi="仿宋_GB2312" w:eastAsia="仿宋_GB2312"/>
          <w:b w:val="0"/>
          <w:sz w:val="32"/>
        </w:rPr>
        <w:t>包括：办公费、差旅费、劳务费、工会经费、公务用车运行维护费。</w:t>
      </w:r>
    </w:p>
    <w:p w14:paraId="642D4435">
      <w:pPr>
        <w:spacing w:line="640" w:lineRule="exact"/>
        <w:ind w:firstLine="640"/>
        <w:jc w:val="both"/>
        <w:outlineLvl w:val="2"/>
      </w:pPr>
      <w:r>
        <w:rPr>
          <w:rFonts w:ascii="黑体" w:hAnsi="黑体" w:eastAsia="黑体"/>
          <w:sz w:val="32"/>
        </w:rPr>
        <w:t>七、政府性基金预算财政拨款收入支出决算情况说明</w:t>
      </w:r>
    </w:p>
    <w:p w14:paraId="4B84EBA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24D46F">
      <w:pPr>
        <w:spacing w:line="640" w:lineRule="exact"/>
        <w:ind w:firstLine="640"/>
        <w:jc w:val="both"/>
        <w:outlineLvl w:val="2"/>
      </w:pPr>
      <w:r>
        <w:rPr>
          <w:rFonts w:ascii="黑体" w:hAnsi="黑体" w:eastAsia="黑体"/>
          <w:sz w:val="32"/>
        </w:rPr>
        <w:t>八、国有资本经营预算财政拨款收入支出决算情况说明</w:t>
      </w:r>
    </w:p>
    <w:p w14:paraId="6157686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240BAD">
      <w:pPr>
        <w:spacing w:line="640" w:lineRule="exact"/>
        <w:ind w:firstLine="640"/>
        <w:jc w:val="both"/>
        <w:outlineLvl w:val="2"/>
      </w:pPr>
      <w:r>
        <w:rPr>
          <w:rFonts w:ascii="黑体" w:hAnsi="黑体" w:eastAsia="黑体"/>
          <w:sz w:val="32"/>
        </w:rPr>
        <w:t>九、财政拨款“三公”经费支出决算情况说明</w:t>
      </w:r>
    </w:p>
    <w:p w14:paraId="602F66AE">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比上年减少1.00万元，下降50.00%，主要原因是：本年度机构改革，8月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财政拨款“三公”经费支出，合并至和田地区数字化发展局，导致本年“三公”经费支出较上年减少。其中：因公出国（境）费支出0.00万元，占0.00%，比上年增加0.00万元，增长0.00%，主要原因是：2023年与2024年均未安排因公出国（境）费支出。公务用车购置及运行维护费支出1.00万元，占100.00%，比上年减少1.00万元，下降50.00%，主要原因是：本年度机构改革，8月后公务用车购置及运行维护费支出，合并至和田地区数字化发展局，导致车辆运行维护费较上年减少。公务接待费支出0.00万元，占0.00%，比上年增加0.00万元，增长0.00%，主要原因是：2023年与2024年均未安排公务接待费支出。</w:t>
      </w:r>
    </w:p>
    <w:p w14:paraId="281ECB06">
      <w:pPr>
        <w:spacing w:line="580" w:lineRule="exact"/>
        <w:ind w:firstLine="640"/>
        <w:jc w:val="both"/>
      </w:pPr>
      <w:r>
        <w:rPr>
          <w:rFonts w:ascii="仿宋_GB2312" w:hAnsi="仿宋_GB2312" w:eastAsia="仿宋_GB2312"/>
          <w:b/>
          <w:sz w:val="32"/>
        </w:rPr>
        <w:t>具体情况如下：</w:t>
      </w:r>
    </w:p>
    <w:p w14:paraId="0143CA5F">
      <w:pPr>
        <w:spacing w:line="580" w:lineRule="exact"/>
        <w:ind w:firstLine="640"/>
        <w:jc w:val="both"/>
      </w:pPr>
      <w:r>
        <w:rPr>
          <w:rFonts w:ascii="仿宋_GB2312" w:hAnsi="仿宋_GB2312" w:eastAsia="仿宋_GB2312"/>
          <w:b w:val="0"/>
          <w:sz w:val="32"/>
        </w:rPr>
        <w:t>因公出国（境）费支出0.00万元，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本单位无因公出国（境）费。单位全年安排的因公出国（境）团组0个，因公出国（境）0人次。</w:t>
      </w:r>
    </w:p>
    <w:p w14:paraId="400E1247">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37271D49">
      <w:pPr>
        <w:spacing w:line="580" w:lineRule="exact"/>
        <w:ind w:firstLine="640"/>
        <w:jc w:val="both"/>
      </w:pPr>
      <w:r>
        <w:rPr>
          <w:rFonts w:ascii="仿宋_GB2312" w:hAnsi="仿宋_GB2312" w:eastAsia="仿宋_GB2312"/>
          <w:b w:val="0"/>
          <w:sz w:val="32"/>
        </w:rPr>
        <w:t>公务接待费0.00万元，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本单位无公务接待费。单位全年安排的国内公务接待0批次，0人次。</w:t>
      </w:r>
    </w:p>
    <w:p w14:paraId="46DD947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1.00万元，决算数1.00万元，预决算差异率0.00%，主要原因是：严格按照预算执行，预决算无差异。公务接待费全年预算数0.00万元，决算数0.00万元，预决算差异率0.00%，主要原因是：本单位无公务接待费。</w:t>
      </w:r>
    </w:p>
    <w:p w14:paraId="3E5D2301">
      <w:pPr>
        <w:spacing w:line="640" w:lineRule="exact"/>
        <w:ind w:firstLine="640"/>
        <w:jc w:val="both"/>
        <w:outlineLvl w:val="2"/>
      </w:pPr>
      <w:r>
        <w:rPr>
          <w:rFonts w:ascii="黑体" w:hAnsi="黑体" w:eastAsia="黑体"/>
          <w:sz w:val="32"/>
        </w:rPr>
        <w:t>十、其他重要事项的情况说明</w:t>
      </w:r>
    </w:p>
    <w:p w14:paraId="7DF55D7B">
      <w:pPr>
        <w:spacing w:line="640" w:lineRule="exact"/>
        <w:ind w:firstLine="640"/>
        <w:jc w:val="both"/>
        <w:outlineLvl w:val="3"/>
      </w:pPr>
      <w:r>
        <w:rPr>
          <w:rFonts w:ascii="楷体_GB2312" w:hAnsi="楷体_GB2312" w:eastAsia="楷体_GB2312"/>
          <w:b/>
          <w:sz w:val="32"/>
        </w:rPr>
        <w:t>（一）机关运行经费及公用经费支出情况</w:t>
      </w:r>
    </w:p>
    <w:p w14:paraId="7164C498">
      <w:pPr>
        <w:spacing w:line="580" w:lineRule="exact"/>
        <w:ind w:firstLine="640"/>
        <w:jc w:val="both"/>
      </w:pPr>
      <w:r>
        <w:rPr>
          <w:rFonts w:ascii="仿宋_GB2312" w:hAnsi="仿宋_GB2312" w:eastAsia="仿宋_GB2312"/>
          <w:b w:val="0"/>
          <w:sz w:val="32"/>
        </w:rPr>
        <w:t>2024年度和田地区大数据发展服务中心（事业单位）公用经费支出6.41万元，比上年减少10.16万元，下降61.32%，主要原因是：本年度机构改革，8月</w:t>
      </w:r>
      <w:r>
        <w:rPr>
          <w:rFonts w:hint="eastAsia" w:ascii="仿宋_GB2312" w:hAnsi="仿宋_GB2312" w:eastAsia="仿宋_GB2312"/>
          <w:b w:val="0"/>
          <w:sz w:val="32"/>
          <w:lang w:eastAsia="zh-CN"/>
        </w:rPr>
        <w:t>份以</w:t>
      </w:r>
      <w:r>
        <w:rPr>
          <w:rFonts w:ascii="仿宋_GB2312" w:hAnsi="仿宋_GB2312" w:eastAsia="仿宋_GB2312"/>
          <w:b w:val="0"/>
          <w:sz w:val="32"/>
        </w:rPr>
        <w:t>后公用经费，合并至和田地区数字化发展局，导致本年公用经费支出较上年减少。</w:t>
      </w:r>
    </w:p>
    <w:p w14:paraId="48840E11">
      <w:pPr>
        <w:spacing w:line="640" w:lineRule="exact"/>
        <w:ind w:firstLine="640"/>
        <w:jc w:val="both"/>
        <w:outlineLvl w:val="3"/>
      </w:pPr>
      <w:r>
        <w:rPr>
          <w:rFonts w:ascii="楷体_GB2312" w:hAnsi="楷体_GB2312" w:eastAsia="楷体_GB2312"/>
          <w:b/>
          <w:sz w:val="32"/>
        </w:rPr>
        <w:t>（二）政府采购情况</w:t>
      </w:r>
    </w:p>
    <w:p w14:paraId="78FD460F">
      <w:pPr>
        <w:spacing w:line="580" w:lineRule="exact"/>
        <w:ind w:firstLine="640"/>
        <w:jc w:val="both"/>
      </w:pPr>
      <w:r>
        <w:rPr>
          <w:rFonts w:ascii="仿宋_GB2312" w:hAnsi="仿宋_GB2312" w:eastAsia="仿宋_GB2312"/>
          <w:b w:val="0"/>
          <w:sz w:val="32"/>
        </w:rPr>
        <w:t>2024年度政府采购支出总额0.46万元，其中：政府采购货物支出0.00万元、政府采购工程支出0.00万元、政府采购服务支出0.46万元。</w:t>
      </w:r>
    </w:p>
    <w:p w14:paraId="4319304B">
      <w:pPr>
        <w:spacing w:line="580" w:lineRule="exact"/>
        <w:ind w:firstLine="640"/>
        <w:jc w:val="both"/>
      </w:pPr>
      <w:r>
        <w:rPr>
          <w:rFonts w:ascii="仿宋_GB2312" w:hAnsi="仿宋_GB2312" w:eastAsia="仿宋_GB2312"/>
          <w:b w:val="0"/>
          <w:sz w:val="32"/>
        </w:rPr>
        <w:t>授予中小企业合同金额0.46万元，占政府采购支出总额的100.00%，其中：授予小微企业合同金额0.46万元，占政府采购支出总额的100.00%。</w:t>
      </w:r>
    </w:p>
    <w:p w14:paraId="6C6649E1">
      <w:pPr>
        <w:spacing w:line="640" w:lineRule="exact"/>
        <w:ind w:firstLine="640"/>
        <w:jc w:val="both"/>
        <w:outlineLvl w:val="3"/>
      </w:pPr>
      <w:r>
        <w:rPr>
          <w:rFonts w:ascii="楷体_GB2312" w:hAnsi="楷体_GB2312" w:eastAsia="楷体_GB2312"/>
          <w:b/>
          <w:sz w:val="32"/>
        </w:rPr>
        <w:t>（三）国有资产占用情况说明</w:t>
      </w:r>
    </w:p>
    <w:p w14:paraId="5CE3A3B8">
      <w:pPr>
        <w:spacing w:line="580" w:lineRule="exact"/>
        <w:ind w:firstLine="640"/>
        <w:jc w:val="both"/>
      </w:pPr>
      <w:r>
        <w:rPr>
          <w:rFonts w:ascii="仿宋_GB2312" w:hAnsi="仿宋_GB2312" w:eastAsia="仿宋_GB2312"/>
          <w:b w:val="0"/>
          <w:sz w:val="32"/>
        </w:rPr>
        <w:t>截至2024年12月31日，房屋0.00平方米，价值0.00万元。车辆1辆，价值12.30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F0FFAB6">
      <w:pPr>
        <w:spacing w:line="640" w:lineRule="exact"/>
        <w:ind w:firstLine="640"/>
        <w:jc w:val="both"/>
        <w:outlineLvl w:val="2"/>
      </w:pPr>
      <w:r>
        <w:rPr>
          <w:rFonts w:ascii="黑体" w:hAnsi="黑体" w:eastAsia="黑体"/>
          <w:sz w:val="32"/>
        </w:rPr>
        <w:t>十一、预算绩效的情况说明</w:t>
      </w:r>
    </w:p>
    <w:p w14:paraId="62834C94">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根据预算绩效管理要求，本单位2024年度预算绩效管理形成整体支出绩效自评表1个，全年预算总额113.79万元，实际执行总额113.79万元；预算绩效评价项目1个，全年预算数0.70万元，全年执行数0.70万元。</w:t>
      </w:r>
    </w:p>
    <w:p w14:paraId="49E8DE84">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预算绩效管理取得的成效：一是科学合理编制预算，强化预算执行，确保预算绩效切合单位实际。定期做好预算绩效目标、控制的执行分析，及时了解预算执行差异，合理调整、纠正预算绩效执行偏差，加快预算的执行进度，切实提高预算资金绩效完成率及资金使用效益。二是加强宣传动员和教育培训，引导工作人员逐步树立绩效理念，了解掌握绩效管理的基本要求和操作规程，强化绩效管理工作的科学性和规范性。努力提高社会公众对绩效管理的认知度，鼓励社会公众积极参与，主动接受社会监督，努力营造开展政府目标绩效管理工作的浓厚氛围和良好环境。</w:t>
      </w:r>
    </w:p>
    <w:p w14:paraId="7FFF425C">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发现的问题及原因：预算执行方面：一是预算执行进度不均衡。部分项目在年初预算下达后，由于前期准备工作不充分，如项目审批流程繁琐、招投标延迟等，导致资金支出缓慢；而到了年底，为了完成预算指标，又出现集中突击花钱的现象，影响了资金使用效果。二是预算执行缺乏有效控制。财务部门与业务部门之间沟通协调不畅，信息传递不及时，导致财务部门对预算执行情况掌握不全面。同时，缺乏完善的预算执行控制机制，难以及时发现和纠正预算执行中的偏差。绩效管理方面：一是绩效目标设定不科学。部分单位在编制预算时，绩效目标设定过于笼统、模糊，缺乏明确的量化指标和可衡量的标准，导致绩效目标无法有效指导预算执行和绩效评价。二是绩效评价质量不高。绩效评价方法单一，多以财务指标为主，忽视了对社会效益、服务对象满意度等非财务指标的考量。评价过程中存在走过场的现象，评价结果未能真实反映项目的实际绩效。三是绩效结果应用不充分。绩效评价结果与预算安排、政策调整、责任追究等方面未能有效挂钩，对单位和个人的激励约束作用不明显，使得绩效管理工作流于形式。</w:t>
      </w:r>
    </w:p>
    <w:p w14:paraId="520839B6">
      <w:pPr>
        <w:spacing w:line="580" w:lineRule="exact"/>
        <w:ind w:firstLine="640"/>
        <w:jc w:val="both"/>
      </w:pPr>
      <w:r>
        <w:rPr>
          <w:rFonts w:ascii="仿宋_GB2312" w:hAnsi="仿宋_GB2312" w:eastAsia="仿宋_GB2312"/>
          <w:b w:val="0"/>
          <w:sz w:val="32"/>
        </w:rPr>
        <w:t>下一步改进措施：完善制度建设：一是修订和完善预算管理制度。明确预算编制、执行、调整的具体流程和要求，加强预算的严肃性和约束性。建立预算执行定期分析和报告制度，及时掌握预算执行情况。二是健全绩效管理制度。构建科学合理的绩效指标体系，涵盖财务和非财务指标，增强绩效目标的可衡量性。规范绩效评价方法和程序，提高评价结果的真实性和客观性。强化绩效结果应用，将其与预算安排、单位考核、个人绩效等挂钩。加强人员培训：一是强化</w:t>
      </w:r>
      <w:r>
        <w:rPr>
          <w:rFonts w:hint="eastAsia" w:ascii="仿宋_GB2312" w:hAnsi="仿宋_GB2312" w:eastAsia="仿宋_GB2312"/>
          <w:b w:val="0"/>
          <w:sz w:val="32"/>
          <w:lang w:eastAsia="zh-CN"/>
        </w:rPr>
        <w:t>预算绩效管理</w:t>
      </w:r>
      <w:r>
        <w:rPr>
          <w:rFonts w:ascii="仿宋_GB2312" w:hAnsi="仿宋_GB2312" w:eastAsia="仿宋_GB2312"/>
          <w:b w:val="0"/>
          <w:sz w:val="32"/>
        </w:rPr>
        <w:t>意识培训。通过组织专题讲座、培训会议等形式，提高单位领导和工作人员对预算执行和绩效管理重要性的认识，增强责任意识和主动参与意识。二是提升专业能力。定期开展业务培训，内容包括预算编制方法、绩效管理工具、财务知识等，提高工作人员的业务水平和综合素质。优化管理机制：一是理顺内部管理机制。明确各部门在预算执行和绩效管理中的职责，加强沟通协调，建立信息共享平台，形成工作合力。二是加强监督考核。建立健全监督考核机制，加强对预算执行和绩效管理工作的日常监督和定期考核。对工作成效显著的部门和个人给予表彰奖励，对存在问题的进行严肃问责，确保各项工作落到实处。具体附整体支出绩效自评表，项目支出绩效自评表和评价报告。</w:t>
      </w:r>
    </w:p>
    <w:p w14:paraId="673FFF56">
      <w:r>
        <w:br w:type="page"/>
      </w:r>
    </w:p>
    <w:tbl>
      <w:tblPr>
        <w:tblStyle w:val="9"/>
        <w:tblW w:w="0" w:type="auto"/>
        <w:tblInd w:w="0" w:type="dxa"/>
        <w:tblLayout w:type="fixed"/>
        <w:tblCellMar>
          <w:top w:w="0" w:type="dxa"/>
          <w:left w:w="108" w:type="dxa"/>
          <w:bottom w:w="0" w:type="dxa"/>
          <w:right w:w="108" w:type="dxa"/>
        </w:tblCellMar>
      </w:tblPr>
      <w:tblGrid>
        <w:gridCol w:w="983"/>
        <w:gridCol w:w="1126"/>
        <w:gridCol w:w="1107"/>
        <w:gridCol w:w="1355"/>
        <w:gridCol w:w="1117"/>
        <w:gridCol w:w="963"/>
        <w:gridCol w:w="848"/>
        <w:gridCol w:w="703"/>
        <w:gridCol w:w="645"/>
      </w:tblGrid>
      <w:tr w14:paraId="4AF835BB">
        <w:tblPrEx>
          <w:tblCellMar>
            <w:top w:w="0" w:type="dxa"/>
            <w:left w:w="108" w:type="dxa"/>
            <w:bottom w:w="0" w:type="dxa"/>
            <w:right w:w="108" w:type="dxa"/>
          </w:tblCellMar>
        </w:tblPrEx>
        <w:trPr>
          <w:wAfter w:w="0" w:type="auto"/>
        </w:trPr>
        <w:tc>
          <w:tcPr>
            <w:tcW w:w="8847" w:type="dxa"/>
            <w:gridSpan w:val="9"/>
            <w:vAlign w:val="center"/>
          </w:tcPr>
          <w:p w14:paraId="573B1CB6">
            <w:pPr>
              <w:jc w:val="center"/>
            </w:pPr>
            <w:r>
              <w:rPr>
                <w:rFonts w:ascii="宋体" w:hAnsi="宋体" w:eastAsia="宋体"/>
                <w:sz w:val="24"/>
              </w:rPr>
              <w:t>单位整体支出绩效自评表</w:t>
            </w:r>
          </w:p>
        </w:tc>
      </w:tr>
      <w:tr w14:paraId="17D6A46B">
        <w:tblPrEx>
          <w:tblCellMar>
            <w:top w:w="0" w:type="dxa"/>
            <w:left w:w="108" w:type="dxa"/>
            <w:bottom w:w="0" w:type="dxa"/>
            <w:right w:w="108" w:type="dxa"/>
          </w:tblCellMar>
        </w:tblPrEx>
        <w:trPr>
          <w:wAfter w:w="0" w:type="auto"/>
        </w:trPr>
        <w:tc>
          <w:tcPr>
            <w:tcW w:w="8847" w:type="dxa"/>
            <w:gridSpan w:val="9"/>
            <w:vAlign w:val="center"/>
          </w:tcPr>
          <w:p w14:paraId="6B3C4CDD">
            <w:pPr>
              <w:jc w:val="center"/>
            </w:pPr>
            <w:r>
              <w:rPr>
                <w:rFonts w:ascii="宋体" w:hAnsi="宋体" w:eastAsia="宋体"/>
                <w:sz w:val="24"/>
              </w:rPr>
              <w:t>（2024年度）</w:t>
            </w:r>
          </w:p>
        </w:tc>
      </w:tr>
      <w:tr w14:paraId="7F22A85B">
        <w:tblPrEx>
          <w:tblCellMar>
            <w:top w:w="0" w:type="dxa"/>
            <w:left w:w="108" w:type="dxa"/>
            <w:bottom w:w="0" w:type="dxa"/>
            <w:right w:w="108" w:type="dxa"/>
          </w:tblCellMar>
        </w:tblPrEx>
        <w:trPr>
          <w:wAfter w:w="0" w:type="auto"/>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6D88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D94173">
            <w:pPr>
              <w:jc w:val="center"/>
            </w:pPr>
            <w:r>
              <w:rPr>
                <w:rFonts w:ascii="宋体" w:hAnsi="宋体" w:eastAsia="宋体"/>
                <w:sz w:val="16"/>
              </w:rPr>
              <w:t>和田地区大数据发展服务中心</w:t>
            </w:r>
          </w:p>
        </w:tc>
      </w:tr>
      <w:tr w14:paraId="20AF1C65">
        <w:tblPrEx>
          <w:tblCellMar>
            <w:top w:w="0" w:type="dxa"/>
            <w:left w:w="108" w:type="dxa"/>
            <w:bottom w:w="0" w:type="dxa"/>
            <w:right w:w="108" w:type="dxa"/>
          </w:tblCellMar>
        </w:tblPrEx>
        <w:trPr>
          <w:wAfter w:w="0" w:type="auto"/>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B7CBE">
            <w:pPr>
              <w:jc w:val="center"/>
            </w:pPr>
            <w:r>
              <w:rPr>
                <w:rFonts w:ascii="宋体" w:hAnsi="宋体" w:eastAsia="宋体"/>
                <w:sz w:val="16"/>
              </w:rPr>
              <w:t>部门资金（万元）</w:t>
            </w:r>
          </w:p>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07F5EBC6">
            <w:pPr>
              <w:jc w:val="center"/>
            </w:pPr>
            <w:r>
              <w:rPr>
                <w:rFonts w:ascii="宋体" w:hAnsi="宋体" w:eastAsia="宋体"/>
                <w:sz w:val="16"/>
              </w:rPr>
              <w:t>资金来源</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01A1C0F5">
            <w:pPr>
              <w:jc w:val="center"/>
            </w:pPr>
            <w:r>
              <w:rPr>
                <w:rFonts w:ascii="宋体" w:hAnsi="宋体" w:eastAsia="宋体"/>
                <w:sz w:val="16"/>
              </w:rPr>
              <w:t>年初预算数</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4F9093B9">
            <w:pPr>
              <w:jc w:val="center"/>
            </w:pPr>
            <w:r>
              <w:rPr>
                <w:rFonts w:ascii="宋体" w:hAnsi="宋体" w:eastAsia="宋体"/>
                <w:sz w:val="16"/>
              </w:rPr>
              <w:t>预算数（调整后）</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D1BB076">
            <w:pPr>
              <w:jc w:val="center"/>
            </w:pPr>
            <w:r>
              <w:rPr>
                <w:rFonts w:ascii="宋体" w:hAnsi="宋体" w:eastAsia="宋体"/>
                <w:sz w:val="16"/>
              </w:rPr>
              <w:t>执行数</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5A323AED">
            <w:pPr>
              <w:jc w:val="center"/>
            </w:pPr>
            <w:r>
              <w:rPr>
                <w:rFonts w:ascii="宋体" w:hAnsi="宋体" w:eastAsia="宋体"/>
                <w:sz w:val="16"/>
              </w:rPr>
              <w:t>分值权重</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7FDD5D7">
            <w:pPr>
              <w:jc w:val="center"/>
            </w:pPr>
            <w:r>
              <w:rPr>
                <w:rFonts w:ascii="宋体" w:hAnsi="宋体" w:eastAsia="宋体"/>
                <w:sz w:val="16"/>
              </w:rPr>
              <w:t>执行率</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6D4C">
            <w:pPr>
              <w:jc w:val="center"/>
            </w:pPr>
            <w:r>
              <w:rPr>
                <w:rFonts w:ascii="宋体" w:hAnsi="宋体" w:eastAsia="宋体"/>
                <w:sz w:val="16"/>
              </w:rPr>
              <w:t>得分</w:t>
            </w:r>
          </w:p>
        </w:tc>
      </w:tr>
      <w:tr w14:paraId="6D733D44">
        <w:tblPrEx>
          <w:tblCellMar>
            <w:top w:w="0" w:type="dxa"/>
            <w:left w:w="108" w:type="dxa"/>
            <w:bottom w:w="0" w:type="dxa"/>
            <w:right w:w="108" w:type="dxa"/>
          </w:tblCellMar>
        </w:tblPrEx>
        <w:trPr>
          <w:wAfter w:w="0" w:type="auto"/>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0373E"/>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3F0BB468">
            <w:pPr>
              <w:jc w:val="center"/>
            </w:pPr>
            <w:r>
              <w:rPr>
                <w:rFonts w:ascii="宋体" w:hAnsi="宋体" w:eastAsia="宋体"/>
                <w:sz w:val="16"/>
              </w:rPr>
              <w:t>年度总资金：</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7DFBEB5E">
            <w:pPr>
              <w:jc w:val="center"/>
            </w:pPr>
            <w:r>
              <w:rPr>
                <w:rFonts w:ascii="宋体" w:hAnsi="宋体" w:eastAsia="宋体"/>
                <w:sz w:val="16"/>
              </w:rPr>
              <w:t>443.39</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199CB0A5">
            <w:pPr>
              <w:jc w:val="center"/>
            </w:pPr>
            <w:r>
              <w:rPr>
                <w:rFonts w:ascii="宋体" w:hAnsi="宋体" w:eastAsia="宋体"/>
                <w:sz w:val="16"/>
              </w:rPr>
              <w:t>113.79</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6E6EAA0">
            <w:pPr>
              <w:jc w:val="center"/>
            </w:pPr>
            <w:r>
              <w:rPr>
                <w:rFonts w:ascii="宋体" w:hAnsi="宋体" w:eastAsia="宋体"/>
                <w:sz w:val="16"/>
              </w:rPr>
              <w:t>113.79</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52D911D1">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A0B94D0">
            <w:pPr>
              <w:jc w:val="center"/>
            </w:pPr>
            <w:r>
              <w:rPr>
                <w:rFonts w:ascii="宋体" w:hAnsi="宋体" w:eastAsia="宋体"/>
                <w:sz w:val="16"/>
              </w:rPr>
              <w:t>100.00%</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9C979">
            <w:pPr>
              <w:jc w:val="center"/>
            </w:pPr>
            <w:r>
              <w:rPr>
                <w:rFonts w:ascii="宋体" w:hAnsi="宋体" w:eastAsia="宋体"/>
                <w:sz w:val="16"/>
              </w:rPr>
              <w:t>10</w:t>
            </w:r>
          </w:p>
        </w:tc>
      </w:tr>
      <w:tr w14:paraId="5BEA6D28">
        <w:tblPrEx>
          <w:tblCellMar>
            <w:top w:w="0" w:type="dxa"/>
            <w:left w:w="108" w:type="dxa"/>
            <w:bottom w:w="0" w:type="dxa"/>
            <w:right w:w="108" w:type="dxa"/>
          </w:tblCellMar>
        </w:tblPrEx>
        <w:trPr>
          <w:wAfter w:w="0" w:type="auto"/>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EEE23"/>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0423CD80">
            <w:pPr>
              <w:jc w:val="center"/>
            </w:pPr>
            <w:r>
              <w:rPr>
                <w:rFonts w:ascii="宋体" w:hAnsi="宋体" w:eastAsia="宋体"/>
                <w:sz w:val="16"/>
              </w:rPr>
              <w:t>上级资金：</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4E1BA124">
            <w:pPr>
              <w:jc w:val="center"/>
            </w:pPr>
            <w:r>
              <w:rPr>
                <w:rFonts w:ascii="宋体" w:hAnsi="宋体" w:eastAsia="宋体"/>
                <w:sz w:val="16"/>
              </w:rPr>
              <w:t>0.00</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7E1350F3">
            <w:pPr>
              <w:jc w:val="center"/>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B8EEEA5">
            <w:pPr>
              <w:jc w:val="center"/>
            </w:pPr>
            <w:r>
              <w:rPr>
                <w:rFonts w:ascii="宋体" w:hAnsi="宋体" w:eastAsia="宋体"/>
                <w:sz w:val="16"/>
              </w:rPr>
              <w:t>0.00</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413C7451">
            <w:pPr>
              <w:jc w:val="center"/>
            </w:pPr>
            <w:r>
              <w:rPr>
                <w:rFonts w:ascii="宋体" w:hAnsi="宋体" w:eastAsia="宋体"/>
                <w:sz w:val="16"/>
              </w:rPr>
              <w:t>—</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4509F04">
            <w:pPr>
              <w:jc w:val="center"/>
            </w:pPr>
            <w:r>
              <w:rPr>
                <w:rFonts w:ascii="宋体" w:hAnsi="宋体" w:eastAsia="宋体"/>
                <w:sz w:val="16"/>
              </w:rPr>
              <w:t>—</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7830">
            <w:pPr>
              <w:jc w:val="center"/>
            </w:pPr>
            <w:r>
              <w:rPr>
                <w:rFonts w:ascii="宋体" w:hAnsi="宋体" w:eastAsia="宋体"/>
                <w:sz w:val="16"/>
              </w:rPr>
              <w:t>—</w:t>
            </w:r>
          </w:p>
        </w:tc>
      </w:tr>
      <w:tr w14:paraId="34564199">
        <w:tblPrEx>
          <w:tblCellMar>
            <w:top w:w="0" w:type="dxa"/>
            <w:left w:w="108" w:type="dxa"/>
            <w:bottom w:w="0" w:type="dxa"/>
            <w:right w:w="108" w:type="dxa"/>
          </w:tblCellMar>
        </w:tblPrEx>
        <w:trPr>
          <w:wAfter w:w="0" w:type="auto"/>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BD649"/>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5CBB5566">
            <w:pPr>
              <w:jc w:val="center"/>
            </w:pPr>
            <w:r>
              <w:rPr>
                <w:rFonts w:ascii="宋体" w:hAnsi="宋体" w:eastAsia="宋体"/>
                <w:sz w:val="16"/>
              </w:rPr>
              <w:t>本级资金：</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75C83FE8">
            <w:pPr>
              <w:jc w:val="center"/>
            </w:pPr>
            <w:r>
              <w:rPr>
                <w:rFonts w:ascii="宋体" w:hAnsi="宋体" w:eastAsia="宋体"/>
                <w:sz w:val="16"/>
              </w:rPr>
              <w:t>443.39</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5BF38980">
            <w:pPr>
              <w:jc w:val="center"/>
            </w:pPr>
            <w:r>
              <w:rPr>
                <w:rFonts w:ascii="宋体" w:hAnsi="宋体" w:eastAsia="宋体"/>
                <w:sz w:val="16"/>
              </w:rPr>
              <w:t>113.78</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F76F89E">
            <w:pPr>
              <w:jc w:val="center"/>
            </w:pPr>
            <w:r>
              <w:rPr>
                <w:rFonts w:ascii="宋体" w:hAnsi="宋体" w:eastAsia="宋体"/>
                <w:sz w:val="16"/>
              </w:rPr>
              <w:t>113.78</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523AC99C">
            <w:pPr>
              <w:jc w:val="center"/>
            </w:pPr>
            <w:r>
              <w:rPr>
                <w:rFonts w:ascii="宋体" w:hAnsi="宋体" w:eastAsia="宋体"/>
                <w:sz w:val="16"/>
              </w:rPr>
              <w:t>—</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E8FC2E8">
            <w:pPr>
              <w:jc w:val="center"/>
            </w:pPr>
            <w:r>
              <w:rPr>
                <w:rFonts w:ascii="宋体" w:hAnsi="宋体" w:eastAsia="宋体"/>
                <w:sz w:val="16"/>
              </w:rPr>
              <w:t>—</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D345">
            <w:pPr>
              <w:jc w:val="center"/>
            </w:pPr>
            <w:r>
              <w:rPr>
                <w:rFonts w:ascii="宋体" w:hAnsi="宋体" w:eastAsia="宋体"/>
                <w:sz w:val="16"/>
              </w:rPr>
              <w:t>—</w:t>
            </w:r>
          </w:p>
        </w:tc>
      </w:tr>
      <w:tr w14:paraId="05931264">
        <w:tblPrEx>
          <w:tblCellMar>
            <w:top w:w="0" w:type="dxa"/>
            <w:left w:w="108" w:type="dxa"/>
            <w:bottom w:w="0" w:type="dxa"/>
            <w:right w:w="108" w:type="dxa"/>
          </w:tblCellMar>
        </w:tblPrEx>
        <w:trPr>
          <w:wAfter w:w="0" w:type="auto"/>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1B297">
            <w:bookmarkStart w:id="0" w:name="_GoBack" w:colFirst="4" w:colLast="4"/>
          </w:p>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0B8CC9FA">
            <w:pPr>
              <w:jc w:val="center"/>
            </w:pPr>
            <w:r>
              <w:rPr>
                <w:rFonts w:ascii="宋体" w:hAnsi="宋体" w:eastAsia="宋体"/>
                <w:sz w:val="16"/>
              </w:rPr>
              <w:t>其他资金：</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56C4356F">
            <w:pPr>
              <w:jc w:val="center"/>
            </w:pPr>
            <w:r>
              <w:rPr>
                <w:rFonts w:ascii="宋体" w:hAnsi="宋体" w:eastAsia="宋体"/>
                <w:sz w:val="16"/>
              </w:rPr>
              <w:t>0.00</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7759F42F">
            <w:pPr>
              <w:jc w:val="center"/>
            </w:pPr>
            <w:r>
              <w:rPr>
                <w:rFonts w:ascii="宋体" w:hAnsi="宋体" w:eastAsia="宋体"/>
                <w:sz w:val="16"/>
              </w:rPr>
              <w:t>0.01</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D5797E4">
            <w:pPr>
              <w:jc w:val="center"/>
            </w:pPr>
            <w:r>
              <w:rPr>
                <w:rFonts w:ascii="宋体" w:hAnsi="宋体" w:eastAsia="宋体"/>
                <w:sz w:val="16"/>
              </w:rPr>
              <w:t>0.01</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060FC86E">
            <w:pPr>
              <w:jc w:val="center"/>
            </w:pPr>
            <w:r>
              <w:rPr>
                <w:rFonts w:ascii="宋体" w:hAnsi="宋体" w:eastAsia="宋体"/>
                <w:sz w:val="16"/>
              </w:rPr>
              <w:t>—</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1EBB085">
            <w:pPr>
              <w:jc w:val="center"/>
            </w:pPr>
            <w:r>
              <w:rPr>
                <w:rFonts w:ascii="宋体" w:hAnsi="宋体" w:eastAsia="宋体"/>
                <w:sz w:val="16"/>
              </w:rPr>
              <w:t>—</w:t>
            </w:r>
          </w:p>
        </w:tc>
        <w:tc>
          <w:tcPr>
            <w:tcW w:w="13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DBFAD">
            <w:pPr>
              <w:jc w:val="center"/>
            </w:pPr>
            <w:r>
              <w:rPr>
                <w:rFonts w:ascii="宋体" w:hAnsi="宋体" w:eastAsia="宋体"/>
                <w:sz w:val="16"/>
              </w:rPr>
              <w:t>—</w:t>
            </w:r>
          </w:p>
        </w:tc>
      </w:tr>
      <w:bookmarkEnd w:id="0"/>
      <w:tr w14:paraId="63271B2B">
        <w:tblPrEx>
          <w:tblCellMar>
            <w:top w:w="0" w:type="dxa"/>
            <w:left w:w="108" w:type="dxa"/>
            <w:bottom w:w="0" w:type="dxa"/>
            <w:right w:w="108" w:type="dxa"/>
          </w:tblCellMar>
        </w:tblPrEx>
        <w:trPr>
          <w:wAfter w:w="0" w:type="auto"/>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87C6">
            <w:pPr>
              <w:jc w:val="center"/>
            </w:pPr>
            <w:r>
              <w:rPr>
                <w:rFonts w:ascii="宋体" w:hAnsi="宋体" w:eastAsia="宋体"/>
                <w:sz w:val="16"/>
              </w:rPr>
              <w:t>年度总体目标</w:t>
            </w:r>
          </w:p>
        </w:tc>
        <w:tc>
          <w:tcPr>
            <w:tcW w:w="35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169E28">
            <w:pPr>
              <w:jc w:val="center"/>
            </w:pPr>
            <w:r>
              <w:rPr>
                <w:rFonts w:ascii="宋体" w:hAnsi="宋体" w:eastAsia="宋体"/>
                <w:sz w:val="16"/>
              </w:rPr>
              <w:t>预期目标</w:t>
            </w:r>
          </w:p>
        </w:tc>
        <w:tc>
          <w:tcPr>
            <w:tcW w:w="4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C3BD4E">
            <w:pPr>
              <w:jc w:val="center"/>
            </w:pPr>
            <w:r>
              <w:rPr>
                <w:rFonts w:ascii="宋体" w:hAnsi="宋体" w:eastAsia="宋体"/>
                <w:sz w:val="16"/>
              </w:rPr>
              <w:t>实际完成目标</w:t>
            </w:r>
          </w:p>
        </w:tc>
      </w:tr>
      <w:tr w14:paraId="3F66109A">
        <w:tblPrEx>
          <w:tblCellMar>
            <w:top w:w="0" w:type="dxa"/>
            <w:left w:w="108" w:type="dxa"/>
            <w:bottom w:w="0" w:type="dxa"/>
            <w:right w:w="108" w:type="dxa"/>
          </w:tblCellMar>
        </w:tblPrEx>
        <w:trPr>
          <w:wAfter w:w="0" w:type="auto"/>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8B75E"/>
        </w:tc>
        <w:tc>
          <w:tcPr>
            <w:tcW w:w="358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B55086">
            <w:pPr>
              <w:jc w:val="both"/>
            </w:pPr>
            <w:r>
              <w:rPr>
                <w:rFonts w:ascii="宋体" w:hAnsi="宋体" w:eastAsia="宋体"/>
                <w:sz w:val="16"/>
              </w:rPr>
              <w:t>组织协调全中心行政管理事务、负责会议、文秘、机要、档案、人事、财务、保密、安全保卫及后勤保障服务等事务，同时，做好财务管理工作，保障“三公”经费控制率和资金使用合规性。全面推进数字政府改革建设，积极配合地委编办机构改革工作，推进地区数字化行政机构成立。巩固地区基层减负“一张表”工作成效，持续做好数据采集、清洗和应用等工作，在此基础上搭建人口、法人、地名地址、老年人、死亡人口等基础数据库。发挥好系统各功能模块作用，通过基层减负“一张表”房屋租赁模块，2024年度完成全地区房屋租赁事项5000套。完成基层减负“一张表”系统商用密码测评工作，保障系统网络信息和数据安全，系统新增文件传输功能，方便基层接收和上传各类文档，减少线下跑腿、报送文档。做好和田地区数字化各项工作，为和田地区数字政府改革高质量发展奠定基础。</w:t>
            </w:r>
          </w:p>
        </w:tc>
        <w:tc>
          <w:tcPr>
            <w:tcW w:w="4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0917B">
            <w:pPr>
              <w:jc w:val="both"/>
            </w:pPr>
            <w:r>
              <w:rPr>
                <w:rFonts w:hint="eastAsia" w:ascii="宋体" w:hAnsi="宋体"/>
                <w:sz w:val="16"/>
                <w:lang w:eastAsia="zh-CN"/>
              </w:rPr>
              <w:t>截至2024</w:t>
            </w:r>
            <w:r>
              <w:rPr>
                <w:rFonts w:ascii="宋体" w:hAnsi="宋体" w:eastAsia="宋体"/>
                <w:sz w:val="16"/>
              </w:rPr>
              <w:t>年12月31日，本单位实际完成组织协调全中心行政管理事务、负责会议、文秘、机要、档案、人事、财务、保密、安全保卫及后勤保障服务等事务，全面推进数字政府改革建设，积极配合地委编办机构改革工作，推进地区数字化行政机构成立。巩固地区基层减负“一张表”工作成效，持续做好数据采集、清洗和应用等工作，在此基础上搭建了人口、法人、地名地址、老年人、死亡人口等基础数据库。发挥好系统各功能模块作用，通过基层减负“一张表”房屋租赁模块，2024年度已完成全地区房屋租赁事项5000套，搭建人口、法人、地名地址、老年人、死亡人口等基层数据库3套，完成数字经济产业链招</w:t>
            </w:r>
            <w:r>
              <w:rPr>
                <w:rFonts w:hint="eastAsia" w:ascii="宋体" w:hAnsi="宋体"/>
                <w:sz w:val="16"/>
                <w:lang w:eastAsia="zh-CN"/>
              </w:rPr>
              <w:t>商引资</w:t>
            </w:r>
            <w:r>
              <w:rPr>
                <w:rFonts w:ascii="宋体" w:hAnsi="宋体" w:eastAsia="宋体"/>
                <w:sz w:val="16"/>
              </w:rPr>
              <w:t>任务5000万元，新增开发一项系统文档传输功能，方便基层接收和传输文档，完成基础减负“一张表”系统商用密码测评工作，编制商用密码测评报告1个。实际形成支出113.79万元，通过完成以上工作，实现了基层减负“一张表”系统商用密码测评工作，保障系统网络信息和数据安全，系统新增文件传输功能，方便基层接收和上传各类文档，减少线下跑腿、报送文档，受益公众对部门履职效果满意度达到100%。</w:t>
            </w:r>
          </w:p>
        </w:tc>
      </w:tr>
      <w:tr w14:paraId="014A4E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A7A4">
            <w:pPr>
              <w:jc w:val="center"/>
            </w:pPr>
            <w:r>
              <w:rPr>
                <w:rFonts w:ascii="宋体" w:hAnsi="宋体" w:eastAsia="宋体"/>
                <w:sz w:val="16"/>
              </w:rPr>
              <w:t>一级指标</w:t>
            </w:r>
          </w:p>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674FE7AE">
            <w:pPr>
              <w:jc w:val="center"/>
            </w:pPr>
            <w:r>
              <w:rPr>
                <w:rFonts w:ascii="宋体" w:hAnsi="宋体" w:eastAsia="宋体"/>
                <w:sz w:val="16"/>
              </w:rPr>
              <w:t>二级指标</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0F1F454F">
            <w:pPr>
              <w:jc w:val="center"/>
            </w:pPr>
            <w:r>
              <w:rPr>
                <w:rFonts w:ascii="宋体" w:hAnsi="宋体" w:eastAsia="宋体"/>
                <w:sz w:val="16"/>
              </w:rPr>
              <w:t>三级指标</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0EFD0662">
            <w:pPr>
              <w:jc w:val="center"/>
            </w:pPr>
            <w:r>
              <w:rPr>
                <w:rFonts w:ascii="宋体" w:hAnsi="宋体" w:eastAsia="宋体"/>
                <w:sz w:val="16"/>
              </w:rPr>
              <w:t>指标值</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48E0438">
            <w:pPr>
              <w:jc w:val="center"/>
            </w:pPr>
            <w:r>
              <w:rPr>
                <w:rFonts w:ascii="宋体" w:hAnsi="宋体" w:eastAsia="宋体"/>
                <w:sz w:val="16"/>
              </w:rPr>
              <w:t>指标值设定依据</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3A3A4B1B">
            <w:pPr>
              <w:jc w:val="center"/>
            </w:pPr>
            <w:r>
              <w:rPr>
                <w:rFonts w:ascii="宋体" w:hAnsi="宋体" w:eastAsia="宋体"/>
                <w:sz w:val="16"/>
              </w:rPr>
              <w:t>分值权重</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7D870D4">
            <w:pPr>
              <w:jc w:val="center"/>
            </w:pPr>
            <w:r>
              <w:rPr>
                <w:rFonts w:ascii="宋体" w:hAnsi="宋体" w:eastAsia="宋体"/>
                <w:sz w:val="16"/>
              </w:rPr>
              <w:t>实际完成值</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0000D58">
            <w:pPr>
              <w:jc w:val="center"/>
            </w:pPr>
            <w:r>
              <w:rPr>
                <w:rFonts w:ascii="宋体" w:hAnsi="宋体" w:eastAsia="宋体"/>
                <w:sz w:val="16"/>
              </w:rPr>
              <w:t>完成率</w:t>
            </w: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54262FB7">
            <w:pPr>
              <w:jc w:val="center"/>
            </w:pPr>
            <w:r>
              <w:rPr>
                <w:rFonts w:ascii="宋体" w:hAnsi="宋体" w:eastAsia="宋体"/>
                <w:sz w:val="16"/>
              </w:rPr>
              <w:t>得分</w:t>
            </w:r>
          </w:p>
        </w:tc>
      </w:tr>
      <w:tr w14:paraId="58F81D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3DB37">
            <w:pPr>
              <w:jc w:val="center"/>
            </w:pPr>
            <w:r>
              <w:rPr>
                <w:rFonts w:ascii="宋体" w:hAnsi="宋体" w:eastAsia="宋体"/>
                <w:sz w:val="16"/>
              </w:rPr>
              <w:t>运行成本</w:t>
            </w:r>
          </w:p>
        </w:tc>
        <w:tc>
          <w:tcPr>
            <w:tcW w:w="11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D05C9">
            <w:pPr>
              <w:jc w:val="center"/>
            </w:pPr>
            <w:r>
              <w:rPr>
                <w:rFonts w:ascii="宋体" w:hAnsi="宋体" w:eastAsia="宋体"/>
                <w:sz w:val="16"/>
              </w:rPr>
              <w:t>数量指标</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3BF17A0C">
            <w:pPr>
              <w:jc w:val="center"/>
            </w:pPr>
            <w:r>
              <w:rPr>
                <w:rFonts w:hint="eastAsia" w:ascii="宋体" w:hAnsi="宋体"/>
                <w:sz w:val="16"/>
                <w:lang w:eastAsia="zh-CN"/>
              </w:rPr>
              <w:t>“三公”经费</w:t>
            </w:r>
            <w:r>
              <w:rPr>
                <w:rFonts w:ascii="宋体" w:hAnsi="宋体" w:eastAsia="宋体"/>
                <w:sz w:val="16"/>
              </w:rPr>
              <w:t>控制率</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0B6B4A3B">
            <w:pPr>
              <w:jc w:val="center"/>
            </w:pPr>
            <w:r>
              <w:rPr>
                <w:rFonts w:ascii="宋体" w:hAnsi="宋体" w:eastAsia="宋体"/>
                <w:sz w:val="16"/>
              </w:rPr>
              <w:t>=100%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E418FFC">
            <w:pPr>
              <w:jc w:val="center"/>
            </w:pPr>
            <w:r>
              <w:rPr>
                <w:rFonts w:ascii="宋体" w:hAnsi="宋体" w:eastAsia="宋体"/>
                <w:sz w:val="16"/>
              </w:rPr>
              <w:t>财政部相关文件</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1C66C7DB">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27953A2">
            <w:pPr>
              <w:jc w:val="center"/>
            </w:pPr>
            <w:r>
              <w:rPr>
                <w:rFonts w:ascii="宋体" w:hAnsi="宋体" w:eastAsia="宋体"/>
                <w:sz w:val="16"/>
              </w:rPr>
              <w:t>100%</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168EBC32">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28386DA2">
            <w:pPr>
              <w:jc w:val="center"/>
            </w:pPr>
            <w:r>
              <w:rPr>
                <w:rFonts w:ascii="宋体" w:hAnsi="宋体" w:eastAsia="宋体"/>
                <w:sz w:val="16"/>
              </w:rPr>
              <w:t>10</w:t>
            </w:r>
          </w:p>
        </w:tc>
      </w:tr>
      <w:tr w14:paraId="143FEE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29D6D">
            <w:pPr>
              <w:jc w:val="center"/>
            </w:pPr>
            <w:r>
              <w:rPr>
                <w:rFonts w:ascii="宋体" w:hAnsi="宋体" w:eastAsia="宋体"/>
                <w:sz w:val="16"/>
              </w:rPr>
              <w:t>管理效率</w:t>
            </w:r>
          </w:p>
        </w:tc>
        <w:tc>
          <w:tcPr>
            <w:tcW w:w="1126" w:type="dxa"/>
            <w:vMerge w:val="continue"/>
            <w:tcBorders>
              <w:top w:val="single" w:color="auto" w:sz="10" w:space="0"/>
              <w:left w:val="single" w:color="auto" w:sz="10" w:space="0"/>
              <w:bottom w:val="single" w:color="auto" w:sz="10" w:space="0"/>
              <w:right w:val="single" w:color="auto" w:sz="10" w:space="0"/>
              <w:insideV w:val="single" w:sz="10" w:space="0"/>
            </w:tcBorders>
          </w:tcPr>
          <w:p w14:paraId="0D7D152F"/>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1501D16A">
            <w:pPr>
              <w:jc w:val="center"/>
            </w:pPr>
            <w:r>
              <w:rPr>
                <w:rFonts w:ascii="宋体" w:hAnsi="宋体" w:eastAsia="宋体"/>
                <w:sz w:val="16"/>
              </w:rPr>
              <w:t>资金使用合规性</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606C704A">
            <w:pPr>
              <w:jc w:val="center"/>
            </w:pPr>
            <w:r>
              <w:rPr>
                <w:rFonts w:ascii="宋体" w:hAnsi="宋体" w:eastAsia="宋体"/>
                <w:sz w:val="16"/>
              </w:rPr>
              <w:t>=100%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271DAA2">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5E30C477">
            <w:pPr>
              <w:jc w:val="center"/>
            </w:pPr>
            <w:r>
              <w:rPr>
                <w:rFonts w:ascii="宋体" w:hAnsi="宋体" w:eastAsia="宋体"/>
                <w:sz w:val="16"/>
              </w:rPr>
              <w:t>15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BCEC1DB">
            <w:pPr>
              <w:jc w:val="center"/>
            </w:pPr>
            <w:r>
              <w:rPr>
                <w:rFonts w:ascii="宋体" w:hAnsi="宋体" w:eastAsia="宋体"/>
                <w:sz w:val="16"/>
              </w:rPr>
              <w:t>100%</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331D3DA8">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471DC130">
            <w:pPr>
              <w:jc w:val="center"/>
            </w:pPr>
            <w:r>
              <w:rPr>
                <w:rFonts w:ascii="宋体" w:hAnsi="宋体" w:eastAsia="宋体"/>
                <w:sz w:val="16"/>
              </w:rPr>
              <w:t>15</w:t>
            </w:r>
          </w:p>
        </w:tc>
      </w:tr>
      <w:tr w14:paraId="1BC8A2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44CD5">
            <w:pPr>
              <w:jc w:val="center"/>
            </w:pPr>
            <w:r>
              <w:rPr>
                <w:rFonts w:ascii="宋体" w:hAnsi="宋体" w:eastAsia="宋体"/>
                <w:sz w:val="16"/>
              </w:rPr>
              <w:t>履职效能</w:t>
            </w:r>
          </w:p>
        </w:tc>
        <w:tc>
          <w:tcPr>
            <w:tcW w:w="1126" w:type="dxa"/>
            <w:vMerge w:val="continue"/>
            <w:tcBorders>
              <w:top w:val="single" w:color="auto" w:sz="10" w:space="0"/>
              <w:left w:val="single" w:color="auto" w:sz="10" w:space="0"/>
              <w:bottom w:val="single" w:color="auto" w:sz="10" w:space="0"/>
              <w:right w:val="single" w:color="auto" w:sz="10" w:space="0"/>
              <w:insideV w:val="single" w:sz="10" w:space="0"/>
            </w:tcBorders>
          </w:tcPr>
          <w:p w14:paraId="3363E494"/>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2FCD5F52">
            <w:pPr>
              <w:jc w:val="center"/>
            </w:pPr>
            <w:r>
              <w:rPr>
                <w:rFonts w:ascii="宋体" w:hAnsi="宋体" w:eastAsia="宋体"/>
                <w:sz w:val="16"/>
              </w:rPr>
              <w:t>搭建人口、法人、地名地址、老年人、死亡人口等基层数据库</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7D3A525F">
            <w:pPr>
              <w:jc w:val="center"/>
            </w:pPr>
            <w:r>
              <w:rPr>
                <w:rFonts w:hint="default" w:ascii="Arial" w:hAnsi="Arial" w:eastAsia="宋体" w:cs="Arial"/>
                <w:sz w:val="16"/>
              </w:rPr>
              <w:t>≥</w:t>
            </w:r>
            <w:r>
              <w:rPr>
                <w:rFonts w:ascii="宋体" w:hAnsi="宋体" w:eastAsia="宋体"/>
                <w:sz w:val="16"/>
              </w:rPr>
              <w:t>3套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309242B">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12160B87">
            <w:pPr>
              <w:jc w:val="center"/>
            </w:pPr>
            <w:r>
              <w:rPr>
                <w:rFonts w:ascii="宋体" w:hAnsi="宋体" w:eastAsia="宋体"/>
                <w:sz w:val="16"/>
              </w:rPr>
              <w:t>15</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6886449">
            <w:pPr>
              <w:jc w:val="center"/>
            </w:pPr>
            <w:r>
              <w:rPr>
                <w:rFonts w:ascii="宋体" w:hAnsi="宋体" w:eastAsia="宋体"/>
                <w:sz w:val="16"/>
              </w:rPr>
              <w:t>3套</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73AEF31A">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56965558">
            <w:pPr>
              <w:jc w:val="center"/>
            </w:pPr>
            <w:r>
              <w:rPr>
                <w:rFonts w:ascii="宋体" w:hAnsi="宋体" w:eastAsia="宋体"/>
                <w:sz w:val="16"/>
              </w:rPr>
              <w:t>15</w:t>
            </w:r>
          </w:p>
        </w:tc>
      </w:tr>
      <w:tr w14:paraId="5EBEF4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72B6E"/>
        </w:tc>
        <w:tc>
          <w:tcPr>
            <w:tcW w:w="1126" w:type="dxa"/>
            <w:vMerge w:val="continue"/>
            <w:tcBorders>
              <w:top w:val="single" w:color="auto" w:sz="10" w:space="0"/>
              <w:left w:val="single" w:color="auto" w:sz="10" w:space="0"/>
              <w:bottom w:val="single" w:color="auto" w:sz="10" w:space="0"/>
              <w:right w:val="single" w:color="auto" w:sz="10" w:space="0"/>
              <w:insideV w:val="single" w:sz="10" w:space="0"/>
            </w:tcBorders>
          </w:tcPr>
          <w:p w14:paraId="10B13F18"/>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1502390E">
            <w:pPr>
              <w:jc w:val="center"/>
            </w:pPr>
            <w:r>
              <w:rPr>
                <w:rFonts w:ascii="宋体" w:hAnsi="宋体" w:eastAsia="宋体"/>
                <w:sz w:val="16"/>
              </w:rPr>
              <w:t>完成数字经济产业链招商引资任务</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02C5E10D">
            <w:pPr>
              <w:jc w:val="center"/>
            </w:pPr>
            <w:r>
              <w:rPr>
                <w:rFonts w:hint="default" w:ascii="Arial" w:hAnsi="Arial" w:eastAsia="宋体" w:cs="Arial"/>
                <w:sz w:val="16"/>
              </w:rPr>
              <w:t>≥</w:t>
            </w:r>
            <w:r>
              <w:rPr>
                <w:rFonts w:ascii="宋体" w:hAnsi="宋体" w:eastAsia="宋体"/>
                <w:sz w:val="16"/>
              </w:rPr>
              <w:t>5000万元</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26D6AC4">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5B09801C">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89A48A3">
            <w:pPr>
              <w:jc w:val="center"/>
            </w:pPr>
            <w:r>
              <w:rPr>
                <w:rFonts w:ascii="宋体" w:hAnsi="宋体" w:eastAsia="宋体"/>
                <w:sz w:val="16"/>
              </w:rPr>
              <w:t>5000万元</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262487DF">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6895BFD2">
            <w:pPr>
              <w:jc w:val="center"/>
            </w:pPr>
            <w:r>
              <w:rPr>
                <w:rFonts w:ascii="宋体" w:hAnsi="宋体" w:eastAsia="宋体"/>
                <w:sz w:val="16"/>
              </w:rPr>
              <w:t>10</w:t>
            </w:r>
          </w:p>
        </w:tc>
      </w:tr>
      <w:tr w14:paraId="01576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9E0E8"/>
        </w:tc>
        <w:tc>
          <w:tcPr>
            <w:tcW w:w="1126" w:type="dxa"/>
            <w:vMerge w:val="continue"/>
            <w:tcBorders>
              <w:top w:val="single" w:color="auto" w:sz="10" w:space="0"/>
              <w:left w:val="single" w:color="auto" w:sz="10" w:space="0"/>
              <w:bottom w:val="single" w:color="auto" w:sz="10" w:space="0"/>
              <w:right w:val="single" w:color="auto" w:sz="10" w:space="0"/>
              <w:insideV w:val="single" w:sz="10" w:space="0"/>
            </w:tcBorders>
          </w:tcPr>
          <w:p w14:paraId="2B0042CB"/>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1191932B">
            <w:pPr>
              <w:jc w:val="center"/>
            </w:pPr>
            <w:r>
              <w:rPr>
                <w:rFonts w:ascii="宋体" w:hAnsi="宋体" w:eastAsia="宋体"/>
                <w:sz w:val="16"/>
              </w:rPr>
              <w:t>通过基层减负“一张表”房屋租赁模块，完成全地区房屋租赁事项</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031CAEBB">
            <w:pPr>
              <w:jc w:val="center"/>
            </w:pPr>
            <w:r>
              <w:rPr>
                <w:rFonts w:hint="default" w:ascii="Arial" w:hAnsi="Arial" w:eastAsia="宋体" w:cs="Arial"/>
                <w:sz w:val="16"/>
              </w:rPr>
              <w:t>≥</w:t>
            </w:r>
            <w:r>
              <w:rPr>
                <w:rFonts w:ascii="宋体" w:hAnsi="宋体" w:eastAsia="宋体"/>
                <w:sz w:val="16"/>
              </w:rPr>
              <w:t>5000套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68F6CDE">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4FEFBC58">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5D28CF1E">
            <w:pPr>
              <w:jc w:val="center"/>
            </w:pPr>
            <w:r>
              <w:rPr>
                <w:rFonts w:ascii="宋体" w:hAnsi="宋体" w:eastAsia="宋体"/>
                <w:sz w:val="16"/>
              </w:rPr>
              <w:t>5000套</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750CC18">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7CFD94FC">
            <w:pPr>
              <w:jc w:val="center"/>
            </w:pPr>
            <w:r>
              <w:rPr>
                <w:rFonts w:ascii="宋体" w:hAnsi="宋体" w:eastAsia="宋体"/>
                <w:sz w:val="16"/>
              </w:rPr>
              <w:t>10</w:t>
            </w:r>
          </w:p>
        </w:tc>
      </w:tr>
      <w:tr w14:paraId="439605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3F8FA">
            <w:pPr>
              <w:jc w:val="center"/>
            </w:pPr>
            <w:r>
              <w:rPr>
                <w:rFonts w:ascii="宋体" w:hAnsi="宋体" w:eastAsia="宋体"/>
                <w:sz w:val="16"/>
              </w:rPr>
              <w:t>社会效益</w:t>
            </w:r>
          </w:p>
        </w:tc>
        <w:tc>
          <w:tcPr>
            <w:tcW w:w="1126" w:type="dxa"/>
            <w:vMerge w:val="continue"/>
            <w:tcBorders>
              <w:top w:val="single" w:color="auto" w:sz="10" w:space="0"/>
              <w:left w:val="single" w:color="auto" w:sz="10" w:space="0"/>
              <w:bottom w:val="single" w:color="auto" w:sz="10" w:space="0"/>
              <w:right w:val="single" w:color="auto" w:sz="10" w:space="0"/>
              <w:insideV w:val="single" w:sz="10" w:space="0"/>
            </w:tcBorders>
          </w:tcPr>
          <w:p w14:paraId="6113F40E"/>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16E134A8">
            <w:pPr>
              <w:jc w:val="center"/>
            </w:pPr>
            <w:r>
              <w:rPr>
                <w:rFonts w:ascii="宋体" w:hAnsi="宋体" w:eastAsia="宋体"/>
                <w:sz w:val="16"/>
              </w:rPr>
              <w:t>新增开发一项系统文档传输功能，方便基层接收和传输文档</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30242726">
            <w:pPr>
              <w:jc w:val="center"/>
            </w:pPr>
            <w:r>
              <w:rPr>
                <w:rFonts w:ascii="宋体" w:hAnsi="宋体" w:eastAsia="宋体"/>
                <w:sz w:val="16"/>
              </w:rPr>
              <w:t>=1项</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B1514C4">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67C0FC1C">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CA06C37">
            <w:pPr>
              <w:jc w:val="center"/>
            </w:pPr>
            <w:r>
              <w:rPr>
                <w:rFonts w:ascii="宋体" w:hAnsi="宋体" w:eastAsia="宋体"/>
                <w:sz w:val="16"/>
              </w:rPr>
              <w:t>1项</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264F532">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608252D3">
            <w:pPr>
              <w:jc w:val="center"/>
            </w:pPr>
            <w:r>
              <w:rPr>
                <w:rFonts w:ascii="宋体" w:hAnsi="宋体" w:eastAsia="宋体"/>
                <w:sz w:val="16"/>
              </w:rPr>
              <w:t>10</w:t>
            </w:r>
          </w:p>
        </w:tc>
      </w:tr>
      <w:tr w14:paraId="60D986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FD344"/>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59B3D72D">
            <w:pPr>
              <w:jc w:val="center"/>
            </w:pPr>
            <w:r>
              <w:rPr>
                <w:rFonts w:ascii="宋体" w:hAnsi="宋体" w:eastAsia="宋体"/>
                <w:sz w:val="16"/>
              </w:rPr>
              <w:t>质量指标</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73B18260">
            <w:pPr>
              <w:jc w:val="center"/>
            </w:pPr>
            <w:r>
              <w:rPr>
                <w:rFonts w:ascii="宋体" w:hAnsi="宋体" w:eastAsia="宋体"/>
                <w:sz w:val="16"/>
              </w:rPr>
              <w:t>完成基础减负“一张表”系统商用密码测评工作，编制商用密码测评报告</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38583605">
            <w:pPr>
              <w:jc w:val="center"/>
            </w:pPr>
            <w:r>
              <w:rPr>
                <w:rFonts w:ascii="宋体" w:hAnsi="宋体" w:eastAsia="宋体"/>
                <w:sz w:val="16"/>
              </w:rPr>
              <w:t>=1个</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17F7C61">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0CFB9403">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FFF312A">
            <w:pPr>
              <w:jc w:val="center"/>
            </w:pPr>
            <w:r>
              <w:rPr>
                <w:rFonts w:ascii="宋体" w:hAnsi="宋体" w:eastAsia="宋体"/>
                <w:sz w:val="16"/>
              </w:rPr>
              <w:t>1个</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AA7F353">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735C8382">
            <w:pPr>
              <w:jc w:val="center"/>
            </w:pPr>
            <w:r>
              <w:rPr>
                <w:rFonts w:ascii="宋体" w:hAnsi="宋体" w:eastAsia="宋体"/>
                <w:sz w:val="16"/>
              </w:rPr>
              <w:t>10</w:t>
            </w:r>
          </w:p>
        </w:tc>
      </w:tr>
      <w:tr w14:paraId="2DC103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C6D64">
            <w:pPr>
              <w:jc w:val="center"/>
            </w:pPr>
            <w:r>
              <w:rPr>
                <w:rFonts w:ascii="宋体" w:hAnsi="宋体" w:eastAsia="宋体"/>
                <w:sz w:val="16"/>
              </w:rPr>
              <w:t>服务对象满意度</w:t>
            </w:r>
          </w:p>
        </w:tc>
        <w:tc>
          <w:tcPr>
            <w:tcW w:w="1126" w:type="dxa"/>
            <w:tcBorders>
              <w:top w:val="single" w:color="auto" w:sz="10" w:space="0"/>
              <w:left w:val="single" w:color="auto" w:sz="10" w:space="0"/>
              <w:bottom w:val="single" w:color="auto" w:sz="10" w:space="0"/>
              <w:right w:val="single" w:color="auto" w:sz="10" w:space="0"/>
              <w:insideV w:val="single" w:sz="10" w:space="0"/>
            </w:tcBorders>
            <w:vAlign w:val="center"/>
          </w:tcPr>
          <w:p w14:paraId="61196316">
            <w:pPr>
              <w:jc w:val="center"/>
            </w:pPr>
            <w:r>
              <w:rPr>
                <w:rFonts w:ascii="宋体" w:hAnsi="宋体" w:eastAsia="宋体"/>
                <w:sz w:val="16"/>
              </w:rPr>
              <w:t>满意度指标</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559B74B8">
            <w:pPr>
              <w:jc w:val="center"/>
            </w:pPr>
            <w:r>
              <w:rPr>
                <w:rFonts w:ascii="宋体" w:hAnsi="宋体" w:eastAsia="宋体"/>
                <w:sz w:val="16"/>
              </w:rPr>
              <w:t>公众对部门履职效果满意度</w:t>
            </w:r>
          </w:p>
        </w:tc>
        <w:tc>
          <w:tcPr>
            <w:tcW w:w="1355" w:type="dxa"/>
            <w:tcBorders>
              <w:top w:val="single" w:color="auto" w:sz="10" w:space="0"/>
              <w:left w:val="single" w:color="auto" w:sz="10" w:space="0"/>
              <w:bottom w:val="single" w:color="auto" w:sz="10" w:space="0"/>
              <w:right w:val="single" w:color="auto" w:sz="10" w:space="0"/>
              <w:insideV w:val="single" w:sz="10" w:space="0"/>
            </w:tcBorders>
            <w:vAlign w:val="center"/>
          </w:tcPr>
          <w:p w14:paraId="5A49A4D4">
            <w:pPr>
              <w:jc w:val="center"/>
            </w:pPr>
            <w:r>
              <w:rPr>
                <w:rFonts w:hint="default" w:ascii="Arial" w:hAnsi="Arial" w:eastAsia="宋体" w:cs="Arial"/>
                <w:sz w:val="16"/>
              </w:rPr>
              <w:t>≥</w:t>
            </w:r>
            <w:r>
              <w:rPr>
                <w:rFonts w:ascii="宋体" w:hAnsi="宋体" w:eastAsia="宋体"/>
                <w:sz w:val="16"/>
              </w:rPr>
              <w:t>95%</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2B30D6F">
            <w:pPr>
              <w:jc w:val="center"/>
            </w:pPr>
            <w:r>
              <w:rPr>
                <w:rFonts w:ascii="宋体" w:hAnsi="宋体" w:eastAsia="宋体"/>
                <w:sz w:val="16"/>
              </w:rPr>
              <w:t>2024年工作计划</w:t>
            </w:r>
          </w:p>
        </w:tc>
        <w:tc>
          <w:tcPr>
            <w:tcW w:w="963" w:type="dxa"/>
            <w:tcBorders>
              <w:top w:val="single" w:color="auto" w:sz="10" w:space="0"/>
              <w:left w:val="single" w:color="auto" w:sz="10" w:space="0"/>
              <w:bottom w:val="single" w:color="auto" w:sz="10" w:space="0"/>
              <w:right w:val="single" w:color="auto" w:sz="10" w:space="0"/>
              <w:insideV w:val="single" w:sz="10" w:space="0"/>
            </w:tcBorders>
            <w:vAlign w:val="center"/>
          </w:tcPr>
          <w:p w14:paraId="7698995E">
            <w:pPr>
              <w:jc w:val="center"/>
            </w:pPr>
            <w:r>
              <w:rPr>
                <w:rFonts w:ascii="宋体" w:hAnsi="宋体" w:eastAsia="宋体"/>
                <w:sz w:val="16"/>
              </w:rPr>
              <w:t>10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9775266">
            <w:pPr>
              <w:jc w:val="center"/>
            </w:pPr>
            <w:r>
              <w:rPr>
                <w:rFonts w:ascii="宋体" w:hAnsi="宋体" w:eastAsia="宋体"/>
                <w:sz w:val="16"/>
              </w:rPr>
              <w:t>100%</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516F985F">
            <w:pPr>
              <w:jc w:val="center"/>
            </w:pPr>
          </w:p>
        </w:tc>
        <w:tc>
          <w:tcPr>
            <w:tcW w:w="645" w:type="dxa"/>
            <w:tcBorders>
              <w:top w:val="single" w:color="auto" w:sz="10" w:space="0"/>
              <w:left w:val="single" w:color="auto" w:sz="10" w:space="0"/>
              <w:bottom w:val="single" w:color="auto" w:sz="10" w:space="0"/>
              <w:right w:val="single" w:color="auto" w:sz="10" w:space="0"/>
              <w:insideV w:val="single" w:sz="10" w:space="0"/>
            </w:tcBorders>
            <w:vAlign w:val="center"/>
          </w:tcPr>
          <w:p w14:paraId="598165A2">
            <w:pPr>
              <w:jc w:val="center"/>
            </w:pPr>
            <w:r>
              <w:rPr>
                <w:rFonts w:ascii="宋体" w:hAnsi="宋体" w:eastAsia="宋体"/>
                <w:sz w:val="16"/>
              </w:rPr>
              <w:t>10</w:t>
            </w:r>
          </w:p>
        </w:tc>
      </w:tr>
    </w:tbl>
    <w:p w14:paraId="0B7B1B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FD3732">
        <w:tblPrEx>
          <w:tblCellMar>
            <w:top w:w="0" w:type="dxa"/>
            <w:left w:w="108" w:type="dxa"/>
            <w:bottom w:w="0" w:type="dxa"/>
            <w:right w:w="108" w:type="dxa"/>
          </w:tblCellMar>
        </w:tblPrEx>
        <w:tc>
          <w:tcPr>
            <w:tcW w:w="8847" w:type="dxa"/>
            <w:gridSpan w:val="9"/>
            <w:vAlign w:val="center"/>
          </w:tcPr>
          <w:p w14:paraId="15559811">
            <w:pPr>
              <w:jc w:val="center"/>
            </w:pPr>
            <w:r>
              <w:rPr>
                <w:rFonts w:ascii="宋体" w:hAnsi="宋体" w:eastAsia="宋体"/>
                <w:sz w:val="24"/>
              </w:rPr>
              <w:t>项目支出绩效自评表</w:t>
            </w:r>
          </w:p>
        </w:tc>
      </w:tr>
      <w:tr w14:paraId="26B6E931">
        <w:tblPrEx>
          <w:tblCellMar>
            <w:top w:w="0" w:type="dxa"/>
            <w:left w:w="108" w:type="dxa"/>
            <w:bottom w:w="0" w:type="dxa"/>
            <w:right w:w="108" w:type="dxa"/>
          </w:tblCellMar>
        </w:tblPrEx>
        <w:tc>
          <w:tcPr>
            <w:tcW w:w="8847" w:type="dxa"/>
            <w:gridSpan w:val="9"/>
            <w:vAlign w:val="center"/>
          </w:tcPr>
          <w:p w14:paraId="00084C56">
            <w:pPr>
              <w:jc w:val="center"/>
            </w:pPr>
            <w:r>
              <w:rPr>
                <w:rFonts w:ascii="宋体" w:hAnsi="宋体" w:eastAsia="宋体"/>
                <w:sz w:val="24"/>
              </w:rPr>
              <w:t>(2024年度)</w:t>
            </w:r>
          </w:p>
        </w:tc>
      </w:tr>
      <w:tr w14:paraId="6D72A5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B0F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094B4F">
            <w:pPr>
              <w:jc w:val="center"/>
            </w:pPr>
            <w:r>
              <w:rPr>
                <w:rFonts w:ascii="宋体" w:hAnsi="宋体" w:eastAsia="宋体"/>
                <w:sz w:val="16"/>
              </w:rPr>
              <w:t>2024年援疆干部人才南疆工作补贴项目</w:t>
            </w:r>
          </w:p>
        </w:tc>
      </w:tr>
      <w:tr w14:paraId="3517C4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83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142AAD">
            <w:pPr>
              <w:jc w:val="center"/>
            </w:pPr>
            <w:r>
              <w:rPr>
                <w:rFonts w:ascii="宋体" w:hAnsi="宋体" w:eastAsia="宋体"/>
                <w:sz w:val="16"/>
              </w:rPr>
              <w:t>和田地区大数据发展服务中心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7AC7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68AB4B">
            <w:pPr>
              <w:jc w:val="center"/>
            </w:pPr>
            <w:r>
              <w:rPr>
                <w:rFonts w:ascii="宋体" w:hAnsi="宋体" w:eastAsia="宋体"/>
                <w:sz w:val="16"/>
              </w:rPr>
              <w:t>和田地区大数据发展服务中心</w:t>
            </w:r>
          </w:p>
        </w:tc>
      </w:tr>
      <w:tr w14:paraId="173700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74E7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112E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20F2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89F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8D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24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77D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22EDD">
            <w:pPr>
              <w:jc w:val="center"/>
            </w:pPr>
            <w:r>
              <w:rPr>
                <w:rFonts w:ascii="宋体" w:hAnsi="宋体" w:eastAsia="宋体"/>
                <w:sz w:val="16"/>
              </w:rPr>
              <w:t>得分</w:t>
            </w:r>
          </w:p>
        </w:tc>
      </w:tr>
      <w:tr w14:paraId="06E867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9DE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413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5AF2">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F7E0">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8ECC6">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470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7490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C7A58">
            <w:pPr>
              <w:jc w:val="center"/>
            </w:pPr>
            <w:r>
              <w:rPr>
                <w:rFonts w:ascii="宋体" w:hAnsi="宋体" w:eastAsia="宋体"/>
                <w:sz w:val="16"/>
              </w:rPr>
              <w:t>10.00分</w:t>
            </w:r>
          </w:p>
        </w:tc>
      </w:tr>
      <w:tr w14:paraId="771C2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535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99A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9EA9">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78C68">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76C48">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33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DB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E74A">
            <w:pPr>
              <w:jc w:val="center"/>
            </w:pPr>
            <w:r>
              <w:rPr>
                <w:rFonts w:ascii="宋体" w:hAnsi="宋体" w:eastAsia="宋体"/>
                <w:sz w:val="16"/>
              </w:rPr>
              <w:t>—</w:t>
            </w:r>
          </w:p>
        </w:tc>
      </w:tr>
      <w:tr w14:paraId="0DF20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6DF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2A5D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693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B0E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628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35B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3EF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A6BA">
            <w:pPr>
              <w:jc w:val="center"/>
            </w:pPr>
            <w:r>
              <w:rPr>
                <w:rFonts w:ascii="宋体" w:hAnsi="宋体" w:eastAsia="宋体"/>
                <w:sz w:val="16"/>
              </w:rPr>
              <w:t>—</w:t>
            </w:r>
          </w:p>
        </w:tc>
      </w:tr>
      <w:tr w14:paraId="7340FB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D3A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D2B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D32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3DF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D5D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2B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37F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3CD68">
            <w:pPr>
              <w:jc w:val="center"/>
            </w:pPr>
            <w:r>
              <w:rPr>
                <w:rFonts w:ascii="宋体" w:hAnsi="宋体" w:eastAsia="宋体"/>
                <w:sz w:val="16"/>
              </w:rPr>
              <w:t>—</w:t>
            </w:r>
          </w:p>
        </w:tc>
      </w:tr>
      <w:tr w14:paraId="3737EA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39E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793F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73758">
            <w:pPr>
              <w:jc w:val="center"/>
            </w:pPr>
            <w:r>
              <w:rPr>
                <w:rFonts w:ascii="宋体" w:hAnsi="宋体" w:eastAsia="宋体"/>
                <w:sz w:val="16"/>
              </w:rPr>
              <w:t>实际完成情况</w:t>
            </w:r>
          </w:p>
        </w:tc>
      </w:tr>
      <w:tr w14:paraId="17D2B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EAE3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739A0D">
            <w:pPr>
              <w:jc w:val="both"/>
            </w:pPr>
            <w:r>
              <w:rPr>
                <w:rFonts w:ascii="宋体" w:hAnsi="宋体" w:eastAsia="宋体"/>
                <w:sz w:val="16"/>
              </w:rPr>
              <w:t>项目总投资0.7万元，按标准完成2024年援疆干部人才南疆工作补贴发放。提高援疆干部工作效率及服务能力，争取使受益干部满意度达到95%以上。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308AFB">
            <w:pPr>
              <w:jc w:val="both"/>
            </w:pPr>
            <w:r>
              <w:rPr>
                <w:rFonts w:hint="eastAsia" w:ascii="宋体" w:hAnsi="宋体"/>
                <w:sz w:val="16"/>
                <w:lang w:eastAsia="zh-CN"/>
              </w:rPr>
              <w:t>截至</w:t>
            </w:r>
            <w:r>
              <w:rPr>
                <w:rFonts w:ascii="宋体" w:hAnsi="宋体" w:eastAsia="宋体"/>
                <w:sz w:val="16"/>
              </w:rPr>
              <w:t>2024年12月31日，本项目实际形成支出0.7万元，已完成1名援疆干部人才南疆工作补贴1-7月补贴的任务，达到了提高援疆干部工作效率及服务能力的效益，受益人员满意度达到100%。</w:t>
            </w:r>
          </w:p>
        </w:tc>
      </w:tr>
      <w:tr w14:paraId="13B602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8B80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C9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5B8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29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214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580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E92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481C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485D">
            <w:pPr>
              <w:jc w:val="center"/>
            </w:pPr>
            <w:r>
              <w:rPr>
                <w:rFonts w:ascii="宋体" w:hAnsi="宋体" w:eastAsia="宋体"/>
                <w:sz w:val="16"/>
              </w:rPr>
              <w:t>偏差原因分析及改进措施</w:t>
            </w:r>
          </w:p>
        </w:tc>
      </w:tr>
      <w:tr w14:paraId="1EC23A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D43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5928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C545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3E3D">
            <w:pPr>
              <w:jc w:val="center"/>
            </w:pPr>
            <w:r>
              <w:rPr>
                <w:rFonts w:ascii="宋体" w:hAnsi="宋体" w:eastAsia="宋体"/>
                <w:sz w:val="16"/>
              </w:rPr>
              <w:t>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6DB2">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B2D5A">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03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41C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CE7D">
            <w:pPr>
              <w:jc w:val="center"/>
            </w:pPr>
          </w:p>
        </w:tc>
      </w:tr>
      <w:tr w14:paraId="449DB2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813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D1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957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A51A">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A6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8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EE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84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7E0A">
            <w:pPr>
              <w:jc w:val="center"/>
            </w:pPr>
          </w:p>
        </w:tc>
      </w:tr>
      <w:tr w14:paraId="57E277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DF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9A0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87D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B8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CE82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31060">
            <w:pPr>
              <w:jc w:val="center"/>
            </w:pPr>
            <w:r>
              <w:rPr>
                <w:rFonts w:ascii="宋体" w:hAnsi="宋体" w:eastAsia="宋体"/>
                <w:sz w:val="16"/>
              </w:rPr>
              <w:t>2024年7月31日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45B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21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3F360">
            <w:pPr>
              <w:jc w:val="center"/>
            </w:pPr>
          </w:p>
        </w:tc>
      </w:tr>
      <w:tr w14:paraId="7FE892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733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D56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990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FAB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FA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47A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1AB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1DE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5D1B9">
            <w:pPr>
              <w:jc w:val="center"/>
            </w:pPr>
          </w:p>
        </w:tc>
      </w:tr>
      <w:tr w14:paraId="60D01B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228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9083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C636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89A6">
            <w:pPr>
              <w:jc w:val="center"/>
            </w:pPr>
            <w:r>
              <w:rPr>
                <w:rFonts w:ascii="宋体" w:hAnsi="宋体" w:eastAsia="宋体"/>
                <w:sz w:val="16"/>
              </w:rPr>
              <w:t>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05B2">
            <w:pPr>
              <w:jc w:val="center"/>
            </w:pPr>
            <w:r>
              <w:rPr>
                <w:rFonts w:ascii="宋体" w:hAnsi="宋体" w:eastAsia="宋体"/>
                <w:sz w:val="16"/>
              </w:rPr>
              <w:t>≤0.70万元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A94AB">
            <w:pPr>
              <w:jc w:val="center"/>
            </w:pPr>
            <w:r>
              <w:rPr>
                <w:rFonts w:ascii="宋体" w:hAnsi="宋体" w:eastAsia="宋体"/>
                <w:sz w:val="16"/>
              </w:rPr>
              <w:t>=0.7万元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584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07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BEB8">
            <w:pPr>
              <w:jc w:val="center"/>
            </w:pPr>
          </w:p>
        </w:tc>
      </w:tr>
      <w:tr w14:paraId="72542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DA5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BF2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7EF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4A036">
            <w:pPr>
              <w:jc w:val="center"/>
            </w:pPr>
            <w:r>
              <w:rPr>
                <w:rFonts w:ascii="宋体" w:hAnsi="宋体" w:eastAsia="宋体"/>
                <w:sz w:val="16"/>
              </w:rPr>
              <w:t>提高工作效率和服务能力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C95D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F93E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A4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90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56C6">
            <w:pPr>
              <w:jc w:val="center"/>
            </w:pPr>
          </w:p>
        </w:tc>
      </w:tr>
      <w:tr w14:paraId="1A8E81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F95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3438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EF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EFB9">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CB9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AF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885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5E3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4F7CD">
            <w:pPr>
              <w:jc w:val="center"/>
            </w:pPr>
          </w:p>
        </w:tc>
      </w:tr>
      <w:tr w14:paraId="1001E1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59B2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D065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FFA5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7187F">
            <w:pPr>
              <w:jc w:val="center"/>
            </w:pPr>
            <w:r>
              <w:rPr>
                <w:rFonts w:ascii="宋体" w:hAnsi="宋体" w:eastAsia="宋体"/>
                <w:sz w:val="16"/>
              </w:rPr>
              <w:t>100分</w:t>
            </w:r>
          </w:p>
        </w:tc>
      </w:tr>
    </w:tbl>
    <w:p w14:paraId="5EC83C8A">
      <w:r>
        <w:br w:type="page"/>
      </w:r>
    </w:p>
    <w:p w14:paraId="0C7E6D40">
      <w:pPr>
        <w:spacing w:line="640" w:lineRule="exact"/>
        <w:ind w:firstLine="640"/>
        <w:jc w:val="both"/>
        <w:outlineLvl w:val="2"/>
      </w:pPr>
      <w:r>
        <w:rPr>
          <w:rFonts w:ascii="黑体" w:hAnsi="黑体" w:eastAsia="黑体"/>
          <w:sz w:val="32"/>
        </w:rPr>
        <w:t>十二、其他需说明的事项</w:t>
      </w:r>
    </w:p>
    <w:p w14:paraId="49A70B14">
      <w:pPr>
        <w:spacing w:line="580" w:lineRule="exact"/>
        <w:ind w:firstLine="640"/>
        <w:jc w:val="both"/>
      </w:pPr>
      <w:r>
        <w:rPr>
          <w:rFonts w:ascii="仿宋_GB2312" w:hAnsi="仿宋_GB2312" w:eastAsia="仿宋_GB2312"/>
          <w:b w:val="0"/>
          <w:sz w:val="32"/>
        </w:rPr>
        <w:t>本单位无其他需说明的事项。</w:t>
      </w:r>
    </w:p>
    <w:p w14:paraId="2272D1B7">
      <w:r>
        <w:br w:type="page"/>
      </w:r>
    </w:p>
    <w:p w14:paraId="1E177A02">
      <w:pPr>
        <w:spacing w:line="240" w:lineRule="auto"/>
        <w:jc w:val="center"/>
        <w:outlineLvl w:val="1"/>
      </w:pPr>
      <w:r>
        <w:rPr>
          <w:rFonts w:ascii="黑体" w:hAnsi="黑体" w:eastAsia="黑体"/>
          <w:sz w:val="32"/>
        </w:rPr>
        <w:t>第三部分 专业名词解释</w:t>
      </w:r>
    </w:p>
    <w:p w14:paraId="02861C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B14CB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83A5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145FA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51DC18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2D21E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236ED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02288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BDF0B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C205D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7062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AB94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BAF11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1638A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71DAED">
      <w:r>
        <w:br w:type="page"/>
      </w:r>
    </w:p>
    <w:p w14:paraId="12F87743">
      <w:pPr>
        <w:spacing w:line="240" w:lineRule="auto"/>
        <w:jc w:val="center"/>
        <w:outlineLvl w:val="1"/>
      </w:pPr>
      <w:r>
        <w:rPr>
          <w:rFonts w:ascii="黑体" w:hAnsi="黑体" w:eastAsia="黑体"/>
          <w:sz w:val="32"/>
        </w:rPr>
        <w:t>第四部分 部门决算报表（见附表）</w:t>
      </w:r>
    </w:p>
    <w:p w14:paraId="45D70D26">
      <w:pPr>
        <w:spacing w:line="240" w:lineRule="auto"/>
        <w:ind w:firstLine="640"/>
        <w:jc w:val="both"/>
      </w:pPr>
      <w:r>
        <w:rPr>
          <w:rFonts w:ascii="仿宋_GB2312" w:hAnsi="仿宋_GB2312" w:eastAsia="仿宋_GB2312"/>
          <w:b w:val="0"/>
          <w:sz w:val="32"/>
        </w:rPr>
        <w:t>一、《收入支出决算总表》</w:t>
      </w:r>
    </w:p>
    <w:p w14:paraId="6D651B18">
      <w:pPr>
        <w:spacing w:line="240" w:lineRule="auto"/>
        <w:ind w:firstLine="640"/>
        <w:jc w:val="both"/>
      </w:pPr>
      <w:r>
        <w:rPr>
          <w:rFonts w:ascii="仿宋_GB2312" w:hAnsi="仿宋_GB2312" w:eastAsia="仿宋_GB2312"/>
          <w:b w:val="0"/>
          <w:sz w:val="32"/>
        </w:rPr>
        <w:t>二、《收入决算表》</w:t>
      </w:r>
    </w:p>
    <w:p w14:paraId="3A8433F0">
      <w:pPr>
        <w:spacing w:line="240" w:lineRule="auto"/>
        <w:ind w:firstLine="640"/>
        <w:jc w:val="both"/>
      </w:pPr>
      <w:r>
        <w:rPr>
          <w:rFonts w:ascii="仿宋_GB2312" w:hAnsi="仿宋_GB2312" w:eastAsia="仿宋_GB2312"/>
          <w:b w:val="0"/>
          <w:sz w:val="32"/>
        </w:rPr>
        <w:t>三、《支出决算表》</w:t>
      </w:r>
    </w:p>
    <w:p w14:paraId="64E14D85">
      <w:pPr>
        <w:spacing w:line="240" w:lineRule="auto"/>
        <w:ind w:firstLine="640"/>
        <w:jc w:val="both"/>
      </w:pPr>
      <w:r>
        <w:rPr>
          <w:rFonts w:ascii="仿宋_GB2312" w:hAnsi="仿宋_GB2312" w:eastAsia="仿宋_GB2312"/>
          <w:b w:val="0"/>
          <w:sz w:val="32"/>
        </w:rPr>
        <w:t>四、《财政拨款收入支出决算总表》</w:t>
      </w:r>
    </w:p>
    <w:p w14:paraId="5727D8C9">
      <w:pPr>
        <w:spacing w:line="240" w:lineRule="auto"/>
        <w:ind w:firstLine="640"/>
        <w:jc w:val="both"/>
      </w:pPr>
      <w:r>
        <w:rPr>
          <w:rFonts w:ascii="仿宋_GB2312" w:hAnsi="仿宋_GB2312" w:eastAsia="仿宋_GB2312"/>
          <w:b w:val="0"/>
          <w:sz w:val="32"/>
        </w:rPr>
        <w:t>五、《一般公共预算财政拨款支出决算表》</w:t>
      </w:r>
    </w:p>
    <w:p w14:paraId="19D1C8EC">
      <w:pPr>
        <w:spacing w:line="240" w:lineRule="auto"/>
        <w:ind w:firstLine="640"/>
        <w:jc w:val="both"/>
      </w:pPr>
      <w:r>
        <w:rPr>
          <w:rFonts w:ascii="仿宋_GB2312" w:hAnsi="仿宋_GB2312" w:eastAsia="仿宋_GB2312"/>
          <w:b w:val="0"/>
          <w:sz w:val="32"/>
        </w:rPr>
        <w:t>六、《一般公共预算财政拨款基本支出决算表》</w:t>
      </w:r>
    </w:p>
    <w:p w14:paraId="385FEBCD">
      <w:pPr>
        <w:spacing w:line="240" w:lineRule="auto"/>
        <w:ind w:firstLine="640"/>
        <w:jc w:val="both"/>
      </w:pPr>
      <w:r>
        <w:rPr>
          <w:rFonts w:ascii="仿宋_GB2312" w:hAnsi="仿宋_GB2312" w:eastAsia="仿宋_GB2312"/>
          <w:b w:val="0"/>
          <w:sz w:val="32"/>
        </w:rPr>
        <w:t>七、《政府性基金预算财政拨款收入支出决算表》</w:t>
      </w:r>
    </w:p>
    <w:p w14:paraId="56279F5F">
      <w:pPr>
        <w:spacing w:line="240" w:lineRule="auto"/>
        <w:ind w:firstLine="640"/>
        <w:jc w:val="both"/>
      </w:pPr>
      <w:r>
        <w:rPr>
          <w:rFonts w:ascii="仿宋_GB2312" w:hAnsi="仿宋_GB2312" w:eastAsia="仿宋_GB2312"/>
          <w:b w:val="0"/>
          <w:sz w:val="32"/>
        </w:rPr>
        <w:t>八、《国有资本经营预算财政拨款收入支出决算表》</w:t>
      </w:r>
    </w:p>
    <w:p w14:paraId="461E4247">
      <w:pPr>
        <w:spacing w:line="240" w:lineRule="auto"/>
        <w:ind w:firstLine="640"/>
        <w:jc w:val="both"/>
      </w:pPr>
      <w:r>
        <w:rPr>
          <w:rFonts w:ascii="仿宋_GB2312" w:hAnsi="仿宋_GB2312" w:eastAsia="仿宋_GB2312"/>
          <w:b w:val="0"/>
          <w:sz w:val="32"/>
        </w:rPr>
        <w:t>九、《财政拨款“三公”经费支出决算表》</w:t>
      </w:r>
    </w:p>
    <w:p w14:paraId="77C29B8A">
      <w:pPr>
        <w:spacing w:line="240" w:lineRule="auto"/>
        <w:ind w:firstLine="640"/>
        <w:jc w:val="both"/>
      </w:pPr>
    </w:p>
    <w:p w14:paraId="1A85D444">
      <w:pPr>
        <w:spacing w:line="240" w:lineRule="auto"/>
        <w:ind w:firstLine="640"/>
        <w:jc w:val="both"/>
      </w:pPr>
    </w:p>
    <w:p w14:paraId="632703FD">
      <w:pPr>
        <w:spacing w:line="240" w:lineRule="auto"/>
        <w:ind w:firstLine="640"/>
        <w:jc w:val="both"/>
      </w:pPr>
    </w:p>
    <w:p w14:paraId="2AAFA141">
      <w:pPr>
        <w:spacing w:line="240" w:lineRule="auto"/>
        <w:ind w:firstLine="640"/>
        <w:jc w:val="both"/>
      </w:pPr>
    </w:p>
    <w:p w14:paraId="3CDB654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7F62A0"/>
    <w:rsid w:val="09A729D8"/>
    <w:rsid w:val="0A3C58E8"/>
    <w:rsid w:val="0A7B4867"/>
    <w:rsid w:val="0B5F18B9"/>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7FE3E93"/>
    <w:rsid w:val="282459E2"/>
    <w:rsid w:val="29116777"/>
    <w:rsid w:val="2A053397"/>
    <w:rsid w:val="2A444FB1"/>
    <w:rsid w:val="2A6064E2"/>
    <w:rsid w:val="2C1965E9"/>
    <w:rsid w:val="2D1136DF"/>
    <w:rsid w:val="2DAE0E44"/>
    <w:rsid w:val="2FD27414"/>
    <w:rsid w:val="311A6D9D"/>
    <w:rsid w:val="313F1D52"/>
    <w:rsid w:val="318029AB"/>
    <w:rsid w:val="31C63837"/>
    <w:rsid w:val="326F0A17"/>
    <w:rsid w:val="3277581B"/>
    <w:rsid w:val="38006E2C"/>
    <w:rsid w:val="3914510A"/>
    <w:rsid w:val="3A7A1A1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B84A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5642</Words>
  <Characters>6279</Characters>
  <Lines>0</Lines>
  <Paragraphs>0</Paragraphs>
  <TotalTime>3</TotalTime>
  <ScaleCrop>false</ScaleCrop>
  <LinksUpToDate>false</LinksUpToDate>
  <CharactersWithSpaces>6287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2025-09-11T05:19:00Z</cp:lastPrinted>
  <dcterms:modified xsi:type="dcterms:W3CDTF">2025-09-11T12:17:50Z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