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1CC9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3C8F55C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558354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9DB60E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737363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484B8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中共和田地区委员会政策研究室2024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79E5FA0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方正小标宋_GBK" w:hAnsi="宋体" w:eastAsia="方正小标宋_GBK"/>
          <w:sz w:val="44"/>
          <w:szCs w:val="44"/>
          <w:highlight w:val="none"/>
        </w:rPr>
      </w:pPr>
    </w:p>
    <w:p w14:paraId="49052CE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方正小标宋_GBK" w:hAnsi="宋体" w:eastAsia="方正小标宋_GBK"/>
          <w:sz w:val="44"/>
          <w:szCs w:val="44"/>
          <w:highlight w:val="none"/>
        </w:rPr>
      </w:pPr>
    </w:p>
    <w:p w14:paraId="680E905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方正小标宋_GBK" w:hAnsi="宋体" w:eastAsia="方正小标宋_GBK"/>
          <w:sz w:val="44"/>
          <w:szCs w:val="44"/>
          <w:highlight w:val="none"/>
        </w:rPr>
      </w:pPr>
    </w:p>
    <w:p w14:paraId="1E8C761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方正小标宋_GBK" w:hAnsi="宋体" w:eastAsia="方正小标宋_GBK"/>
          <w:sz w:val="44"/>
          <w:szCs w:val="44"/>
          <w:highlight w:val="none"/>
        </w:rPr>
      </w:pPr>
    </w:p>
    <w:p w14:paraId="378E65F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bookmarkStart w:id="0" w:name="_GoBack"/>
      <w:bookmarkEnd w:id="0"/>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3A92762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27FDF4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FD2D67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52DA564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40C17B9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B9371C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557E2A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6414660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226AE43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25147F4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4BB789B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85A573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33AC57D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903D8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3C1DA78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2ECC0A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E4B824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CA31EE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DF0475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E82540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55550BD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762CCB0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3E475FFE">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C6FEB0A">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5BB3919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595D48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2A43340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EC0059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D5B97D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8F287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27B79B7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5E23A9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1429E43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E63EAE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5F70A8">
      <w:r>
        <w:br w:type="page"/>
      </w:r>
    </w:p>
    <w:p w14:paraId="0C3D4B43">
      <w:pPr>
        <w:spacing w:line="640" w:lineRule="exact"/>
        <w:jc w:val="center"/>
        <w:outlineLvl w:val="1"/>
      </w:pPr>
      <w:r>
        <w:rPr>
          <w:rFonts w:ascii="黑体" w:hAnsi="黑体" w:eastAsia="黑体"/>
          <w:sz w:val="32"/>
        </w:rPr>
        <w:t>第一部分 单位概况</w:t>
      </w:r>
    </w:p>
    <w:p w14:paraId="3C9F1049">
      <w:pPr>
        <w:spacing w:line="640" w:lineRule="exact"/>
        <w:ind w:firstLine="640"/>
        <w:jc w:val="both"/>
        <w:outlineLvl w:val="2"/>
      </w:pPr>
      <w:r>
        <w:rPr>
          <w:rFonts w:ascii="黑体" w:hAnsi="黑体" w:eastAsia="黑体"/>
          <w:sz w:val="32"/>
        </w:rPr>
        <w:t>一、主要职能</w:t>
      </w:r>
    </w:p>
    <w:p w14:paraId="1CC511BC">
      <w:pPr>
        <w:spacing w:line="580" w:lineRule="exact"/>
        <w:ind w:firstLine="640"/>
        <w:jc w:val="both"/>
      </w:pPr>
      <w:r>
        <w:rPr>
          <w:rFonts w:ascii="仿宋_GB2312" w:hAnsi="仿宋_GB2312" w:eastAsia="仿宋_GB2312"/>
          <w:sz w:val="32"/>
        </w:rPr>
        <w:t>（1）根据地委指示,起草、参与起草、修改和组织协同有关部门共同起草、修改地委、行政公署重要文稿。</w:t>
      </w:r>
    </w:p>
    <w:p w14:paraId="2655D40A">
      <w:pPr>
        <w:spacing w:line="580" w:lineRule="exact"/>
        <w:ind w:firstLine="640"/>
        <w:jc w:val="both"/>
      </w:pPr>
      <w:r>
        <w:rPr>
          <w:rFonts w:ascii="仿宋_GB2312" w:hAnsi="仿宋_GB2312" w:eastAsia="仿宋_GB2312"/>
          <w:sz w:val="32"/>
        </w:rPr>
        <w:t>（2）根据地委的意图和部署，围绕党的中心工作，统筹协调各县市各部门，形成合力，对地区政治、经济、文化、生态文明、民生保障、社会稳定、改革开放、党的建设等方面的重大问题进行调查研究，提出意见和建议，供地委决策参</w:t>
      </w:r>
      <w:r>
        <w:rPr>
          <w:rFonts w:hint="eastAsia" w:ascii="仿宋_GB2312" w:hAnsi="仿宋_GB2312" w:eastAsia="仿宋_GB2312"/>
          <w:sz w:val="32"/>
          <w:lang w:eastAsia="zh-CN"/>
        </w:rPr>
        <w:t>考</w:t>
      </w:r>
      <w:r>
        <w:rPr>
          <w:rFonts w:ascii="仿宋_GB2312" w:hAnsi="仿宋_GB2312" w:eastAsia="仿宋_GB2312"/>
          <w:sz w:val="32"/>
        </w:rPr>
        <w:t>。</w:t>
      </w:r>
    </w:p>
    <w:p w14:paraId="3C8DCDD1">
      <w:pPr>
        <w:spacing w:line="580" w:lineRule="exact"/>
        <w:ind w:firstLine="640"/>
        <w:jc w:val="both"/>
      </w:pPr>
      <w:r>
        <w:rPr>
          <w:rFonts w:ascii="仿宋_GB2312" w:hAnsi="仿宋_GB2312" w:eastAsia="仿宋_GB2312"/>
          <w:sz w:val="32"/>
        </w:rPr>
        <w:t>（3）组织撰写宣传、阐释党的理论和路线方针政策、治疆方略等文章和著作。</w:t>
      </w:r>
    </w:p>
    <w:p w14:paraId="0DC075E9">
      <w:pPr>
        <w:spacing w:line="580" w:lineRule="exact"/>
        <w:ind w:firstLine="640"/>
        <w:jc w:val="both"/>
      </w:pPr>
      <w:r>
        <w:rPr>
          <w:rFonts w:ascii="仿宋_GB2312" w:hAnsi="仿宋_GB2312" w:eastAsia="仿宋_GB2312"/>
          <w:sz w:val="32"/>
        </w:rPr>
        <w:t>（4）根据地委全面深化改革委员会要求，统筹协调有关方面制定地区改革方案和措施，协调提出自治区中长期改革规划和田地区贯彻落实意见，协调推进跨专项小组改革任务落实。</w:t>
      </w:r>
    </w:p>
    <w:p w14:paraId="086F9379">
      <w:pPr>
        <w:spacing w:line="580" w:lineRule="exact"/>
        <w:ind w:firstLine="640"/>
        <w:jc w:val="both"/>
      </w:pPr>
      <w:r>
        <w:rPr>
          <w:rFonts w:ascii="仿宋_GB2312" w:hAnsi="仿宋_GB2312" w:eastAsia="仿宋_GB2312"/>
          <w:sz w:val="32"/>
        </w:rPr>
        <w:t>（5）负责对各专项小组和各县市各部门全面深化改革工作的统筹、协调、督促、检查、绩效考核，总结宣传改革经验。</w:t>
      </w:r>
    </w:p>
    <w:p w14:paraId="047AFA1D">
      <w:pPr>
        <w:spacing w:line="580" w:lineRule="exact"/>
        <w:ind w:firstLine="640"/>
        <w:jc w:val="both"/>
      </w:pPr>
      <w:r>
        <w:rPr>
          <w:rFonts w:ascii="仿宋_GB2312" w:hAnsi="仿宋_GB2312" w:eastAsia="仿宋_GB2312"/>
          <w:sz w:val="32"/>
        </w:rPr>
        <w:t>（6）承办地委交办的其他事项。</w:t>
      </w:r>
    </w:p>
    <w:p w14:paraId="00882535">
      <w:pPr>
        <w:spacing w:line="640" w:lineRule="exact"/>
        <w:ind w:firstLine="640"/>
        <w:jc w:val="both"/>
        <w:outlineLvl w:val="2"/>
      </w:pPr>
      <w:r>
        <w:rPr>
          <w:rFonts w:ascii="黑体" w:hAnsi="黑体" w:eastAsia="黑体"/>
          <w:sz w:val="32"/>
        </w:rPr>
        <w:t>二、机构设置及人员情况</w:t>
      </w:r>
    </w:p>
    <w:p w14:paraId="64232742">
      <w:pPr>
        <w:spacing w:line="580" w:lineRule="exact"/>
        <w:ind w:firstLine="640"/>
        <w:jc w:val="both"/>
      </w:pPr>
      <w:r>
        <w:rPr>
          <w:rFonts w:ascii="仿宋_GB2312" w:hAnsi="仿宋_GB2312" w:eastAsia="仿宋_GB2312"/>
          <w:sz w:val="32"/>
        </w:rPr>
        <w:t>中共和田地区委员会政策研究室2024年度，实有人数10人，其中：在职人员8人，减少1人；离休人员0人，增加0人；退休人员2人,增加0人。</w:t>
      </w:r>
    </w:p>
    <w:p w14:paraId="3EEE2A7F">
      <w:pPr>
        <w:spacing w:line="580" w:lineRule="exact"/>
        <w:ind w:firstLine="640"/>
        <w:jc w:val="both"/>
      </w:pPr>
      <w:r>
        <w:rPr>
          <w:rFonts w:ascii="仿宋_GB2312" w:hAnsi="仿宋_GB2312" w:eastAsia="仿宋_GB2312"/>
          <w:sz w:val="32"/>
        </w:rPr>
        <w:t>中共和田地区委员会政策研究室无下属预算单位，下设2个科室，分别是：政研科、改革科。</w:t>
      </w:r>
    </w:p>
    <w:p w14:paraId="0A2FC6B5">
      <w:r>
        <w:br w:type="page"/>
      </w:r>
    </w:p>
    <w:p w14:paraId="603E9EA1">
      <w:pPr>
        <w:spacing w:line="240" w:lineRule="auto"/>
        <w:jc w:val="center"/>
        <w:outlineLvl w:val="1"/>
      </w:pPr>
      <w:r>
        <w:rPr>
          <w:rFonts w:ascii="黑体" w:hAnsi="黑体" w:eastAsia="黑体"/>
          <w:sz w:val="32"/>
        </w:rPr>
        <w:t>第二部分 部门决算情况说明</w:t>
      </w:r>
    </w:p>
    <w:p w14:paraId="0BF08E09">
      <w:pPr>
        <w:spacing w:line="640" w:lineRule="exact"/>
        <w:ind w:firstLine="640"/>
        <w:jc w:val="both"/>
        <w:outlineLvl w:val="2"/>
      </w:pPr>
      <w:r>
        <w:rPr>
          <w:rFonts w:ascii="黑体" w:hAnsi="黑体" w:eastAsia="黑体"/>
          <w:sz w:val="32"/>
        </w:rPr>
        <w:t>一、收入支出决算总体情况说明</w:t>
      </w:r>
    </w:p>
    <w:p w14:paraId="73AA0A8C">
      <w:pPr>
        <w:spacing w:line="580" w:lineRule="exact"/>
        <w:ind w:firstLine="640"/>
        <w:jc w:val="both"/>
      </w:pPr>
      <w:r>
        <w:rPr>
          <w:rFonts w:ascii="仿宋_GB2312" w:hAnsi="仿宋_GB2312" w:eastAsia="仿宋_GB2312"/>
          <w:b/>
          <w:sz w:val="32"/>
        </w:rPr>
        <w:t>2024年度收入总计224.23万元，</w:t>
      </w:r>
      <w:r>
        <w:rPr>
          <w:rFonts w:ascii="仿宋_GB2312" w:hAnsi="仿宋_GB2312" w:eastAsia="仿宋_GB2312"/>
          <w:b w:val="0"/>
          <w:sz w:val="32"/>
        </w:rPr>
        <w:t>其中：本年收入合计222.26万元，使用非财政拨款结余（含专用结余）0.00万元，年初结转和结余1.97万元。</w:t>
      </w:r>
    </w:p>
    <w:p w14:paraId="2F0A25B7">
      <w:pPr>
        <w:spacing w:line="580" w:lineRule="exact"/>
        <w:ind w:firstLine="640"/>
        <w:jc w:val="both"/>
      </w:pPr>
      <w:r>
        <w:rPr>
          <w:rFonts w:ascii="仿宋_GB2312" w:hAnsi="仿宋_GB2312" w:eastAsia="仿宋_GB2312"/>
          <w:b/>
          <w:sz w:val="32"/>
        </w:rPr>
        <w:t>2024年度支出总计224.23万元，</w:t>
      </w:r>
      <w:r>
        <w:rPr>
          <w:rFonts w:ascii="仿宋_GB2312" w:hAnsi="仿宋_GB2312" w:eastAsia="仿宋_GB2312"/>
          <w:b w:val="0"/>
          <w:sz w:val="32"/>
        </w:rPr>
        <w:t>其中：本年支出合计222.56万元，结余分配0.00万元，年末结转和结余1.67万元。</w:t>
      </w:r>
    </w:p>
    <w:p w14:paraId="083194C3">
      <w:pPr>
        <w:spacing w:line="580" w:lineRule="exact"/>
        <w:ind w:firstLine="640"/>
        <w:jc w:val="both"/>
      </w:pPr>
      <w:r>
        <w:rPr>
          <w:rFonts w:ascii="仿宋_GB2312" w:hAnsi="仿宋_GB2312" w:eastAsia="仿宋_GB2312"/>
          <w:b w:val="0"/>
          <w:sz w:val="32"/>
        </w:rPr>
        <w:t>收入支出总体与上年相比，增加61.93万元，增长38.16%，主要原因是：1.本年在职人员工资调增，社保、公积金基数调增，人员经费增加；2.本年增加调查研究工作经费项目。</w:t>
      </w:r>
    </w:p>
    <w:p w14:paraId="66879754">
      <w:pPr>
        <w:spacing w:line="640" w:lineRule="exact"/>
        <w:ind w:firstLine="640"/>
        <w:jc w:val="both"/>
        <w:outlineLvl w:val="2"/>
      </w:pPr>
      <w:r>
        <w:rPr>
          <w:rFonts w:ascii="黑体" w:hAnsi="黑体" w:eastAsia="黑体"/>
          <w:sz w:val="32"/>
        </w:rPr>
        <w:t>二、收入决算情况说明</w:t>
      </w:r>
    </w:p>
    <w:p w14:paraId="2D8EB211">
      <w:pPr>
        <w:spacing w:line="580" w:lineRule="exact"/>
        <w:ind w:firstLine="640"/>
        <w:jc w:val="both"/>
      </w:pPr>
      <w:r>
        <w:rPr>
          <w:rFonts w:ascii="仿宋_GB2312" w:hAnsi="仿宋_GB2312" w:eastAsia="仿宋_GB2312"/>
          <w:b/>
          <w:sz w:val="32"/>
        </w:rPr>
        <w:t>本年收入222.26万元，</w:t>
      </w:r>
      <w:r>
        <w:rPr>
          <w:rFonts w:ascii="仿宋_GB2312" w:hAnsi="仿宋_GB2312" w:eastAsia="仿宋_GB2312"/>
          <w:b w:val="0"/>
          <w:sz w:val="32"/>
        </w:rPr>
        <w:t>其中：财政拨款收入222.25万元，占100.00%；上级补助收入0.00万元，占0.00%；事业收入0.00万元，占0.00%；经营收入0.00万元，占0.00%；附属单位上缴收入0.00万元，占0.00%；其他收入0.01万元，占0.004%。</w:t>
      </w:r>
    </w:p>
    <w:p w14:paraId="63AEB1AF">
      <w:pPr>
        <w:spacing w:line="640" w:lineRule="exact"/>
        <w:ind w:firstLine="640"/>
        <w:jc w:val="both"/>
        <w:outlineLvl w:val="2"/>
      </w:pPr>
      <w:r>
        <w:rPr>
          <w:rFonts w:ascii="黑体" w:hAnsi="黑体" w:eastAsia="黑体"/>
          <w:sz w:val="32"/>
        </w:rPr>
        <w:t>三、支出决算情况说明</w:t>
      </w:r>
    </w:p>
    <w:p w14:paraId="00C5CF7B">
      <w:pPr>
        <w:spacing w:line="580" w:lineRule="exact"/>
        <w:ind w:firstLine="640"/>
        <w:jc w:val="both"/>
      </w:pPr>
      <w:r>
        <w:rPr>
          <w:rFonts w:ascii="仿宋_GB2312" w:hAnsi="仿宋_GB2312" w:eastAsia="仿宋_GB2312"/>
          <w:b/>
          <w:sz w:val="32"/>
        </w:rPr>
        <w:t>本年支出222.56万元，</w:t>
      </w:r>
      <w:r>
        <w:rPr>
          <w:rFonts w:ascii="仿宋_GB2312" w:hAnsi="仿宋_GB2312" w:eastAsia="仿宋_GB2312"/>
          <w:b w:val="0"/>
          <w:sz w:val="32"/>
        </w:rPr>
        <w:t>其中：基本支出215.56万元，占96.85%；项目支出7.00万元，占3.15%；上缴上级支出0.00万元，占0.00%；经营支出0.00万元，占0.00%；对附属单位补助支出0.00万元，占0.00%。</w:t>
      </w:r>
    </w:p>
    <w:p w14:paraId="10622CB3">
      <w:pPr>
        <w:spacing w:line="640" w:lineRule="exact"/>
        <w:ind w:firstLine="640"/>
        <w:jc w:val="both"/>
        <w:outlineLvl w:val="2"/>
      </w:pPr>
      <w:r>
        <w:rPr>
          <w:rFonts w:ascii="黑体" w:hAnsi="黑体" w:eastAsia="黑体"/>
          <w:sz w:val="32"/>
        </w:rPr>
        <w:t>四、财政拨款收入支出决算总体情况说明</w:t>
      </w:r>
    </w:p>
    <w:p w14:paraId="46AAF0FD">
      <w:pPr>
        <w:spacing w:line="580" w:lineRule="exact"/>
        <w:ind w:firstLine="640"/>
        <w:jc w:val="both"/>
      </w:pPr>
      <w:r>
        <w:rPr>
          <w:rFonts w:ascii="仿宋_GB2312" w:hAnsi="仿宋_GB2312" w:eastAsia="仿宋_GB2312"/>
          <w:b/>
          <w:sz w:val="32"/>
        </w:rPr>
        <w:t>2024年度财政拨款收入总计224.22万元，</w:t>
      </w:r>
      <w:r>
        <w:rPr>
          <w:rFonts w:ascii="仿宋_GB2312" w:hAnsi="仿宋_GB2312" w:eastAsia="仿宋_GB2312"/>
          <w:b w:val="0"/>
          <w:sz w:val="32"/>
        </w:rPr>
        <w:t>其中：年初财政拨款结转和结余1.96万元，本年财政拨款收入222.25万元。</w:t>
      </w:r>
      <w:r>
        <w:rPr>
          <w:rFonts w:ascii="仿宋_GB2312" w:hAnsi="仿宋_GB2312" w:eastAsia="仿宋_GB2312"/>
          <w:b/>
          <w:sz w:val="32"/>
        </w:rPr>
        <w:t>财政拨款支出总计224.22万元，</w:t>
      </w:r>
      <w:r>
        <w:rPr>
          <w:rFonts w:ascii="仿宋_GB2312" w:hAnsi="仿宋_GB2312" w:eastAsia="仿宋_GB2312"/>
          <w:b w:val="0"/>
          <w:sz w:val="32"/>
        </w:rPr>
        <w:t>其中：年末财政拨款结转和结余1.65万元，本年财政拨款支出222.56万元。</w:t>
      </w:r>
    </w:p>
    <w:p w14:paraId="0C413B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增加61.93万元，增长38.16%，主要原因是：1.本年在职人员工资调增，社保、公积金基数调增，人员经费增加；2.本年增加调查研究工作经费项目。</w:t>
      </w:r>
      <w:r>
        <w:rPr>
          <w:rFonts w:ascii="仿宋_GB2312" w:hAnsi="仿宋_GB2312" w:eastAsia="仿宋_GB2312"/>
          <w:b/>
          <w:sz w:val="32"/>
        </w:rPr>
        <w:t>与年初预算相比，</w:t>
      </w:r>
      <w:r>
        <w:rPr>
          <w:rFonts w:ascii="仿宋_GB2312" w:hAnsi="仿宋_GB2312" w:eastAsia="仿宋_GB2312"/>
          <w:b w:val="0"/>
          <w:sz w:val="32"/>
        </w:rPr>
        <w:t>年初预算数219.43万元，决算数224.22万元，预决算差异率2.18%，主要原因是：年中追加人员工资、社保、公积金基数调增部分资金，导致预决算存在差异。</w:t>
      </w:r>
    </w:p>
    <w:p w14:paraId="19DF06D8">
      <w:pPr>
        <w:spacing w:line="640" w:lineRule="exact"/>
        <w:ind w:firstLine="640"/>
        <w:jc w:val="both"/>
        <w:outlineLvl w:val="2"/>
      </w:pPr>
      <w:r>
        <w:rPr>
          <w:rFonts w:ascii="黑体" w:hAnsi="黑体" w:eastAsia="黑体"/>
          <w:sz w:val="32"/>
        </w:rPr>
        <w:t>五、一般公共预算财政拨款支出决算情况说明</w:t>
      </w:r>
    </w:p>
    <w:p w14:paraId="4FFE22B0">
      <w:pPr>
        <w:spacing w:line="640" w:lineRule="exact"/>
        <w:ind w:firstLine="640"/>
        <w:jc w:val="both"/>
        <w:outlineLvl w:val="3"/>
      </w:pPr>
      <w:r>
        <w:rPr>
          <w:rFonts w:ascii="楷体_GB2312" w:hAnsi="楷体_GB2312" w:eastAsia="楷体_GB2312"/>
          <w:b/>
          <w:sz w:val="32"/>
        </w:rPr>
        <w:t>（一）一般公共预算财政拨款支出决算总体情况</w:t>
      </w:r>
    </w:p>
    <w:p w14:paraId="4EB162E9">
      <w:pPr>
        <w:spacing w:line="580" w:lineRule="exact"/>
        <w:ind w:firstLine="640"/>
        <w:jc w:val="both"/>
      </w:pPr>
      <w:r>
        <w:rPr>
          <w:rFonts w:ascii="仿宋_GB2312" w:hAnsi="仿宋_GB2312" w:eastAsia="仿宋_GB2312"/>
          <w:b/>
          <w:sz w:val="32"/>
        </w:rPr>
        <w:t>2024年度一般公共预算财政拨款支出222.56万元，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增加60.90万元，增长37.67%，主要原因是：1.本年在职人员工资调增，社保、公积金基数调增，人员经费增加；2.本年增加调查研究工作经费项目。</w:t>
      </w:r>
      <w:r>
        <w:rPr>
          <w:rFonts w:ascii="仿宋_GB2312" w:hAnsi="仿宋_GB2312" w:eastAsia="仿宋_GB2312"/>
          <w:b/>
          <w:sz w:val="32"/>
        </w:rPr>
        <w:t>与年初预算相比,</w:t>
      </w:r>
      <w:r>
        <w:rPr>
          <w:rFonts w:ascii="仿宋_GB2312" w:hAnsi="仿宋_GB2312" w:eastAsia="仿宋_GB2312"/>
          <w:b w:val="0"/>
          <w:sz w:val="32"/>
        </w:rPr>
        <w:t>年初预算数219.43万元，决算数222.56万元，预决算差异率1.43%，主要原因是：年中追加人员工资、社保、公积金基数调增部分资金，导致预决算存在差异。</w:t>
      </w:r>
    </w:p>
    <w:p w14:paraId="6C8FB761">
      <w:pPr>
        <w:spacing w:line="640" w:lineRule="exact"/>
        <w:ind w:firstLine="640"/>
        <w:jc w:val="both"/>
        <w:outlineLvl w:val="3"/>
      </w:pPr>
      <w:r>
        <w:rPr>
          <w:rFonts w:ascii="楷体_GB2312" w:hAnsi="楷体_GB2312" w:eastAsia="楷体_GB2312"/>
          <w:b/>
          <w:sz w:val="32"/>
        </w:rPr>
        <w:t>（二）一般公共预算财政拨款支出决算结构情况</w:t>
      </w:r>
    </w:p>
    <w:p w14:paraId="4781C85E">
      <w:pPr>
        <w:spacing w:line="580" w:lineRule="exact"/>
        <w:ind w:firstLine="640"/>
        <w:jc w:val="both"/>
      </w:pPr>
      <w:r>
        <w:rPr>
          <w:rFonts w:ascii="仿宋_GB2312" w:hAnsi="仿宋_GB2312" w:eastAsia="仿宋_GB2312"/>
          <w:b w:val="0"/>
          <w:sz w:val="32"/>
        </w:rPr>
        <w:t>1.一般公共服务支出(类)167.63万元,占75.32%。</w:t>
      </w:r>
    </w:p>
    <w:p w14:paraId="6A040C9A">
      <w:pPr>
        <w:spacing w:line="580" w:lineRule="exact"/>
        <w:ind w:firstLine="640"/>
        <w:jc w:val="both"/>
      </w:pPr>
      <w:r>
        <w:rPr>
          <w:rFonts w:ascii="仿宋_GB2312" w:hAnsi="仿宋_GB2312" w:eastAsia="仿宋_GB2312"/>
          <w:b w:val="0"/>
          <w:sz w:val="32"/>
        </w:rPr>
        <w:t>2.社会保障和就业支出(类)27.10万元,占12.18%。</w:t>
      </w:r>
    </w:p>
    <w:p w14:paraId="6EEC415F">
      <w:pPr>
        <w:spacing w:line="580" w:lineRule="exact"/>
        <w:ind w:firstLine="640"/>
        <w:jc w:val="both"/>
      </w:pPr>
      <w:r>
        <w:rPr>
          <w:rFonts w:ascii="仿宋_GB2312" w:hAnsi="仿宋_GB2312" w:eastAsia="仿宋_GB2312"/>
          <w:b w:val="0"/>
          <w:sz w:val="32"/>
        </w:rPr>
        <w:t>3.卫生健康支出(类)12.69万元,占5.70%。</w:t>
      </w:r>
    </w:p>
    <w:p w14:paraId="418D67F5">
      <w:pPr>
        <w:spacing w:line="580" w:lineRule="exact"/>
        <w:ind w:firstLine="640"/>
        <w:jc w:val="both"/>
      </w:pPr>
      <w:r>
        <w:rPr>
          <w:rFonts w:ascii="仿宋_GB2312" w:hAnsi="仿宋_GB2312" w:eastAsia="仿宋_GB2312"/>
          <w:b w:val="0"/>
          <w:sz w:val="32"/>
        </w:rPr>
        <w:t>4.住房保障支出(类)15.15万元,占6.81%。</w:t>
      </w:r>
    </w:p>
    <w:p w14:paraId="1EF34DC5">
      <w:pPr>
        <w:spacing w:line="640" w:lineRule="exact"/>
        <w:ind w:firstLine="640"/>
        <w:jc w:val="both"/>
        <w:outlineLvl w:val="3"/>
      </w:pPr>
      <w:r>
        <w:rPr>
          <w:rFonts w:ascii="楷体_GB2312" w:hAnsi="楷体_GB2312" w:eastAsia="楷体_GB2312"/>
          <w:b/>
          <w:sz w:val="32"/>
        </w:rPr>
        <w:t>（三）一般公共预算财政拨款支出决算具体情况</w:t>
      </w:r>
    </w:p>
    <w:p w14:paraId="30C5196D">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1.一般公共服务支出(类)党委办公厅（室）及相关机构事务(款)行政运行(项):支出决算数为160.63万元，比上年决算增加13.61万元，增长9.26%,主要原因是：本年在职人员工资调增，人员经费增加。</w:t>
      </w:r>
    </w:p>
    <w:p w14:paraId="6695C3B6">
      <w:pPr>
        <w:spacing w:line="580" w:lineRule="exact"/>
        <w:ind w:firstLine="640"/>
        <w:jc w:val="both"/>
      </w:pPr>
      <w:r>
        <w:rPr>
          <w:rFonts w:ascii="仿宋_GB2312" w:hAnsi="仿宋_GB2312" w:eastAsia="仿宋_GB2312"/>
          <w:b w:val="0"/>
          <w:sz w:val="32"/>
        </w:rPr>
        <w:t>2.一般公共服务支出(类)党委办公厅（室）及相关机构事务(款)其他党委办公厅（室）及相关机构事务支出(项):支出决算数为7.00万元，比上年决算增加7.00万元，增长100.00%,主要原因是：本年增加调查研究工作经费项目。</w:t>
      </w:r>
    </w:p>
    <w:p w14:paraId="4DD1ADD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2.87万元，比上年决算增加2.87万元，增长100.00%,主要原因是：本年功能科目调整，行政单位离退休上年度在主科目列支，本年单独列支，导致经费较上年增加。</w:t>
      </w:r>
    </w:p>
    <w:p w14:paraId="2D97B0F6">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19.33万元，比上年决算增加4.99万元，增长34.80%,主要原因是：本年在职人员工资调增，养老保险基数调增，人员经费增加。</w:t>
      </w:r>
    </w:p>
    <w:p w14:paraId="2CBEE69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5.社会保障和就业支出(类)行政事业单位养老支出(款)机关事业单位职业年金缴费支出(项):支出决算数为4.90万元，比上年决算增加4.61万元，增长1,589.66%,主要原因是：本年人员调出，职业年金缴费支出增加。</w:t>
      </w:r>
    </w:p>
    <w:p w14:paraId="739347C6">
      <w:pPr>
        <w:spacing w:line="580" w:lineRule="exact"/>
        <w:ind w:firstLine="640"/>
        <w:jc w:val="both"/>
      </w:pPr>
      <w:r>
        <w:rPr>
          <w:rFonts w:ascii="仿宋_GB2312" w:hAnsi="仿宋_GB2312" w:eastAsia="仿宋_GB2312"/>
          <w:b w:val="0"/>
          <w:sz w:val="32"/>
        </w:rPr>
        <w:t>6.卫生健康支出(类)行政事业单位医疗(款)行政单位医疗(项):支出决算数为7.85万元，比上年决算增加7.85万元，增长100.00%,主要原因是：本年功能科目调整，行政单位医疗支出上年度在主科目列支，本年单独列支，导致经费较上年增加。</w:t>
      </w:r>
    </w:p>
    <w:p w14:paraId="2078A7AB">
      <w:pPr>
        <w:spacing w:line="580" w:lineRule="exact"/>
        <w:ind w:firstLine="640"/>
        <w:jc w:val="both"/>
      </w:pPr>
      <w:r>
        <w:rPr>
          <w:rFonts w:ascii="仿宋_GB2312" w:hAnsi="仿宋_GB2312" w:eastAsia="仿宋_GB2312"/>
          <w:b w:val="0"/>
          <w:sz w:val="32"/>
        </w:rPr>
        <w:t>7.卫生健康支出(类)行政事业单位医疗(款)公务员医疗补助(项):支出决算数为4.83万元，比上年决算增加4.83万元，增长100.00%,主要原因是：本年功能科目调整，公务员医疗补助上年度在主科目列支，本年单独列支，导致经费较上年增加。</w:t>
      </w:r>
    </w:p>
    <w:p w14:paraId="720A1C16">
      <w:pPr>
        <w:spacing w:line="580" w:lineRule="exact"/>
        <w:ind w:firstLine="640"/>
        <w:jc w:val="both"/>
      </w:pPr>
      <w:r>
        <w:rPr>
          <w:rFonts w:ascii="仿宋_GB2312" w:hAnsi="仿宋_GB2312" w:eastAsia="仿宋_GB2312"/>
          <w:b w:val="0"/>
          <w:sz w:val="32"/>
        </w:rPr>
        <w:t>8.住房保障支出(类)住房改革支出(款)住房公积金(项):支出决算数为15.15万元，比上年决算增加15.15万元，增长100.00%,主要原因是：本年功能科目调整，住房公积金上年度在主科目列支，本年单独列支，导致经费较上年增加。</w:t>
      </w:r>
    </w:p>
    <w:p w14:paraId="098B84CA">
      <w:pPr>
        <w:spacing w:line="640" w:lineRule="exact"/>
        <w:ind w:firstLine="640"/>
        <w:jc w:val="both"/>
        <w:outlineLvl w:val="2"/>
      </w:pPr>
      <w:r>
        <w:rPr>
          <w:rFonts w:ascii="黑体" w:hAnsi="黑体" w:eastAsia="黑体"/>
          <w:sz w:val="32"/>
        </w:rPr>
        <w:t>六、一般公共预算财政拨款基本支出决算情况说明</w:t>
      </w:r>
    </w:p>
    <w:p w14:paraId="57F514B6">
      <w:pPr>
        <w:spacing w:line="580" w:lineRule="exact"/>
        <w:ind w:firstLine="640"/>
        <w:jc w:val="both"/>
      </w:pPr>
      <w:r>
        <w:rPr>
          <w:rFonts w:ascii="仿宋_GB2312" w:hAnsi="仿宋_GB2312" w:eastAsia="仿宋_GB2312"/>
          <w:b w:val="0"/>
          <w:sz w:val="32"/>
        </w:rPr>
        <w:t>2024年度一般公共预算财政拨款基本支出215.56万元，其中：</w:t>
      </w:r>
      <w:r>
        <w:rPr>
          <w:rFonts w:ascii="仿宋_GB2312" w:hAnsi="仿宋_GB2312" w:eastAsia="仿宋_GB2312"/>
          <w:b/>
          <w:sz w:val="32"/>
        </w:rPr>
        <w:t>人员经费202.25万元，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545F72B2">
      <w:pPr>
        <w:spacing w:line="580" w:lineRule="exact"/>
        <w:ind w:firstLine="640"/>
        <w:jc w:val="both"/>
      </w:pPr>
      <w:r>
        <w:rPr>
          <w:rFonts w:ascii="仿宋_GB2312" w:hAnsi="仿宋_GB2312" w:eastAsia="仿宋_GB2312"/>
          <w:b/>
          <w:sz w:val="32"/>
        </w:rPr>
        <w:t>公用经费13.31万元，</w:t>
      </w:r>
      <w:r>
        <w:rPr>
          <w:rFonts w:ascii="仿宋_GB2312" w:hAnsi="仿宋_GB2312" w:eastAsia="仿宋_GB2312"/>
          <w:b w:val="0"/>
          <w:sz w:val="32"/>
        </w:rPr>
        <w:t>包括：办公费、手续费、差旅费、工会经费、福利费、公务用车运行维护费、其他交通费用、税金及附加费用。</w:t>
      </w:r>
    </w:p>
    <w:p w14:paraId="446B4076">
      <w:pPr>
        <w:spacing w:line="640" w:lineRule="exact"/>
        <w:ind w:firstLine="640"/>
        <w:jc w:val="both"/>
        <w:outlineLvl w:val="2"/>
      </w:pPr>
      <w:r>
        <w:rPr>
          <w:rFonts w:ascii="黑体" w:hAnsi="黑体" w:eastAsia="黑体"/>
          <w:sz w:val="32"/>
        </w:rPr>
        <w:t>七、政府性基金预算财政拨款收入支出决算情况说明</w:t>
      </w:r>
    </w:p>
    <w:p w14:paraId="53CA73A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C7EC5F">
      <w:pPr>
        <w:spacing w:line="640" w:lineRule="exact"/>
        <w:ind w:firstLine="640"/>
        <w:jc w:val="both"/>
        <w:outlineLvl w:val="2"/>
      </w:pPr>
      <w:r>
        <w:rPr>
          <w:rFonts w:ascii="黑体" w:hAnsi="黑体" w:eastAsia="黑体"/>
          <w:sz w:val="32"/>
        </w:rPr>
        <w:t>八、国有资本经营预算财政拨款收入支出决算情况说明</w:t>
      </w:r>
    </w:p>
    <w:p w14:paraId="4B89E9C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7BAE4A9">
      <w:pPr>
        <w:spacing w:line="640" w:lineRule="exact"/>
        <w:ind w:firstLine="640"/>
        <w:jc w:val="both"/>
        <w:outlineLvl w:val="2"/>
      </w:pPr>
      <w:r>
        <w:rPr>
          <w:rFonts w:ascii="黑体" w:hAnsi="黑体" w:eastAsia="黑体"/>
          <w:sz w:val="32"/>
        </w:rPr>
        <w:t>九、财政拨款“三公”经费支出决算情况说明</w:t>
      </w:r>
    </w:p>
    <w:p w14:paraId="020CD57A">
      <w:pPr>
        <w:spacing w:line="580" w:lineRule="exact"/>
        <w:ind w:firstLine="640"/>
        <w:jc w:val="both"/>
      </w:pPr>
      <w:r>
        <w:rPr>
          <w:rFonts w:ascii="仿宋_GB2312" w:hAnsi="仿宋_GB2312" w:eastAsia="仿宋_GB2312"/>
          <w:b/>
          <w:sz w:val="32"/>
        </w:rPr>
        <w:t>2024年度财政拨款“三公”经费支出5.00万元，</w:t>
      </w:r>
      <w:r>
        <w:rPr>
          <w:rFonts w:ascii="仿宋_GB2312" w:hAnsi="仿宋_GB2312" w:eastAsia="仿宋_GB2312"/>
          <w:b w:val="0"/>
          <w:sz w:val="32"/>
        </w:rPr>
        <w:t>比上年增加3.00万元，增长150.00%，主要原因是：2024年有新增调查研究工作项目，车辆使用频次增加，燃油费增加，导致财政拨款“三公”经费增加。其中：因公出国（境）费支出0.00万元，占0.00%，比上年增加0.00万元，增长0.00%，主要原因是：2023年与2024年均未安排因公出国（境）费支出。公务用车购置及运行维护费支出5.00万元，占100.00%，比上年增加3.00万元，增长150.00%，主要原因是：2024年有新增调查研究工作项目，车辆使用频次增加，燃油费增加，导致公务用车运行费经费增加。公务接待费支出0.00万元，占0.00%，比上年增加0.00万元，增长0.00%，主要原因是：2023年与2024年均未安排公务接待费支出。</w:t>
      </w:r>
    </w:p>
    <w:p w14:paraId="15BC7675">
      <w:pPr>
        <w:spacing w:line="580" w:lineRule="exact"/>
        <w:ind w:firstLine="640"/>
        <w:jc w:val="both"/>
      </w:pPr>
      <w:r>
        <w:rPr>
          <w:rFonts w:ascii="仿宋_GB2312" w:hAnsi="仿宋_GB2312" w:eastAsia="仿宋_GB2312"/>
          <w:b/>
          <w:sz w:val="32"/>
        </w:rPr>
        <w:t>具体情况如下：</w:t>
      </w:r>
    </w:p>
    <w:p w14:paraId="7FCF5EE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8AFBA1">
      <w:pPr>
        <w:spacing w:line="580" w:lineRule="exact"/>
        <w:ind w:firstLine="640"/>
        <w:jc w:val="both"/>
      </w:pPr>
      <w:r>
        <w:rPr>
          <w:rFonts w:ascii="仿宋_GB2312" w:hAnsi="仿宋_GB2312" w:eastAsia="仿宋_GB2312"/>
          <w:b w:val="0"/>
          <w:sz w:val="32"/>
        </w:rPr>
        <w:t>公务用车购置及运行维护费5.00万元，其中：公务用车购置费0.00万元，公务用车运行维护费5.00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6F7EA80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A0AF2E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5.00万元，决算数5.00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5.00万元，决算数5.00万元，预决算差异率0.00%，主要原因是：严格按照预算执行，预决算无差异。公务接待费全年预算数0.00万元，决算数0.00万元，预决算差异率0.00%，主要原因是：本单位无公务接待费。</w:t>
      </w:r>
    </w:p>
    <w:p w14:paraId="61D22594">
      <w:pPr>
        <w:spacing w:line="640" w:lineRule="exact"/>
        <w:ind w:firstLine="640"/>
        <w:jc w:val="both"/>
        <w:outlineLvl w:val="2"/>
      </w:pPr>
      <w:r>
        <w:rPr>
          <w:rFonts w:ascii="黑体" w:hAnsi="黑体" w:eastAsia="黑体"/>
          <w:sz w:val="32"/>
        </w:rPr>
        <w:t>十、其他重要事项的情况说明</w:t>
      </w:r>
    </w:p>
    <w:p w14:paraId="1B13D44E">
      <w:pPr>
        <w:spacing w:line="640" w:lineRule="exact"/>
        <w:ind w:firstLine="640"/>
        <w:jc w:val="both"/>
        <w:outlineLvl w:val="3"/>
      </w:pPr>
      <w:r>
        <w:rPr>
          <w:rFonts w:ascii="楷体_GB2312" w:hAnsi="楷体_GB2312" w:eastAsia="楷体_GB2312"/>
          <w:b/>
          <w:sz w:val="32"/>
        </w:rPr>
        <w:t>（一）机关运行经费及公用经费支出情况</w:t>
      </w:r>
    </w:p>
    <w:p w14:paraId="31522195">
      <w:pPr>
        <w:spacing w:line="580" w:lineRule="exact"/>
        <w:ind w:firstLine="640"/>
        <w:jc w:val="both"/>
      </w:pPr>
      <w:r>
        <w:rPr>
          <w:rFonts w:ascii="仿宋_GB2312" w:hAnsi="仿宋_GB2312" w:eastAsia="仿宋_GB2312"/>
          <w:b w:val="0"/>
          <w:sz w:val="32"/>
        </w:rPr>
        <w:t>2024年度中共和田地区委员会政策研究室（行政单位和参照公务员法管理事业单位）机关运行经费支出13.31万元，比上年增加3.81万元，增长40.11%，主要原因是：2024年有新增调查研究工作项目，车辆使用频次增加，公务用车运行维护费增加，导致机关运行经费增加。</w:t>
      </w:r>
    </w:p>
    <w:p w14:paraId="2E2D9FF8">
      <w:pPr>
        <w:spacing w:line="640" w:lineRule="exact"/>
        <w:ind w:firstLine="640"/>
        <w:jc w:val="both"/>
        <w:outlineLvl w:val="3"/>
      </w:pPr>
      <w:r>
        <w:rPr>
          <w:rFonts w:ascii="楷体_GB2312" w:hAnsi="楷体_GB2312" w:eastAsia="楷体_GB2312"/>
          <w:b/>
          <w:sz w:val="32"/>
        </w:rPr>
        <w:t>（二）政府采购情况</w:t>
      </w:r>
    </w:p>
    <w:p w14:paraId="4B21A755">
      <w:pPr>
        <w:spacing w:line="580" w:lineRule="exact"/>
        <w:ind w:firstLine="640"/>
        <w:jc w:val="both"/>
      </w:pPr>
      <w:r>
        <w:rPr>
          <w:rFonts w:ascii="仿宋_GB2312" w:hAnsi="仿宋_GB2312" w:eastAsia="仿宋_GB2312"/>
          <w:b w:val="0"/>
          <w:sz w:val="32"/>
        </w:rPr>
        <w:t>2024年度政府采购支出总额2.57万元，其中：政府采购货物支出0.50万元、政府采购工程支出0.00万元、政府采购服务支出2.08万元。</w:t>
      </w:r>
    </w:p>
    <w:p w14:paraId="2797EC44">
      <w:pPr>
        <w:spacing w:line="580" w:lineRule="exact"/>
        <w:ind w:firstLine="640"/>
        <w:jc w:val="both"/>
      </w:pPr>
      <w:r>
        <w:rPr>
          <w:rFonts w:ascii="仿宋_GB2312" w:hAnsi="仿宋_GB2312" w:eastAsia="仿宋_GB2312"/>
          <w:b w:val="0"/>
          <w:sz w:val="32"/>
        </w:rPr>
        <w:t>授予中小企业合同金额1.99万元，占政府采购支出总额的77.43%，其中：授予小微企业合同金额1.99万元，占政府采购支出总额的77.43%。</w:t>
      </w:r>
    </w:p>
    <w:p w14:paraId="550E8D12">
      <w:pPr>
        <w:spacing w:line="640" w:lineRule="exact"/>
        <w:ind w:firstLine="640"/>
        <w:jc w:val="both"/>
        <w:outlineLvl w:val="3"/>
      </w:pPr>
      <w:r>
        <w:rPr>
          <w:rFonts w:ascii="楷体_GB2312" w:hAnsi="楷体_GB2312" w:eastAsia="楷体_GB2312"/>
          <w:b/>
          <w:sz w:val="32"/>
        </w:rPr>
        <w:t>（三）国有资产占用情况说明</w:t>
      </w:r>
    </w:p>
    <w:p w14:paraId="497AFD44">
      <w:pPr>
        <w:spacing w:line="580" w:lineRule="exact"/>
        <w:ind w:firstLine="640"/>
        <w:jc w:val="both"/>
      </w:pPr>
      <w:r>
        <w:rPr>
          <w:rFonts w:ascii="仿宋_GB2312" w:hAnsi="仿宋_GB2312" w:eastAsia="仿宋_GB2312"/>
          <w:b w:val="0"/>
          <w:sz w:val="32"/>
        </w:rPr>
        <w:t>截至2024年12月31日，房屋0.00平方米，价值0.00万元。车辆1辆，价值1.00万元，其中：副部（省）级及以上领导用车0辆、主要负责人用车1辆、机要通信用车0辆、应急保障用车0辆、执法执勤用车0辆、特种专业技术用车0辆、离退休干部服务用车0辆、其他用车0辆，其他用车主要是：本单位无其他用车。单价100万元（含）以上设备（不含车辆）0台（套）。</w:t>
      </w:r>
    </w:p>
    <w:p w14:paraId="2469444F">
      <w:pPr>
        <w:spacing w:line="640" w:lineRule="exact"/>
        <w:ind w:firstLine="640"/>
        <w:jc w:val="both"/>
        <w:outlineLvl w:val="2"/>
      </w:pPr>
      <w:r>
        <w:rPr>
          <w:rFonts w:ascii="黑体" w:hAnsi="黑体" w:eastAsia="黑体"/>
          <w:sz w:val="32"/>
        </w:rPr>
        <w:t>十一、预算绩效的情况说明</w:t>
      </w:r>
    </w:p>
    <w:p w14:paraId="52E63D2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224.23万元，实际执行总额222.56万元；预算绩效评价项目1个，全年预算数7.00万元，全年执行数7.00万元。预算绩效管理取得的成效：一是建立健全预算绩效管理制度，合理设置内部管理机构和岗位，明确职责权限，明确业务各环节流程、时间要求、审批权限等，领导分工明确，事事有人管，件件有人抓，明确单位内部各个业务归口管理责任，加强对政府采购业务预算与计划管理计划性、科学性和规范性，强化预算绩效意识；二是加强制度建设，强化评价结果应用，对发现的问题现场反馈并要求改进，加强评价结果与项目资金安排的衔接，健全绩效管理工作机制，明确职责分工，组织专题培训，提高各级主管部门和基层单位绩效管理工作水平；三是认真贯彻落实科学发展观，大抓财政绩效管理，建立了横向到边、纵向到底的绩效体系，并形成了统一组织、内容上下衔接、重点有所区分、方法综合利用、结果奖惩并用、行政过错责任追究的绩效管理机制，有力地推动财政科学发展。发现的问题及原因：一是部门沟通协调不足，监督责任不明确。进一步加强绩效管理工作管理，具体实施时对绩效目标的设定不够细化和准确；对绩效执行时，须进一步加强协作及沟通；对绩效管理认识理解不够，缺乏系统全面的理论认识及培训，绩效管理意识有待加强；二是项目资金监督和管理需进一步完善。绩效没有严格的法规作为依据，领导重视程度不均衡，自行其是、各显其能的情况就难以避免。会出现过度量化、短期评价、急于求成的考评现象，长期下去，必然损害整个组织的绩效；三是认识不够深入，把预算绩效简单等同于工作目标、工作考核和业务管理；虽成立了绩效小组，可是作用发挥有待进一步提升；绩效目标和指标往往根据完成情况制定，对活动执行过程有效约束不够，存在一定的偏差；资金计划安排有待进一步提高；文化交流类项目包含子项目活动较多，项目进度不一，资金申请支付等流程不能够及时有效。下一步改进措施：一是建立健全项目资金管理制度，严格按照管理制度规范项目资金支付手续，严把资金拨入、审核、支付等关卡；二是进一步强化预算管理意识，项目决策规划要准备充分，用规范、机制和制度全方位、全过程检查监督项目资金的运行，确保项目资金有效使用，项目得以顺利实施；三是在实施项目决策的过程中，要制定详细的管理程序，明确各阶段的目标和职责，使得目标控制贯穿于项目建设的全过程，从而落实相关项目决策实施。具体附整体支出绩效自评表，项目支出绩效自评表和评价报告。</w:t>
      </w:r>
    </w:p>
    <w:p w14:paraId="489CCCA9">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170132">
        <w:tblPrEx>
          <w:tblCellMar>
            <w:top w:w="0" w:type="dxa"/>
            <w:left w:w="108" w:type="dxa"/>
            <w:bottom w:w="0" w:type="dxa"/>
            <w:right w:w="108" w:type="dxa"/>
          </w:tblCellMar>
        </w:tblPrEx>
        <w:tc>
          <w:tcPr>
            <w:tcW w:w="8847" w:type="dxa"/>
            <w:gridSpan w:val="9"/>
            <w:vAlign w:val="center"/>
          </w:tcPr>
          <w:p w14:paraId="6DF400FA">
            <w:pPr>
              <w:jc w:val="center"/>
            </w:pPr>
            <w:r>
              <w:rPr>
                <w:rFonts w:ascii="宋体" w:hAnsi="宋体" w:eastAsia="宋体"/>
                <w:sz w:val="24"/>
              </w:rPr>
              <w:t>单位整体支出绩效自评表</w:t>
            </w:r>
          </w:p>
        </w:tc>
      </w:tr>
      <w:tr w14:paraId="62958308">
        <w:tblPrEx>
          <w:tblCellMar>
            <w:top w:w="0" w:type="dxa"/>
            <w:left w:w="108" w:type="dxa"/>
            <w:bottom w:w="0" w:type="dxa"/>
            <w:right w:w="108" w:type="dxa"/>
          </w:tblCellMar>
        </w:tblPrEx>
        <w:tc>
          <w:tcPr>
            <w:tcW w:w="8847" w:type="dxa"/>
            <w:gridSpan w:val="9"/>
            <w:vAlign w:val="center"/>
          </w:tcPr>
          <w:p w14:paraId="60A5A588">
            <w:pPr>
              <w:jc w:val="center"/>
            </w:pPr>
            <w:r>
              <w:rPr>
                <w:rFonts w:ascii="宋体" w:hAnsi="宋体" w:eastAsia="宋体"/>
                <w:sz w:val="24"/>
              </w:rPr>
              <w:t>（2024年度）</w:t>
            </w:r>
          </w:p>
        </w:tc>
      </w:tr>
      <w:tr w14:paraId="637810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D36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48BFA9">
            <w:pPr>
              <w:jc w:val="center"/>
            </w:pPr>
            <w:r>
              <w:rPr>
                <w:rFonts w:ascii="宋体" w:hAnsi="宋体" w:eastAsia="宋体"/>
                <w:sz w:val="16"/>
              </w:rPr>
              <w:t>中共和田地区委员会政策研究室</w:t>
            </w:r>
          </w:p>
        </w:tc>
      </w:tr>
      <w:tr w14:paraId="5B1C42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0BE5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22E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160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16B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7A72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6A4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6BA5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90D9">
            <w:pPr>
              <w:jc w:val="center"/>
            </w:pPr>
            <w:r>
              <w:rPr>
                <w:rFonts w:ascii="宋体" w:hAnsi="宋体" w:eastAsia="宋体"/>
                <w:sz w:val="16"/>
              </w:rPr>
              <w:t>得分</w:t>
            </w:r>
          </w:p>
        </w:tc>
      </w:tr>
      <w:tr w14:paraId="7A27C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09B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685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3E7E">
            <w:pPr>
              <w:jc w:val="center"/>
            </w:pPr>
            <w:r>
              <w:rPr>
                <w:rFonts w:ascii="宋体" w:hAnsi="宋体" w:eastAsia="宋体"/>
                <w:sz w:val="16"/>
              </w:rPr>
              <w:t>219.43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4721">
            <w:pPr>
              <w:jc w:val="center"/>
            </w:pPr>
            <w:r>
              <w:rPr>
                <w:rFonts w:ascii="宋体" w:hAnsi="宋体" w:eastAsia="宋体"/>
                <w:sz w:val="16"/>
              </w:rPr>
              <w:t>224.23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0101D">
            <w:pPr>
              <w:jc w:val="center"/>
            </w:pPr>
            <w:r>
              <w:rPr>
                <w:rFonts w:ascii="宋体" w:hAnsi="宋体" w:eastAsia="宋体"/>
                <w:sz w:val="16"/>
              </w:rPr>
              <w:t>222.56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3E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84A06">
            <w:pPr>
              <w:jc w:val="center"/>
            </w:pPr>
            <w:r>
              <w:rPr>
                <w:rFonts w:ascii="宋体" w:hAnsi="宋体" w:eastAsia="宋体"/>
                <w:sz w:val="16"/>
              </w:rPr>
              <w:t>99.26%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1B4E">
            <w:pPr>
              <w:jc w:val="center"/>
            </w:pPr>
            <w:r>
              <w:rPr>
                <w:rFonts w:ascii="宋体" w:hAnsi="宋体" w:eastAsia="宋体"/>
                <w:sz w:val="16"/>
              </w:rPr>
              <w:t>9.97</w:t>
            </w:r>
          </w:p>
        </w:tc>
      </w:tr>
      <w:tr w14:paraId="1B0DC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5A4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CF61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95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C0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54F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AC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D6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CD90">
            <w:pPr>
              <w:jc w:val="center"/>
            </w:pPr>
            <w:r>
              <w:rPr>
                <w:rFonts w:ascii="宋体" w:hAnsi="宋体" w:eastAsia="宋体"/>
                <w:sz w:val="16"/>
              </w:rPr>
              <w:t>—</w:t>
            </w:r>
          </w:p>
        </w:tc>
      </w:tr>
      <w:tr w14:paraId="5DA96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5BC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2C7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2CBD">
            <w:pPr>
              <w:jc w:val="center"/>
            </w:pPr>
            <w:r>
              <w:rPr>
                <w:rFonts w:ascii="宋体" w:hAnsi="宋体" w:eastAsia="宋体"/>
                <w:sz w:val="16"/>
              </w:rPr>
              <w:t>219.43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012B">
            <w:pPr>
              <w:jc w:val="center"/>
            </w:pPr>
            <w:r>
              <w:rPr>
                <w:rFonts w:ascii="宋体" w:hAnsi="宋体" w:eastAsia="宋体"/>
                <w:sz w:val="16"/>
              </w:rPr>
              <w:t>224.23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D181">
            <w:pPr>
              <w:jc w:val="center"/>
            </w:pPr>
            <w:r>
              <w:rPr>
                <w:rFonts w:ascii="宋体" w:hAnsi="宋体" w:eastAsia="宋体"/>
                <w:sz w:val="16"/>
              </w:rPr>
              <w:t>222.56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35A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10F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0E01">
            <w:pPr>
              <w:jc w:val="center"/>
            </w:pPr>
            <w:r>
              <w:rPr>
                <w:rFonts w:ascii="宋体" w:hAnsi="宋体" w:eastAsia="宋体"/>
                <w:sz w:val="16"/>
              </w:rPr>
              <w:t>—</w:t>
            </w:r>
          </w:p>
        </w:tc>
      </w:tr>
      <w:tr w14:paraId="3B5145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45D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FC46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EFC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222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2ED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D0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E92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20724">
            <w:pPr>
              <w:jc w:val="center"/>
            </w:pPr>
            <w:r>
              <w:rPr>
                <w:rFonts w:ascii="宋体" w:hAnsi="宋体" w:eastAsia="宋体"/>
                <w:sz w:val="16"/>
              </w:rPr>
              <w:t>—</w:t>
            </w:r>
          </w:p>
        </w:tc>
      </w:tr>
      <w:tr w14:paraId="0C99FC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D2DF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C927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0D4C8">
            <w:pPr>
              <w:jc w:val="center"/>
            </w:pPr>
            <w:r>
              <w:rPr>
                <w:rFonts w:ascii="宋体" w:hAnsi="宋体" w:eastAsia="宋体"/>
                <w:sz w:val="16"/>
              </w:rPr>
              <w:t>实际完成目标</w:t>
            </w:r>
          </w:p>
        </w:tc>
      </w:tr>
      <w:tr w14:paraId="021FB2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43D3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1F720A">
            <w:pPr>
              <w:jc w:val="both"/>
            </w:pPr>
            <w:r>
              <w:rPr>
                <w:rFonts w:ascii="宋体" w:hAnsi="宋体" w:eastAsia="宋体"/>
                <w:sz w:val="16"/>
              </w:rPr>
              <w:t xml:space="preserve">目标1：保障单位在职干部9人、退休干部2人的工资、社保、养老、公积金、医疗等福利发放;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目标2：紧紧围绕地委中心工作，承担文稿起草，重点在干部队伍建设、经济高质量发展、劳动密集型产业、医疗卫生、意识形态等方面制定调研专题，不少于6篇专题调研报告，为地委提供科学决策依据;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制定和田地区2024年改革工作要点，细化分解改革任务50项，加强地区7个专项小组和各县市改革办的联系沟通，围绕重点，及时跟进改革试点、社会治理、优化营商环境等领域建设，加强对各县市督导力度，全年督查不少于2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目标4：加强单位的后勤保障协调服务工作，保障办公设备及1辆公务车辆的日常维护维修，确保政研室各项工作顺利开展。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2A2EE">
            <w:pPr>
              <w:jc w:val="both"/>
            </w:pPr>
            <w:r>
              <w:rPr>
                <w:rFonts w:hint="eastAsia" w:ascii="宋体" w:hAnsi="宋体"/>
                <w:sz w:val="16"/>
                <w:lang w:eastAsia="zh-CN"/>
              </w:rPr>
              <w:t>截至2024</w:t>
            </w:r>
            <w:r>
              <w:rPr>
                <w:rFonts w:ascii="宋体" w:hAnsi="宋体" w:eastAsia="宋体"/>
                <w:sz w:val="16"/>
              </w:rPr>
              <w:t>年12月31日，本单位实际完成保障10名在职及退休人员工资福利的正常发放，保障1辆公务用车的正常运转，完成调研报告9篇，开展改革工作督查指导2次，意见建议被采纳6次，实际形成支出222.56万元，通过完成以上工作，实现了加强单位的后勤保障协调服务工作，确保政研室各项工作顺利开展的效益。</w:t>
            </w:r>
          </w:p>
        </w:tc>
      </w:tr>
      <w:tr w14:paraId="7F94B3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6F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926D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B8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C6B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3E9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555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31B8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F87D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6C439">
            <w:pPr>
              <w:jc w:val="center"/>
            </w:pPr>
            <w:r>
              <w:rPr>
                <w:rFonts w:ascii="宋体" w:hAnsi="宋体" w:eastAsia="宋体"/>
                <w:sz w:val="16"/>
              </w:rPr>
              <w:t>得分</w:t>
            </w:r>
          </w:p>
        </w:tc>
      </w:tr>
      <w:tr w14:paraId="2A5599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53DC2">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B69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BB9B">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E7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2D1F">
            <w:pPr>
              <w:jc w:val="center"/>
            </w:pPr>
            <w:r>
              <w:rPr>
                <w:rFonts w:ascii="宋体" w:hAnsi="宋体" w:eastAsia="宋体"/>
                <w:sz w:val="16"/>
              </w:rPr>
              <w:t>关于加强“三公”经费管理严控一般性支出的通知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CD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27B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7B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B550">
            <w:pPr>
              <w:jc w:val="center"/>
            </w:pPr>
            <w:r>
              <w:rPr>
                <w:rFonts w:ascii="宋体" w:hAnsi="宋体" w:eastAsia="宋体"/>
                <w:sz w:val="16"/>
              </w:rPr>
              <w:t>10</w:t>
            </w:r>
          </w:p>
        </w:tc>
      </w:tr>
      <w:tr w14:paraId="5962A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5CF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F09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B4C0D">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14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AC770">
            <w:pPr>
              <w:jc w:val="center"/>
            </w:pPr>
            <w:r>
              <w:rPr>
                <w:rFonts w:ascii="宋体" w:hAnsi="宋体" w:eastAsia="宋体"/>
                <w:sz w:val="16"/>
              </w:rPr>
              <w:t>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286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A4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5C9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8A52">
            <w:pPr>
              <w:jc w:val="center"/>
            </w:pPr>
            <w:r>
              <w:rPr>
                <w:rFonts w:ascii="宋体" w:hAnsi="宋体" w:eastAsia="宋体"/>
                <w:sz w:val="16"/>
              </w:rPr>
              <w:t>10</w:t>
            </w:r>
          </w:p>
        </w:tc>
      </w:tr>
      <w:tr w14:paraId="75F382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A232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19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CCB2">
            <w:pPr>
              <w:jc w:val="center"/>
            </w:pPr>
            <w:r>
              <w:rPr>
                <w:rFonts w:ascii="宋体" w:hAnsi="宋体" w:eastAsia="宋体"/>
                <w:sz w:val="16"/>
              </w:rPr>
              <w:t>在职人员人数及退休人员人数(人)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A22FC">
            <w:pPr>
              <w:jc w:val="center"/>
            </w:pPr>
            <w:r>
              <w:rPr>
                <w:rFonts w:hint="eastAsia" w:ascii="宋体" w:hAnsi="宋体" w:eastAsia="宋体" w:cs="宋体"/>
                <w:sz w:val="16"/>
              </w:rPr>
              <w:t>≧</w:t>
            </w: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D5A0">
            <w:pPr>
              <w:jc w:val="center"/>
            </w:pPr>
            <w:r>
              <w:rPr>
                <w:rFonts w:ascii="宋体" w:hAnsi="宋体" w:eastAsia="宋体"/>
                <w:sz w:val="16"/>
              </w:rPr>
              <w:t>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CF1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3F782">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6A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F884">
            <w:pPr>
              <w:jc w:val="center"/>
            </w:pPr>
            <w:r>
              <w:rPr>
                <w:rFonts w:ascii="宋体" w:hAnsi="宋体" w:eastAsia="宋体"/>
                <w:sz w:val="16"/>
              </w:rPr>
              <w:t>9.09</w:t>
            </w:r>
          </w:p>
        </w:tc>
      </w:tr>
      <w:tr w14:paraId="21295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B28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32D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86FE">
            <w:pPr>
              <w:jc w:val="center"/>
            </w:pPr>
            <w:r>
              <w:rPr>
                <w:rFonts w:ascii="宋体" w:hAnsi="宋体" w:eastAsia="宋体"/>
                <w:sz w:val="16"/>
              </w:rPr>
              <w:t>公务保障用车数量（辆）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4B0C">
            <w:pPr>
              <w:jc w:val="center"/>
            </w:pPr>
            <w:r>
              <w:rPr>
                <w:rFonts w:hint="eastAsia" w:ascii="宋体" w:hAnsi="宋体" w:eastAsia="宋体" w:cs="宋体"/>
                <w:sz w:val="16"/>
              </w:rPr>
              <w:t>≧</w:t>
            </w: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64689">
            <w:pPr>
              <w:jc w:val="center"/>
            </w:pPr>
            <w:r>
              <w:rPr>
                <w:rFonts w:ascii="宋体" w:hAnsi="宋体" w:eastAsia="宋体"/>
                <w:sz w:val="16"/>
              </w:rPr>
              <w:t>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722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EED0">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1ED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3421">
            <w:pPr>
              <w:jc w:val="center"/>
            </w:pPr>
            <w:r>
              <w:rPr>
                <w:rFonts w:ascii="宋体" w:hAnsi="宋体" w:eastAsia="宋体"/>
                <w:sz w:val="16"/>
              </w:rPr>
              <w:t>10</w:t>
            </w:r>
          </w:p>
        </w:tc>
      </w:tr>
      <w:tr w14:paraId="63A9C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B50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D6E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8364">
            <w:pPr>
              <w:jc w:val="center"/>
            </w:pPr>
            <w:r>
              <w:rPr>
                <w:rFonts w:ascii="宋体" w:hAnsi="宋体" w:eastAsia="宋体"/>
                <w:sz w:val="16"/>
              </w:rPr>
              <w:t>完成调研报告数量（篇）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F00C">
            <w:pPr>
              <w:jc w:val="center"/>
            </w:pPr>
            <w:r>
              <w:rPr>
                <w:rFonts w:hint="eastAsia" w:ascii="宋体" w:hAnsi="宋体" w:eastAsia="宋体" w:cs="宋体"/>
                <w:sz w:val="16"/>
              </w:rPr>
              <w:t>≧</w:t>
            </w: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1A3C">
            <w:pPr>
              <w:jc w:val="center"/>
            </w:pPr>
            <w:r>
              <w:rPr>
                <w:rFonts w:ascii="宋体" w:hAnsi="宋体" w:eastAsia="宋体"/>
                <w:sz w:val="16"/>
              </w:rPr>
              <w:t>和党政研内（2024）1号关于印发《2024年度地委政策研究室调研工作方案》的通知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A3E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D7DD">
            <w:pPr>
              <w:jc w:val="center"/>
            </w:pPr>
            <w:r>
              <w:rPr>
                <w:rFonts w:ascii="宋体" w:hAnsi="宋体" w:eastAsia="宋体"/>
                <w:sz w:val="16"/>
              </w:rPr>
              <w:t>9篇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873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49DD6">
            <w:pPr>
              <w:jc w:val="center"/>
            </w:pPr>
            <w:r>
              <w:rPr>
                <w:rFonts w:ascii="宋体" w:hAnsi="宋体" w:eastAsia="宋体"/>
                <w:sz w:val="16"/>
              </w:rPr>
              <w:t>5</w:t>
            </w:r>
          </w:p>
        </w:tc>
      </w:tr>
      <w:tr w14:paraId="2EE2F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F99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85D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7189">
            <w:pPr>
              <w:jc w:val="center"/>
            </w:pPr>
            <w:r>
              <w:rPr>
                <w:rFonts w:ascii="宋体" w:hAnsi="宋体" w:eastAsia="宋体"/>
                <w:sz w:val="16"/>
              </w:rPr>
              <w:t>改革工作督查指导（次）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A71F7">
            <w:pPr>
              <w:jc w:val="center"/>
            </w:pPr>
            <w:r>
              <w:rPr>
                <w:rFonts w:hint="eastAsia" w:ascii="宋体" w:hAnsi="宋体" w:eastAsia="宋体" w:cs="宋体"/>
                <w:sz w:val="16"/>
              </w:rPr>
              <w:t>≧</w:t>
            </w: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2405">
            <w:pPr>
              <w:jc w:val="center"/>
            </w:pPr>
            <w:r>
              <w:rPr>
                <w:rFonts w:ascii="宋体" w:hAnsi="宋体" w:eastAsia="宋体"/>
                <w:sz w:val="16"/>
              </w:rPr>
              <w:t>和党改发（2024</w:t>
            </w:r>
            <w:r>
              <w:rPr>
                <w:rFonts w:hint="eastAsia" w:ascii="宋体" w:hAnsi="宋体"/>
                <w:sz w:val="16"/>
                <w:lang w:eastAsia="zh-CN"/>
              </w:rPr>
              <w:t>〕</w:t>
            </w:r>
            <w:r>
              <w:rPr>
                <w:rFonts w:ascii="宋体" w:hAnsi="宋体" w:eastAsia="宋体"/>
                <w:sz w:val="16"/>
              </w:rPr>
              <w:t>1号和田地委全面深化改革委员会关于印发《和田地委全面深化改革委员会2024年改革工作要点》的通知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13F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2F9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384B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3410">
            <w:pPr>
              <w:jc w:val="center"/>
            </w:pPr>
            <w:r>
              <w:rPr>
                <w:rFonts w:ascii="宋体" w:hAnsi="宋体" w:eastAsia="宋体"/>
                <w:sz w:val="16"/>
              </w:rPr>
              <w:t>10</w:t>
            </w:r>
          </w:p>
        </w:tc>
      </w:tr>
      <w:tr w14:paraId="721F1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A0F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DC8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66C4">
            <w:pPr>
              <w:jc w:val="center"/>
            </w:pPr>
            <w:r>
              <w:rPr>
                <w:rFonts w:ascii="宋体" w:hAnsi="宋体" w:eastAsia="宋体"/>
                <w:sz w:val="16"/>
              </w:rPr>
              <w:t>意见建议被采纳次数（次）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92AB">
            <w:pPr>
              <w:jc w:val="center"/>
            </w:pPr>
            <w:r>
              <w:rPr>
                <w:rFonts w:hint="eastAsia" w:ascii="宋体" w:hAnsi="宋体" w:eastAsia="宋体" w:cs="宋体"/>
                <w:sz w:val="16"/>
              </w:rPr>
              <w:t>≧</w:t>
            </w: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620E">
            <w:pPr>
              <w:jc w:val="center"/>
            </w:pPr>
            <w:r>
              <w:rPr>
                <w:rFonts w:ascii="宋体" w:hAnsi="宋体" w:eastAsia="宋体"/>
                <w:sz w:val="16"/>
              </w:rPr>
              <w:t>和党政研内（2024）1号关于印发《2024年度地委政策研究室调研工作方案》的通知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8F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996D">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7F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DA66">
            <w:pPr>
              <w:jc w:val="center"/>
            </w:pPr>
            <w:r>
              <w:rPr>
                <w:rFonts w:ascii="宋体" w:hAnsi="宋体" w:eastAsia="宋体"/>
                <w:sz w:val="16"/>
              </w:rPr>
              <w:t>5</w:t>
            </w:r>
          </w:p>
        </w:tc>
      </w:tr>
      <w:tr w14:paraId="0C56E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AB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E6D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19EE">
            <w:pPr>
              <w:jc w:val="center"/>
            </w:pPr>
            <w:r>
              <w:rPr>
                <w:rFonts w:ascii="宋体" w:hAnsi="宋体" w:eastAsia="宋体"/>
                <w:sz w:val="16"/>
              </w:rPr>
              <w:t>改革工作督查完成率（%）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D3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D22B4">
            <w:pPr>
              <w:jc w:val="center"/>
            </w:pPr>
            <w:r>
              <w:rPr>
                <w:rFonts w:ascii="宋体" w:hAnsi="宋体" w:eastAsia="宋体"/>
                <w:sz w:val="16"/>
              </w:rPr>
              <w:t>和党改发（2024</w:t>
            </w:r>
            <w:r>
              <w:rPr>
                <w:rFonts w:hint="eastAsia" w:ascii="宋体" w:hAnsi="宋体"/>
                <w:sz w:val="16"/>
                <w:lang w:eastAsia="zh-CN"/>
              </w:rPr>
              <w:t>〕</w:t>
            </w:r>
            <w:r>
              <w:rPr>
                <w:rFonts w:ascii="宋体" w:hAnsi="宋体" w:eastAsia="宋体"/>
                <w:sz w:val="16"/>
              </w:rPr>
              <w:t>1号和田地委全面深化改革委员会关于印发《和田地委全面深化改革委员会2024年改革工作要点》的通知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63C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2B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FC63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7B33D">
            <w:pPr>
              <w:jc w:val="center"/>
            </w:pPr>
            <w:r>
              <w:rPr>
                <w:rFonts w:ascii="宋体" w:hAnsi="宋体" w:eastAsia="宋体"/>
                <w:sz w:val="16"/>
              </w:rPr>
              <w:t>10</w:t>
            </w:r>
          </w:p>
        </w:tc>
      </w:tr>
      <w:tr w14:paraId="76F19D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25B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1015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E45BF">
            <w:pPr>
              <w:jc w:val="center"/>
            </w:pPr>
            <w:r>
              <w:rPr>
                <w:rFonts w:ascii="宋体" w:hAnsi="宋体" w:eastAsia="宋体"/>
                <w:sz w:val="16"/>
              </w:rPr>
              <w:t>公车维修及时率(%)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80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8FF6">
            <w:pPr>
              <w:jc w:val="center"/>
            </w:pPr>
            <w:r>
              <w:rPr>
                <w:rFonts w:ascii="宋体" w:hAnsi="宋体" w:eastAsia="宋体"/>
                <w:sz w:val="16"/>
              </w:rPr>
              <w:t>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D55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D2D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8BD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3DB0">
            <w:pPr>
              <w:jc w:val="center"/>
            </w:pPr>
            <w:r>
              <w:rPr>
                <w:rFonts w:ascii="宋体" w:hAnsi="宋体" w:eastAsia="宋体"/>
                <w:sz w:val="16"/>
              </w:rPr>
              <w:t>10</w:t>
            </w:r>
          </w:p>
        </w:tc>
      </w:tr>
      <w:tr w14:paraId="31D6D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FBA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9D6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300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6C4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8647">
            <w:pPr>
              <w:jc w:val="center"/>
            </w:pPr>
            <w:r>
              <w:rPr>
                <w:rFonts w:ascii="宋体" w:hAnsi="宋体" w:eastAsia="宋体"/>
                <w:sz w:val="16"/>
              </w:rPr>
              <w:t>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BC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F2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F9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6F4C">
            <w:pPr>
              <w:jc w:val="center"/>
            </w:pPr>
            <w:r>
              <w:rPr>
                <w:rFonts w:ascii="宋体" w:hAnsi="宋体" w:eastAsia="宋体"/>
                <w:sz w:val="16"/>
              </w:rPr>
              <w:t>10</w:t>
            </w:r>
          </w:p>
        </w:tc>
      </w:tr>
    </w:tbl>
    <w:p w14:paraId="63A768F5">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28BCB8">
        <w:tblPrEx>
          <w:tblCellMar>
            <w:top w:w="0" w:type="dxa"/>
            <w:left w:w="108" w:type="dxa"/>
            <w:bottom w:w="0" w:type="dxa"/>
            <w:right w:w="108" w:type="dxa"/>
          </w:tblCellMar>
        </w:tblPrEx>
        <w:tc>
          <w:tcPr>
            <w:tcW w:w="8847" w:type="dxa"/>
            <w:gridSpan w:val="9"/>
            <w:vAlign w:val="center"/>
          </w:tcPr>
          <w:p w14:paraId="5A1E1432">
            <w:pPr>
              <w:jc w:val="center"/>
            </w:pPr>
            <w:r>
              <w:rPr>
                <w:rFonts w:ascii="宋体" w:hAnsi="宋体" w:eastAsia="宋体"/>
                <w:sz w:val="24"/>
              </w:rPr>
              <w:t>项目支出绩效自评表</w:t>
            </w:r>
          </w:p>
        </w:tc>
      </w:tr>
      <w:tr w14:paraId="4A9D6E51">
        <w:tblPrEx>
          <w:tblCellMar>
            <w:top w:w="0" w:type="dxa"/>
            <w:left w:w="108" w:type="dxa"/>
            <w:bottom w:w="0" w:type="dxa"/>
            <w:right w:w="108" w:type="dxa"/>
          </w:tblCellMar>
        </w:tblPrEx>
        <w:tc>
          <w:tcPr>
            <w:tcW w:w="8847" w:type="dxa"/>
            <w:gridSpan w:val="9"/>
            <w:vAlign w:val="center"/>
          </w:tcPr>
          <w:p w14:paraId="6748575D">
            <w:pPr>
              <w:jc w:val="center"/>
            </w:pPr>
            <w:r>
              <w:rPr>
                <w:rFonts w:ascii="宋体" w:hAnsi="宋体" w:eastAsia="宋体"/>
                <w:sz w:val="24"/>
              </w:rPr>
              <w:t>(2024年度)</w:t>
            </w:r>
          </w:p>
        </w:tc>
      </w:tr>
      <w:tr w14:paraId="2B3DFE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3DC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B416D7">
            <w:pPr>
              <w:jc w:val="center"/>
            </w:pPr>
            <w:r>
              <w:rPr>
                <w:rFonts w:ascii="宋体" w:hAnsi="宋体" w:eastAsia="宋体"/>
                <w:sz w:val="16"/>
              </w:rPr>
              <w:t>中共和田地区委员会政策研究室调查研究工作经费</w:t>
            </w:r>
          </w:p>
        </w:tc>
      </w:tr>
      <w:tr w14:paraId="5358C1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396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CA02A">
            <w:pPr>
              <w:jc w:val="center"/>
            </w:pPr>
            <w:r>
              <w:rPr>
                <w:rFonts w:ascii="宋体" w:hAnsi="宋体" w:eastAsia="宋体"/>
                <w:sz w:val="16"/>
              </w:rPr>
              <w:t>中共和田地区委员会政策研究室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7DA2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DCFAB4">
            <w:pPr>
              <w:jc w:val="center"/>
            </w:pPr>
            <w:r>
              <w:rPr>
                <w:rFonts w:ascii="宋体" w:hAnsi="宋体" w:eastAsia="宋体"/>
                <w:sz w:val="16"/>
              </w:rPr>
              <w:t>中共和田地区委员会政策研究室</w:t>
            </w:r>
          </w:p>
        </w:tc>
      </w:tr>
      <w:tr w14:paraId="4EFAAD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D05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AF2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E4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B7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9A7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AE4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072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9D04">
            <w:pPr>
              <w:jc w:val="center"/>
            </w:pPr>
            <w:r>
              <w:rPr>
                <w:rFonts w:ascii="宋体" w:hAnsi="宋体" w:eastAsia="宋体"/>
                <w:sz w:val="16"/>
              </w:rPr>
              <w:t>得分</w:t>
            </w:r>
          </w:p>
        </w:tc>
      </w:tr>
      <w:tr w14:paraId="36946E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AB9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B86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0951">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A757">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0B84">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CB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5A40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6FD4">
            <w:pPr>
              <w:jc w:val="center"/>
            </w:pPr>
            <w:r>
              <w:rPr>
                <w:rFonts w:ascii="宋体" w:hAnsi="宋体" w:eastAsia="宋体"/>
                <w:sz w:val="16"/>
              </w:rPr>
              <w:t>10.00分</w:t>
            </w:r>
          </w:p>
        </w:tc>
      </w:tr>
      <w:tr w14:paraId="2AC4F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5F6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2D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60724">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19A0">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3F6D">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853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06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7D5A">
            <w:pPr>
              <w:jc w:val="center"/>
            </w:pPr>
            <w:r>
              <w:rPr>
                <w:rFonts w:ascii="宋体" w:hAnsi="宋体" w:eastAsia="宋体"/>
                <w:sz w:val="16"/>
              </w:rPr>
              <w:t>—</w:t>
            </w:r>
          </w:p>
        </w:tc>
      </w:tr>
      <w:tr w14:paraId="0B648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80E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EF5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BF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BC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6A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94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DC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2875">
            <w:pPr>
              <w:jc w:val="center"/>
            </w:pPr>
            <w:r>
              <w:rPr>
                <w:rFonts w:ascii="宋体" w:hAnsi="宋体" w:eastAsia="宋体"/>
                <w:sz w:val="16"/>
              </w:rPr>
              <w:t>—</w:t>
            </w:r>
          </w:p>
        </w:tc>
      </w:tr>
      <w:tr w14:paraId="3696A6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5D8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074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7E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0BD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80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0A7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BEE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63BE">
            <w:pPr>
              <w:jc w:val="center"/>
            </w:pPr>
            <w:r>
              <w:rPr>
                <w:rFonts w:ascii="宋体" w:hAnsi="宋体" w:eastAsia="宋体"/>
                <w:sz w:val="16"/>
              </w:rPr>
              <w:t>—</w:t>
            </w:r>
          </w:p>
        </w:tc>
      </w:tr>
      <w:tr w14:paraId="5304EF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2A8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44A79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36964">
            <w:pPr>
              <w:jc w:val="center"/>
            </w:pPr>
            <w:r>
              <w:rPr>
                <w:rFonts w:ascii="宋体" w:hAnsi="宋体" w:eastAsia="宋体"/>
                <w:sz w:val="16"/>
              </w:rPr>
              <w:t>实际完成情况</w:t>
            </w:r>
          </w:p>
        </w:tc>
      </w:tr>
      <w:tr w14:paraId="6A4E6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354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B66E11">
            <w:pPr>
              <w:jc w:val="both"/>
            </w:pPr>
            <w:r>
              <w:rPr>
                <w:rFonts w:ascii="宋体" w:hAnsi="宋体" w:eastAsia="宋体"/>
                <w:sz w:val="16"/>
              </w:rPr>
              <w:t>紧紧围绕地委中心工作，承担文稿起草，重点在干部队伍建设、经济高质量发展、劳动密集型产业、社会事业、意识形态等方面制定调研专题，不少于6篇专题调研报告，完成6次调研次数，采纳条数不少于18条，为地委提供科学决策依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7ECA37">
            <w:pPr>
              <w:jc w:val="both"/>
            </w:pPr>
            <w:r>
              <w:rPr>
                <w:rFonts w:hint="eastAsia" w:ascii="宋体" w:hAnsi="宋体"/>
                <w:sz w:val="16"/>
                <w:lang w:eastAsia="zh-CN"/>
              </w:rPr>
              <w:t>截至</w:t>
            </w:r>
            <w:r>
              <w:rPr>
                <w:rFonts w:ascii="宋体" w:hAnsi="宋体" w:eastAsia="宋体"/>
                <w:sz w:val="16"/>
              </w:rPr>
              <w:t>2024年12月31日，本项目实际形成支出7万元，项目已完成7篇专题调研报告，完成6次调研次数，采纳条数18条的任务，达到了为地委提供科学决策依据、提高政研室调查研究工作效率的目的，公众对部门履职效果满意度达到100%。</w:t>
            </w:r>
          </w:p>
        </w:tc>
      </w:tr>
      <w:tr w14:paraId="3F1FC2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3742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64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AD5E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D1C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4069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6F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883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DE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3EC4">
            <w:pPr>
              <w:jc w:val="center"/>
            </w:pPr>
            <w:r>
              <w:rPr>
                <w:rFonts w:ascii="宋体" w:hAnsi="宋体" w:eastAsia="宋体"/>
                <w:sz w:val="16"/>
              </w:rPr>
              <w:t>偏差原因分析及改进措施</w:t>
            </w:r>
          </w:p>
        </w:tc>
      </w:tr>
      <w:tr w14:paraId="1E33E4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71DC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468C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9789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335C8">
            <w:pPr>
              <w:jc w:val="center"/>
            </w:pPr>
            <w:r>
              <w:rPr>
                <w:rFonts w:ascii="宋体" w:hAnsi="宋体" w:eastAsia="宋体"/>
                <w:sz w:val="16"/>
              </w:rPr>
              <w:t>完成调研次数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9B68">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4032F">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94F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8A3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14612">
            <w:pPr>
              <w:jc w:val="center"/>
            </w:pPr>
          </w:p>
        </w:tc>
      </w:tr>
      <w:tr w14:paraId="247626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488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D76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F2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8429F">
            <w:pPr>
              <w:jc w:val="center"/>
            </w:pPr>
            <w:r>
              <w:rPr>
                <w:rFonts w:ascii="宋体" w:hAnsi="宋体" w:eastAsia="宋体"/>
                <w:sz w:val="16"/>
              </w:rPr>
              <w:t>完成调研报告数量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5CBF">
            <w:pPr>
              <w:jc w:val="center"/>
            </w:pPr>
            <w:r>
              <w:rPr>
                <w:rFonts w:ascii="宋体" w:hAnsi="宋体" w:eastAsia="宋体"/>
                <w:sz w:val="16"/>
              </w:rPr>
              <w:t>≥6篇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818B3">
            <w:pPr>
              <w:jc w:val="center"/>
            </w:pPr>
            <w:r>
              <w:rPr>
                <w:rFonts w:ascii="宋体" w:hAnsi="宋体" w:eastAsia="宋体"/>
                <w:sz w:val="16"/>
              </w:rPr>
              <w:t>=7篇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2C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A84F">
            <w:pPr>
              <w:jc w:val="center"/>
            </w:pPr>
            <w:r>
              <w:rPr>
                <w:rFonts w:ascii="宋体" w:hAnsi="宋体" w:eastAsia="宋体"/>
                <w:sz w:val="16"/>
              </w:rPr>
              <w:t>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25BE">
            <w:pPr>
              <w:jc w:val="center"/>
            </w:pPr>
            <w:r>
              <w:rPr>
                <w:rFonts w:ascii="宋体" w:hAnsi="宋体" w:eastAsia="宋体"/>
                <w:sz w:val="16"/>
              </w:rPr>
              <w:t>偏差原因：年中存在工作变动，导致调研报告数增多，改进措施：加强预算管理能力。</w:t>
            </w:r>
          </w:p>
        </w:tc>
      </w:tr>
      <w:tr w14:paraId="0720B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F22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80A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004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61EA">
            <w:pPr>
              <w:jc w:val="center"/>
            </w:pPr>
            <w:r>
              <w:rPr>
                <w:rFonts w:ascii="宋体" w:hAnsi="宋体" w:eastAsia="宋体"/>
                <w:sz w:val="16"/>
              </w:rPr>
              <w:t>意见建议被采纳条数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2811C">
            <w:pPr>
              <w:jc w:val="center"/>
            </w:pPr>
            <w:r>
              <w:rPr>
                <w:rFonts w:ascii="宋体" w:hAnsi="宋体" w:eastAsia="宋体"/>
                <w:sz w:val="16"/>
              </w:rPr>
              <w:t>≥18条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520DF">
            <w:pPr>
              <w:jc w:val="center"/>
            </w:pPr>
            <w:r>
              <w:rPr>
                <w:rFonts w:ascii="宋体" w:hAnsi="宋体" w:eastAsia="宋体"/>
                <w:sz w:val="16"/>
              </w:rPr>
              <w:t>=18条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D9E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03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D7BFA">
            <w:pPr>
              <w:jc w:val="center"/>
            </w:pPr>
          </w:p>
        </w:tc>
      </w:tr>
      <w:tr w14:paraId="348811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BC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87CC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579F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66BD9">
            <w:pPr>
              <w:jc w:val="center"/>
            </w:pPr>
            <w:r>
              <w:rPr>
                <w:rFonts w:ascii="宋体" w:hAnsi="宋体" w:eastAsia="宋体"/>
                <w:sz w:val="16"/>
              </w:rPr>
              <w:t>资金支出及时率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00D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A51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D50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16A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838C">
            <w:pPr>
              <w:jc w:val="center"/>
            </w:pPr>
          </w:p>
        </w:tc>
      </w:tr>
      <w:tr w14:paraId="45D804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C30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F6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9DD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A90F">
            <w:pPr>
              <w:jc w:val="center"/>
            </w:pPr>
            <w:r>
              <w:rPr>
                <w:rFonts w:ascii="宋体" w:hAnsi="宋体" w:eastAsia="宋体"/>
                <w:sz w:val="16"/>
              </w:rPr>
              <w:t>调研完成率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4CF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2C1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283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E3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FBD5">
            <w:pPr>
              <w:jc w:val="center"/>
            </w:pPr>
          </w:p>
        </w:tc>
      </w:tr>
      <w:tr w14:paraId="35B887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4C7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3D0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628A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DA7FE">
            <w:pPr>
              <w:jc w:val="center"/>
            </w:pPr>
            <w:r>
              <w:rPr>
                <w:rFonts w:ascii="宋体" w:hAnsi="宋体" w:eastAsia="宋体"/>
                <w:sz w:val="16"/>
              </w:rPr>
              <w:t>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29B3">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6526F">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65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D70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710E">
            <w:pPr>
              <w:jc w:val="center"/>
            </w:pPr>
          </w:p>
        </w:tc>
      </w:tr>
      <w:tr w14:paraId="08C3DA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3061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EE3C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D04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D550C">
            <w:pPr>
              <w:jc w:val="center"/>
            </w:pPr>
            <w:r>
              <w:rPr>
                <w:rFonts w:ascii="宋体" w:hAnsi="宋体" w:eastAsia="宋体"/>
                <w:sz w:val="16"/>
              </w:rPr>
              <w:t>保障车辆费用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05B0">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CE6A">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96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53E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3CA72">
            <w:pPr>
              <w:jc w:val="center"/>
            </w:pPr>
          </w:p>
        </w:tc>
      </w:tr>
      <w:tr w14:paraId="6A79C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24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0A2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EB3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C9F0">
            <w:pPr>
              <w:jc w:val="center"/>
            </w:pPr>
            <w:r>
              <w:rPr>
                <w:rFonts w:ascii="宋体" w:hAnsi="宋体" w:eastAsia="宋体"/>
                <w:sz w:val="16"/>
              </w:rPr>
              <w:t>调研人员经费和办公经费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49D27">
            <w:pPr>
              <w:jc w:val="center"/>
            </w:pPr>
            <w:r>
              <w:rPr>
                <w:rFonts w:ascii="宋体" w:hAnsi="宋体" w:eastAsia="宋体"/>
                <w:sz w:val="16"/>
              </w:rPr>
              <w:t>≤2.68万元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2D9E1">
            <w:pPr>
              <w:jc w:val="center"/>
            </w:pPr>
            <w:r>
              <w:rPr>
                <w:rFonts w:ascii="宋体" w:hAnsi="宋体" w:eastAsia="宋体"/>
                <w:sz w:val="16"/>
              </w:rPr>
              <w:t>=2.68万元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27F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3F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FA61">
            <w:pPr>
              <w:jc w:val="center"/>
            </w:pPr>
          </w:p>
        </w:tc>
      </w:tr>
      <w:tr w14:paraId="2971F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EF0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B20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F1E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3BBF">
            <w:pPr>
              <w:jc w:val="center"/>
            </w:pPr>
            <w:r>
              <w:rPr>
                <w:rFonts w:ascii="宋体" w:hAnsi="宋体" w:eastAsia="宋体"/>
                <w:sz w:val="16"/>
              </w:rPr>
              <w:t>培训费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374E">
            <w:pPr>
              <w:jc w:val="center"/>
            </w:pPr>
            <w:r>
              <w:rPr>
                <w:rFonts w:ascii="宋体" w:hAnsi="宋体" w:eastAsia="宋体"/>
                <w:sz w:val="16"/>
              </w:rPr>
              <w:t>≤1.32万元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7D14">
            <w:pPr>
              <w:jc w:val="center"/>
            </w:pPr>
            <w:r>
              <w:rPr>
                <w:rFonts w:ascii="宋体" w:hAnsi="宋体" w:eastAsia="宋体"/>
                <w:sz w:val="16"/>
              </w:rPr>
              <w:t>=1.32万元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B64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5AA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ADF44">
            <w:pPr>
              <w:jc w:val="center"/>
            </w:pPr>
          </w:p>
        </w:tc>
      </w:tr>
      <w:tr w14:paraId="420C6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08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3C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F4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CA9C">
            <w:pPr>
              <w:jc w:val="center"/>
            </w:pPr>
            <w:r>
              <w:rPr>
                <w:rFonts w:ascii="宋体" w:hAnsi="宋体" w:eastAsia="宋体"/>
                <w:sz w:val="16"/>
              </w:rPr>
              <w:t>提高政研室调查研究工作效率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C985D">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84F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B9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6EF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79F9">
            <w:pPr>
              <w:jc w:val="center"/>
            </w:pPr>
          </w:p>
        </w:tc>
      </w:tr>
      <w:tr w14:paraId="3C5B8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A20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B94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48A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6D0F8">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F5E7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42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E26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82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93C3">
            <w:pPr>
              <w:jc w:val="center"/>
            </w:pPr>
          </w:p>
        </w:tc>
      </w:tr>
      <w:tr w14:paraId="67B10E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1F2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73D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134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498519">
            <w:pPr>
              <w:jc w:val="center"/>
            </w:pPr>
            <w:r>
              <w:rPr>
                <w:rFonts w:ascii="宋体" w:hAnsi="宋体" w:eastAsia="宋体"/>
                <w:sz w:val="16"/>
              </w:rPr>
              <w:t>99.17分</w:t>
            </w:r>
          </w:p>
        </w:tc>
      </w:tr>
    </w:tbl>
    <w:p w14:paraId="17B85404">
      <w:r>
        <w:br w:type="page"/>
      </w:r>
    </w:p>
    <w:p w14:paraId="577073FE">
      <w:pPr>
        <w:spacing w:line="640" w:lineRule="exact"/>
        <w:ind w:firstLine="640"/>
        <w:jc w:val="both"/>
        <w:outlineLvl w:val="2"/>
      </w:pPr>
      <w:r>
        <w:rPr>
          <w:rFonts w:ascii="黑体" w:hAnsi="黑体" w:eastAsia="黑体"/>
          <w:sz w:val="32"/>
        </w:rPr>
        <w:t>十二、其他需说明的事项</w:t>
      </w:r>
    </w:p>
    <w:p w14:paraId="7756BE02">
      <w:pPr>
        <w:spacing w:line="580" w:lineRule="exact"/>
        <w:ind w:firstLine="640"/>
        <w:jc w:val="both"/>
      </w:pPr>
      <w:r>
        <w:rPr>
          <w:rFonts w:ascii="仿宋_GB2312" w:hAnsi="仿宋_GB2312" w:eastAsia="仿宋_GB2312"/>
          <w:b w:val="0"/>
          <w:sz w:val="32"/>
        </w:rPr>
        <w:t>本单位无其他需说明的事项。</w:t>
      </w:r>
    </w:p>
    <w:p w14:paraId="764079CC">
      <w:r>
        <w:br w:type="page"/>
      </w:r>
    </w:p>
    <w:p w14:paraId="3F4CFC3D">
      <w:pPr>
        <w:spacing w:line="240" w:lineRule="auto"/>
        <w:jc w:val="center"/>
        <w:outlineLvl w:val="1"/>
      </w:pPr>
      <w:r>
        <w:rPr>
          <w:rFonts w:ascii="黑体" w:hAnsi="黑体" w:eastAsia="黑体"/>
          <w:sz w:val="32"/>
        </w:rPr>
        <w:t>第三部分 专业名词解释</w:t>
      </w:r>
    </w:p>
    <w:p w14:paraId="6CB7A70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8E60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D9D11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91A8C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4BEE2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8DE0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D879A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4744B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4EE0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13A3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C79EA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C8431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D697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5CE34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F4CF99">
      <w:r>
        <w:br w:type="page"/>
      </w:r>
    </w:p>
    <w:p w14:paraId="417395BC">
      <w:pPr>
        <w:spacing w:line="240" w:lineRule="auto"/>
        <w:jc w:val="center"/>
        <w:outlineLvl w:val="1"/>
      </w:pPr>
      <w:r>
        <w:rPr>
          <w:rFonts w:ascii="黑体" w:hAnsi="黑体" w:eastAsia="黑体"/>
          <w:sz w:val="32"/>
        </w:rPr>
        <w:t>第四部分 部门决算报表（见附表）</w:t>
      </w:r>
    </w:p>
    <w:p w14:paraId="218BCA89">
      <w:pPr>
        <w:spacing w:line="240" w:lineRule="auto"/>
        <w:ind w:firstLine="640"/>
        <w:jc w:val="both"/>
      </w:pPr>
      <w:r>
        <w:rPr>
          <w:rFonts w:ascii="仿宋_GB2312" w:hAnsi="仿宋_GB2312" w:eastAsia="仿宋_GB2312"/>
          <w:b w:val="0"/>
          <w:sz w:val="32"/>
        </w:rPr>
        <w:t>一、《收入支出决算总表》</w:t>
      </w:r>
    </w:p>
    <w:p w14:paraId="29E32095">
      <w:pPr>
        <w:spacing w:line="240" w:lineRule="auto"/>
        <w:ind w:firstLine="640"/>
        <w:jc w:val="both"/>
      </w:pPr>
      <w:r>
        <w:rPr>
          <w:rFonts w:ascii="仿宋_GB2312" w:hAnsi="仿宋_GB2312" w:eastAsia="仿宋_GB2312"/>
          <w:b w:val="0"/>
          <w:sz w:val="32"/>
        </w:rPr>
        <w:t>二、《收入决算表》</w:t>
      </w:r>
    </w:p>
    <w:p w14:paraId="4D15B989">
      <w:pPr>
        <w:spacing w:line="240" w:lineRule="auto"/>
        <w:ind w:firstLine="640"/>
        <w:jc w:val="both"/>
      </w:pPr>
      <w:r>
        <w:rPr>
          <w:rFonts w:ascii="仿宋_GB2312" w:hAnsi="仿宋_GB2312" w:eastAsia="仿宋_GB2312"/>
          <w:b w:val="0"/>
          <w:sz w:val="32"/>
        </w:rPr>
        <w:t>三、《支出决算表》</w:t>
      </w:r>
    </w:p>
    <w:p w14:paraId="7881CBA2">
      <w:pPr>
        <w:spacing w:line="240" w:lineRule="auto"/>
        <w:ind w:firstLine="640"/>
        <w:jc w:val="both"/>
      </w:pPr>
      <w:r>
        <w:rPr>
          <w:rFonts w:ascii="仿宋_GB2312" w:hAnsi="仿宋_GB2312" w:eastAsia="仿宋_GB2312"/>
          <w:b w:val="0"/>
          <w:sz w:val="32"/>
        </w:rPr>
        <w:t>四、《财政拨款收入支出决算总表》</w:t>
      </w:r>
    </w:p>
    <w:p w14:paraId="282BEA5A">
      <w:pPr>
        <w:spacing w:line="240" w:lineRule="auto"/>
        <w:ind w:firstLine="640"/>
        <w:jc w:val="both"/>
      </w:pPr>
      <w:r>
        <w:rPr>
          <w:rFonts w:ascii="仿宋_GB2312" w:hAnsi="仿宋_GB2312" w:eastAsia="仿宋_GB2312"/>
          <w:b w:val="0"/>
          <w:sz w:val="32"/>
        </w:rPr>
        <w:t>五、《一般公共预算财政拨款支出决算表》</w:t>
      </w:r>
    </w:p>
    <w:p w14:paraId="5043A539">
      <w:pPr>
        <w:spacing w:line="240" w:lineRule="auto"/>
        <w:ind w:firstLine="640"/>
        <w:jc w:val="both"/>
      </w:pPr>
      <w:r>
        <w:rPr>
          <w:rFonts w:ascii="仿宋_GB2312" w:hAnsi="仿宋_GB2312" w:eastAsia="仿宋_GB2312"/>
          <w:b w:val="0"/>
          <w:sz w:val="32"/>
        </w:rPr>
        <w:t>六、《一般公共预算财政拨款基本支出决算表》</w:t>
      </w:r>
    </w:p>
    <w:p w14:paraId="129A1AE9">
      <w:pPr>
        <w:spacing w:line="240" w:lineRule="auto"/>
        <w:ind w:firstLine="640"/>
        <w:jc w:val="both"/>
      </w:pPr>
      <w:r>
        <w:rPr>
          <w:rFonts w:ascii="仿宋_GB2312" w:hAnsi="仿宋_GB2312" w:eastAsia="仿宋_GB2312"/>
          <w:b w:val="0"/>
          <w:sz w:val="32"/>
        </w:rPr>
        <w:t>七、《政府性基金预算财政拨款收入支出决算表》</w:t>
      </w:r>
    </w:p>
    <w:p w14:paraId="4778CF1C">
      <w:pPr>
        <w:spacing w:line="240" w:lineRule="auto"/>
        <w:ind w:firstLine="640"/>
        <w:jc w:val="both"/>
      </w:pPr>
      <w:r>
        <w:rPr>
          <w:rFonts w:ascii="仿宋_GB2312" w:hAnsi="仿宋_GB2312" w:eastAsia="仿宋_GB2312"/>
          <w:b w:val="0"/>
          <w:sz w:val="32"/>
        </w:rPr>
        <w:t>八、《国有资本经营预算财政拨款收入支出决算表》</w:t>
      </w:r>
    </w:p>
    <w:p w14:paraId="1C8DA0C8">
      <w:pPr>
        <w:spacing w:line="240" w:lineRule="auto"/>
        <w:ind w:firstLine="640"/>
        <w:jc w:val="both"/>
      </w:pPr>
      <w:r>
        <w:rPr>
          <w:rFonts w:ascii="仿宋_GB2312" w:hAnsi="仿宋_GB2312" w:eastAsia="仿宋_GB2312"/>
          <w:b w:val="0"/>
          <w:sz w:val="32"/>
        </w:rPr>
        <w:t>九、《财政拨款“三公”经费支出决算表》</w:t>
      </w:r>
    </w:p>
    <w:p w14:paraId="49218EA2">
      <w:pPr>
        <w:spacing w:line="240" w:lineRule="auto"/>
        <w:ind w:firstLine="640"/>
        <w:jc w:val="both"/>
      </w:pPr>
    </w:p>
    <w:p w14:paraId="61C7C6D9">
      <w:pPr>
        <w:spacing w:line="240" w:lineRule="auto"/>
        <w:ind w:firstLine="640"/>
        <w:jc w:val="both"/>
      </w:pPr>
    </w:p>
    <w:p w14:paraId="5D9E1B88">
      <w:pPr>
        <w:spacing w:line="240" w:lineRule="auto"/>
        <w:ind w:firstLine="640"/>
        <w:jc w:val="both"/>
      </w:pPr>
    </w:p>
    <w:p w14:paraId="21D6CFF5">
      <w:pPr>
        <w:spacing w:line="240" w:lineRule="auto"/>
        <w:ind w:firstLine="640"/>
        <w:jc w:val="both"/>
      </w:pPr>
    </w:p>
    <w:p w14:paraId="663CA19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7F21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EB268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2EB268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084641"/>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7953C5"/>
    <w:rsid w:val="464B7E04"/>
    <w:rsid w:val="464F7E64"/>
    <w:rsid w:val="46901EEE"/>
    <w:rsid w:val="469C74D2"/>
    <w:rsid w:val="47445515"/>
    <w:rsid w:val="4A79412C"/>
    <w:rsid w:val="4B4C0111"/>
    <w:rsid w:val="4B766FFA"/>
    <w:rsid w:val="4BB23021"/>
    <w:rsid w:val="4F3F074E"/>
    <w:rsid w:val="50DB5F45"/>
    <w:rsid w:val="52F92565"/>
    <w:rsid w:val="53320E26"/>
    <w:rsid w:val="543D17CB"/>
    <w:rsid w:val="55DA564E"/>
    <w:rsid w:val="56E07045"/>
    <w:rsid w:val="583059FA"/>
    <w:rsid w:val="587E6212"/>
    <w:rsid w:val="5AFC6609"/>
    <w:rsid w:val="5DD12B8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1">
    <w:name w:val="Strong"/>
    <w:basedOn w:val="10"/>
    <w:qFormat/>
    <w:uiPriority w:val="0"/>
    <w:rPr>
      <w:b/>
      <w:bCs/>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5432</Words>
  <Characters>6092</Characters>
  <Lines>0</Lines>
  <Paragraphs>0</Paragraphs>
  <TotalTime>2</TotalTime>
  <ScaleCrop>false</ScaleCrop>
  <LinksUpToDate>false</LinksUpToDate>
  <CharactersWithSpaces>6100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2025-09-12T11:16:54Z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