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B89A3"/>
    <w:p w14:paraId="2CDE593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附件2：</w:t>
      </w:r>
    </w:p>
    <w:p w14:paraId="56C52DF0">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38AAF097">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44FDCDD1">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1C670978">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30A187DE">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754F7DCD">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7540B5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44"/>
          <w:szCs w:val="44"/>
        </w:rPr>
      </w:pPr>
      <w:r>
        <w:rPr>
          <w:rFonts w:hint="eastAsia" w:ascii="仿宋_GB2312" w:hAnsi="仿宋_GB2312" w:eastAsia="仿宋_GB2312" w:cs="仿宋_GB2312"/>
          <w:b/>
          <w:kern w:val="0"/>
          <w:sz w:val="44"/>
          <w:szCs w:val="44"/>
        </w:rPr>
        <w:t>项目支出绩效自评报告</w:t>
      </w:r>
    </w:p>
    <w:p w14:paraId="732CBF93">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center"/>
        <w:textAlignment w:val="auto"/>
        <w:rPr>
          <w:rFonts w:hint="eastAsia" w:ascii="仿宋_GB2312" w:hAnsi="仿宋_GB2312" w:eastAsia="仿宋_GB2312" w:cs="仿宋_GB2312"/>
          <w:b/>
          <w:kern w:val="0"/>
          <w:sz w:val="32"/>
          <w:szCs w:val="32"/>
        </w:rPr>
      </w:pPr>
    </w:p>
    <w:p w14:paraId="3487FC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Style w:val="19"/>
          <w:rFonts w:hint="eastAsia" w:ascii="仿宋_GB2312" w:hAnsi="仿宋_GB2312" w:eastAsia="仿宋_GB2312" w:cs="仿宋_GB2312"/>
          <w:spacing w:val="-4"/>
          <w:sz w:val="32"/>
          <w:szCs w:val="32"/>
        </w:rPr>
        <w:t>2024</w:t>
      </w:r>
      <w:r>
        <w:rPr>
          <w:rFonts w:hint="eastAsia" w:ascii="仿宋_GB2312" w:hAnsi="仿宋_GB2312" w:eastAsia="仿宋_GB2312" w:cs="仿宋_GB2312"/>
          <w:kern w:val="0"/>
          <w:sz w:val="32"/>
          <w:szCs w:val="32"/>
        </w:rPr>
        <w:t>年度）</w:t>
      </w:r>
    </w:p>
    <w:p w14:paraId="3B62977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1A0C19F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5883E61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2B9A52F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31FB71F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7F28973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center"/>
        <w:textAlignment w:val="auto"/>
        <w:rPr>
          <w:rFonts w:hint="eastAsia" w:ascii="仿宋_GB2312" w:hAnsi="仿宋_GB2312" w:eastAsia="仿宋_GB2312" w:cs="仿宋_GB2312"/>
          <w:kern w:val="0"/>
          <w:sz w:val="32"/>
          <w:szCs w:val="32"/>
        </w:rPr>
      </w:pPr>
    </w:p>
    <w:p w14:paraId="56D38F6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p>
    <w:p w14:paraId="124AED9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14:paraId="32D1D23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pacing w:val="-17"/>
          <w:kern w:val="0"/>
          <w:sz w:val="32"/>
          <w:szCs w:val="32"/>
        </w:rPr>
      </w:pPr>
      <w:r>
        <w:rPr>
          <w:rFonts w:hint="eastAsia" w:ascii="仿宋_GB2312" w:hAnsi="仿宋_GB2312" w:eastAsia="仿宋_GB2312" w:cs="仿宋_GB2312"/>
          <w:kern w:val="0"/>
          <w:sz w:val="32"/>
          <w:szCs w:val="32"/>
        </w:rPr>
        <w:t>项目名称：</w:t>
      </w:r>
      <w:r>
        <w:rPr>
          <w:rStyle w:val="19"/>
          <w:rFonts w:hint="eastAsia" w:ascii="仿宋_GB2312" w:hAnsi="仿宋_GB2312" w:eastAsia="仿宋_GB2312" w:cs="仿宋_GB2312"/>
          <w:spacing w:val="-17"/>
          <w:sz w:val="32"/>
          <w:szCs w:val="32"/>
        </w:rPr>
        <w:t>中共和田地区委员会政策研究室调查研究工作经费</w:t>
      </w:r>
    </w:p>
    <w:p w14:paraId="4AF89A1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实施单位（公章）：</w:t>
      </w:r>
      <w:r>
        <w:rPr>
          <w:rStyle w:val="19"/>
          <w:rFonts w:hint="eastAsia" w:ascii="仿宋_GB2312" w:hAnsi="仿宋_GB2312" w:eastAsia="仿宋_GB2312" w:cs="仿宋_GB2312"/>
          <w:spacing w:val="-4"/>
          <w:sz w:val="32"/>
          <w:szCs w:val="32"/>
        </w:rPr>
        <w:t>中共和田地区委员会政策研究室</w:t>
      </w:r>
    </w:p>
    <w:p w14:paraId="10433A1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主管部门（公章）：</w:t>
      </w:r>
      <w:r>
        <w:rPr>
          <w:rStyle w:val="19"/>
          <w:rFonts w:hint="eastAsia" w:ascii="仿宋_GB2312" w:hAnsi="仿宋_GB2312" w:eastAsia="仿宋_GB2312" w:cs="仿宋_GB2312"/>
          <w:spacing w:val="-4"/>
          <w:sz w:val="32"/>
          <w:szCs w:val="32"/>
        </w:rPr>
        <w:t>中共和田地区委员会政策研究室</w:t>
      </w:r>
    </w:p>
    <w:p w14:paraId="1DC47A0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项目负责人（签章）：</w:t>
      </w:r>
      <w:r>
        <w:rPr>
          <w:rStyle w:val="19"/>
          <w:rFonts w:hint="eastAsia" w:ascii="仿宋_GB2312" w:hAnsi="仿宋_GB2312" w:eastAsia="仿宋_GB2312" w:cs="仿宋_GB2312"/>
          <w:spacing w:val="-4"/>
          <w:sz w:val="32"/>
          <w:szCs w:val="32"/>
        </w:rPr>
        <w:t>李胜</w:t>
      </w:r>
    </w:p>
    <w:p w14:paraId="6AD09A4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Style w:val="19"/>
          <w:rFonts w:hint="eastAsia" w:ascii="仿宋_GB2312" w:hAnsi="仿宋_GB2312" w:eastAsia="仿宋_GB2312" w:cs="仿宋_GB2312"/>
          <w:spacing w:val="-4"/>
          <w:sz w:val="32"/>
          <w:szCs w:val="32"/>
        </w:rPr>
      </w:pPr>
      <w:r>
        <w:rPr>
          <w:rFonts w:hint="eastAsia" w:ascii="仿宋_GB2312" w:hAnsi="仿宋_GB2312" w:eastAsia="仿宋_GB2312" w:cs="仿宋_GB2312"/>
          <w:kern w:val="0"/>
          <w:sz w:val="32"/>
          <w:szCs w:val="32"/>
        </w:rPr>
        <w:t>填报时间：</w:t>
      </w:r>
      <w:r>
        <w:rPr>
          <w:rStyle w:val="19"/>
          <w:rFonts w:hint="eastAsia" w:ascii="仿宋_GB2312" w:hAnsi="仿宋_GB2312" w:eastAsia="仿宋_GB2312" w:cs="仿宋_GB2312"/>
          <w:spacing w:val="-4"/>
          <w:sz w:val="32"/>
          <w:szCs w:val="32"/>
        </w:rPr>
        <w:t>2025年03月29日</w:t>
      </w:r>
    </w:p>
    <w:p w14:paraId="09E5E62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kern w:val="0"/>
          <w:sz w:val="32"/>
          <w:szCs w:val="32"/>
        </w:rPr>
      </w:pPr>
    </w:p>
    <w:p w14:paraId="12D2E175">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9"/>
          <w:rFonts w:hint="eastAsia" w:ascii="仿宋_GB2312" w:hAnsi="仿宋_GB2312" w:eastAsia="仿宋_GB2312" w:cs="仿宋_GB2312"/>
          <w:b w:val="0"/>
          <w:spacing w:val="-4"/>
          <w:sz w:val="32"/>
          <w:szCs w:val="32"/>
        </w:rPr>
        <w:sectPr>
          <w:footerReference r:id="rId3" w:type="default"/>
          <w:pgSz w:w="11906" w:h="16838"/>
          <w:pgMar w:top="1440" w:right="1558" w:bottom="1440" w:left="1757" w:header="851" w:footer="992" w:gutter="0"/>
          <w:pgNumType w:fmt="numberInDash"/>
          <w:cols w:space="425" w:num="1"/>
          <w:docGrid w:type="lines" w:linePitch="312" w:charSpace="0"/>
        </w:sectPr>
      </w:pPr>
    </w:p>
    <w:p w14:paraId="7F9E30E0">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9"/>
          <w:rFonts w:hint="eastAsia" w:ascii="仿宋_GB2312" w:hAnsi="仿宋_GB2312" w:eastAsia="仿宋_GB2312" w:cs="仿宋_GB2312"/>
          <w:b w:val="0"/>
          <w:spacing w:val="-4"/>
          <w:sz w:val="32"/>
          <w:szCs w:val="32"/>
        </w:rPr>
      </w:pPr>
    </w:p>
    <w:p w14:paraId="217C007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EFF73F3">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（一）项目概况</w:t>
      </w:r>
    </w:p>
    <w:p w14:paraId="16B7B67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7AAEDF8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调查研究是我们党的传家宝，我党历来重视调查研究。党的十八大以来，以习近平同志为核心的党中央高度重视调查研究工作，习近平总书记强调，“调查研究是谋事之基、成事之道，没有调查就没有发言权，没有调查就没有决策权”“正确的决策离不开调查研究，正确的贯彻落实同样也离不开调查研究”“调查研究是获得真知灼见的源头活水，是做好工作的基本功”“要在全党大兴调查研究之风”。习近平总书记关于调查研究的重要论述，深刻阐明了调研工作的极端重要性，为我们大兴调查研究、做好各项工作提供了根本遵循。</w:t>
      </w:r>
    </w:p>
    <w:p w14:paraId="26B85C7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中共中央办公厅印发《关于在全党大兴调查研究的工作方案》、中共和田地委和田地区行署印发《和田地区关于全面实施预算绩效管理实施方案》的通知、中共和田地区委员会办公室印发《关于在全地区大兴调查研究的工作方案》的通知要求，中共和田地区委员会政策研究室立足自身职能定位，深入农村、社区、企业、医院、学校等基层单位，扎实做好调查研究工作，真正把情况摸清、把问题找准、把对策提实，以前瞻性思考、全局性谋划、整体性推进，以正确战略策略应变局、育新机、开新局。</w:t>
      </w:r>
    </w:p>
    <w:p w14:paraId="0B951A7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2.主要内容</w:t>
      </w:r>
    </w:p>
    <w:p w14:paraId="17D1898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围绕党中央决策部署、自治区党委工作要求，紧紧围绕地委中心工作和重点工作部署，全年开展调研不少于6次，项目总预算费用7万元，主要用于调研车辆保障费、调研人员差旅费、办公经费等方面的支出，全力保障调研工作的正常开展。</w:t>
      </w:r>
    </w:p>
    <w:p w14:paraId="7EB268E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3.实施情况</w:t>
      </w:r>
    </w:p>
    <w:p w14:paraId="589D9AE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实施主体：中共和田地区委员会政策研究室。</w:t>
      </w:r>
    </w:p>
    <w:p w14:paraId="033B6C0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实施时间：本项目实施期限为2024年1月—2024年12月。</w:t>
      </w:r>
    </w:p>
    <w:p w14:paraId="5585C5B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围绕党中央决策部署、自治区党委工作要求，紧紧围绕地委中心工作和重点工作部署，全年开展调研不少于6次，项目总预算费用7万元，主要用于调研车辆保障费、调研人员差旅费、办公经费等方面的支出，全力保障调研工作的正常开展。</w:t>
      </w:r>
    </w:p>
    <w:p w14:paraId="12B9CB0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4.资金投入和使用情况</w:t>
      </w:r>
    </w:p>
    <w:p w14:paraId="05072D5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（1）项目资金安排落实、总投入等情况分析</w:t>
      </w:r>
    </w:p>
    <w:p w14:paraId="0D85345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本项目预算安排总额为7万元，资金来源为本级部门预算，其中：财政资金7万元，其他资金0.00万元，2024年实际收到预算资金7万元，预算资金到位率为100%。</w:t>
      </w:r>
    </w:p>
    <w:p w14:paraId="771919F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（2）项目资金实际使用情况分析</w:t>
      </w:r>
    </w:p>
    <w:p w14:paraId="668F04B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本项目实际支付资金7万元，预算执行率100%。本项目资金主要用于支付调研车辆保障费3万元、调研人员差旅费2万元、办公经费0.68万元、培训费1.32万元。</w:t>
      </w:r>
    </w:p>
    <w:p w14:paraId="6B154B81">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0F93FA7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154278E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地委重点工作安排和年度调研工作方案，将加强“政策学习能力、政策研究能力、政策落实能力”作为首要任务，采取“自选课题、规定课题”相结合的方式，围绕地委中心工作，完成“农村义务工、水资源利用、教育”等6个课题的调查研究。其中5篇得到地委主要领导批示。通过项目实施，达到了为地委提供科学决策依据的目的。</w:t>
      </w:r>
    </w:p>
    <w:p w14:paraId="1A7514C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2.阶段性目标</w:t>
      </w:r>
    </w:p>
    <w:p w14:paraId="28EB5F0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前期准备工作：根据相关要求成立了以李胜同志为组长，宋攀峰、石玉洁、王新华同志为组员的评估工作小组。项目负责人：李胜负责项目的实施和操作，负责项目方案、报告的制定、指标研制、数据分析和报告撰写。财务人员：石玉洁负责对项目资金拨付进行审核。项目复核人：宋攀峰、王新华负责总体项目的策划和监督，全面负责项目绩效评价报告的最终质量。</w:t>
      </w:r>
    </w:p>
    <w:p w14:paraId="03D7D04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项目实施：2024年3月举办调查研究培训班，提升调研人员业务水平；2024年9月赴相关县市、地州开展调研，为地委决策提供依据。</w:t>
      </w:r>
    </w:p>
    <w:p w14:paraId="34B21D1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项目完成：2024年3月支付调查研究培训费及办公经费，保障调研工作正常开展；2024年9月支付调查研究差旅费及车辆运行费，保障调研工作正常开展。</w:t>
      </w:r>
    </w:p>
    <w:p w14:paraId="370AF72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731DEC1">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（一）绩效评价目的、对象和范围</w:t>
      </w:r>
    </w:p>
    <w:p w14:paraId="28AE4FD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42A34D1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调查研究工作经费开展本次部门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1B4E3D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EA5D1C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F44F52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1353195">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5E51D5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2.绩效评价对象</w:t>
      </w:r>
    </w:p>
    <w:p w14:paraId="313D9D2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此次我单位根据《财政支出绩效评价管理暂行办法》（财预〔2020〕10号）文件要求实施评价工作，本次评价对象为调查研究工作经费开展本次部门项目，评价核心为项目的资金投入、产出及效益。</w:t>
      </w:r>
    </w:p>
    <w:p w14:paraId="525D82B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3.绩效评价范围</w:t>
      </w:r>
    </w:p>
    <w:p w14:paraId="6E55760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75CF49F">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6C0D2E7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7F9AFF8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910F9E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p>
    <w:p w14:paraId="43818A5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6DD791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p>
    <w:p w14:paraId="5A6FFB9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（4）公开透明。绩效评价结果应依法依规公开，并自觉接受社会监督。</w:t>
      </w:r>
    </w:p>
    <w:p w14:paraId="262E33F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根据以上原则，绩效评价应遵循如下要求:</w:t>
      </w:r>
    </w:p>
    <w:p w14:paraId="0BAB9F6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p>
    <w:p w14:paraId="1AE2A12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4A2EB4F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E71AE5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2.绩效评价指标体系</w:t>
      </w:r>
    </w:p>
    <w:p w14:paraId="72C0BF4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2C7517B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3.评价方法</w:t>
      </w:r>
    </w:p>
    <w:p w14:paraId="67EA58E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E1F412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14:paraId="6A4D584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EDCAC0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234FD2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3A8B1B4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2461285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3DC207E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0F668ED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p>
    <w:p w14:paraId="66F18DE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4"/>
          <w:sz w:val="32"/>
          <w:szCs w:val="32"/>
          <w:lang w:eastAsia="zh-CN"/>
        </w:rPr>
        <w:t>。</w:t>
      </w:r>
    </w:p>
    <w:p w14:paraId="0C1E2735">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p>
    <w:p w14:paraId="42F5004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5C41C64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355DA0D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293652B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3DF4CA2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FF0821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5C8268C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4.评价标准</w:t>
      </w:r>
    </w:p>
    <w:p w14:paraId="159961D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B6EBEDE">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（三）绩效评价工作过程</w:t>
      </w:r>
    </w:p>
    <w:p w14:paraId="6168F55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73F8075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w:t>
      </w:r>
      <w:r>
        <w:rPr>
          <w:rStyle w:val="19"/>
          <w:rFonts w:hint="eastAsia" w:ascii="仿宋_GB2312" w:hAnsi="仿宋_GB2312" w:eastAsia="仿宋_GB2312" w:cs="仿宋_GB2312"/>
          <w:b w:val="0"/>
          <w:bCs w:val="0"/>
          <w:spacing w:val="-4"/>
          <w:sz w:val="32"/>
          <w:szCs w:val="32"/>
          <w:lang w:val="en-US" w:eastAsia="zh-CN"/>
        </w:rPr>
        <w:t>25</w:t>
      </w:r>
      <w:r>
        <w:rPr>
          <w:rStyle w:val="19"/>
          <w:rFonts w:hint="eastAsia" w:ascii="仿宋_GB2312" w:hAnsi="仿宋_GB2312" w:eastAsia="仿宋_GB2312" w:cs="仿宋_GB2312"/>
          <w:b w:val="0"/>
          <w:bCs w:val="0"/>
          <w:spacing w:val="-4"/>
          <w:sz w:val="32"/>
          <w:szCs w:val="32"/>
        </w:rPr>
        <w:t>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A39428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王新华（评价小组组长）：主要负责审核并解决项目实施过程所有相关问题，复核绩效评价报告质量;</w:t>
      </w:r>
    </w:p>
    <w:p w14:paraId="664A9F95">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石玉洁（评价小组组员）：主要负责收集项目绩效相关所有资料，负责报告中数据的核实</w:t>
      </w:r>
      <w:r>
        <w:rPr>
          <w:rStyle w:val="19"/>
          <w:rFonts w:hint="eastAsia" w:ascii="仿宋_GB2312" w:hAnsi="仿宋_GB2312" w:eastAsia="仿宋_GB2312" w:cs="仿宋_GB2312"/>
          <w:b w:val="0"/>
          <w:bCs w:val="0"/>
          <w:spacing w:val="-4"/>
          <w:sz w:val="32"/>
          <w:szCs w:val="32"/>
          <w:lang w:eastAsia="zh-CN"/>
        </w:rPr>
        <w:t>。</w:t>
      </w:r>
    </w:p>
    <w:p w14:paraId="5E4DA0D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2.组织实施</w:t>
      </w:r>
    </w:p>
    <w:p w14:paraId="03621A2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F01280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3.分析评价</w:t>
      </w:r>
    </w:p>
    <w:p w14:paraId="7E444B4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721DA73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4.撰写与提交评价报告</w:t>
      </w:r>
    </w:p>
    <w:p w14:paraId="0EA1515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p>
    <w:p w14:paraId="1A8631C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5.问题整改</w:t>
      </w:r>
    </w:p>
    <w:p w14:paraId="7DE30E3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AEE451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6.档案整理</w:t>
      </w:r>
    </w:p>
    <w:p w14:paraId="072D215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727D677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46C02590">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（一）综合评价情况</w:t>
      </w:r>
    </w:p>
    <w:p w14:paraId="68C9E5D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经评价，本项目部分达成年初设立的绩效目标，在实施过程中取得了良好的成效，具体表现在以下三方面：</w:t>
      </w:r>
    </w:p>
    <w:p w14:paraId="1CAADDB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计划性、科学性和规范性，强化预算绩效意识。</w:t>
      </w:r>
    </w:p>
    <w:p w14:paraId="20B3BD8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3FB3F35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本年度，我单位认真贯彻落实科学发展观，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6BD6BD6D">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（二）评价结论</w:t>
      </w:r>
    </w:p>
    <w:p w14:paraId="7E740F8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99.67分，绩效评级为“优”。综合评价结论如下：本项目共设置三级指标数量22个，实现三级指标数量21个，总体完成率为99.67%。</w:t>
      </w:r>
    </w:p>
    <w:p w14:paraId="55D35725">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过程管理类指标共设置6个，满分指标6个，权重分21分，得分21分，得分率100%；</w:t>
      </w:r>
    </w:p>
    <w:p w14:paraId="71EA272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项目产出类指标共设置5个，满分指标5个，权重分19分，得分19分，得分率100%；</w:t>
      </w:r>
    </w:p>
    <w:p w14:paraId="4629F49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项目效益类指标共设置9个，满分指标8个，权重分20分，得分19.67分，得分率98.35%；</w:t>
      </w:r>
    </w:p>
    <w:p w14:paraId="6E48C29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满意度指标共设置2个，满分指标2个，权重分40分，得分40分，得分率100%。</w:t>
      </w:r>
    </w:p>
    <w:p w14:paraId="1ACEB66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详细情况见“附件2：项目综合得分表”。</w:t>
      </w:r>
    </w:p>
    <w:p w14:paraId="5DB5218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14:paraId="282B9DF6">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w:t>
      </w:r>
      <w:r>
        <w:rPr>
          <w:rStyle w:val="19"/>
          <w:rFonts w:hint="eastAsia" w:ascii="仿宋_GB2312" w:hAnsi="仿宋_GB2312" w:eastAsia="仿宋_GB2312" w:cs="仿宋_GB2312"/>
          <w:spacing w:val="-4"/>
          <w:sz w:val="32"/>
          <w:szCs w:val="32"/>
        </w:rPr>
        <w:t>项目决策情况</w:t>
      </w:r>
    </w:p>
    <w:p w14:paraId="46E5C10E">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2142FEFD">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1.项目立项情况分析</w:t>
      </w:r>
    </w:p>
    <w:p w14:paraId="0E0B42F1">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（1）立项依据充分性</w:t>
      </w:r>
    </w:p>
    <w:p w14:paraId="0D242782">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中共中央办公厅印发《关于在全党大兴调查研究的工作方案》中：“要在全党大兴调查研究之风”；本项目立项符合《中共和田地区委员会办公室印发《关于在全地区大兴调查研究的工作方案的通知》（和党办发〔2023〕10号）中：“将持续大兴调研之风”内容，符合行业发展规划和政策要求；本项目立项符合《中共和田地区委员会政策研究室（中共和田地区委员会全面深化改革委员会办公室）职能配置、内设机构和人员编制规定》中职责范围中的“（二）根据地委的意图和部署，围绕党的中心工作统筹协调各县市各部门，形成合力，对地区政治、经济、文化、生态文明、民生保障、社会稳定、改革开放、党的建设等方面的重大问题进行调查研究，提出意见和建议，供地委决策参考”，属于我单位履职所需；根据《财政资金直接支付申请书》，本项目资金性质为“公共财政预算”功能分类为“2013199”经济分类为“30201、30211、30216、30231”属于公共财政支持范围，符合中央、地方事权支出责任划分原则；经检查我单位财政应用平台指标，本项目不存在重复。</w:t>
      </w:r>
    </w:p>
    <w:p w14:paraId="35468E10">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67E6B7E4">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（2）立项程序规范性</w:t>
      </w:r>
    </w:p>
    <w:p w14:paraId="3A9A3198">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中共中央办公厅印发《关于在全党大兴调查研究的工作方案》；本项目立项符合《中共和田地区委员会办公室印发&lt;关于在全地区大兴调查研究的工作方案&gt;的通知》（和党办发〔2023〕10号），符合行业发展规划和政策要求，项目立项过程中产生的文件均符合相关要求。本项目为经费类项目，属于一般项目，项目预算金额为7万元，不涉及事前绩效评估和风险评估。</w:t>
      </w:r>
    </w:p>
    <w:p w14:paraId="4EBE2308">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p>
    <w:p w14:paraId="5321DBC5">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2.绩效目标情况分析</w:t>
      </w:r>
    </w:p>
    <w:p w14:paraId="48FF547C">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（1）绩效目标合理性</w:t>
      </w:r>
    </w:p>
    <w:p w14:paraId="02FBE6CC">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紧紧围绕地委中心工作，承担文稿起草，重点在干部队伍建设、经济高质量发展、劳动密集型产业、社会事业、意识形态等方面制定调研专题，不少于6篇专题调研报告，为地委提供科学决策依据”。本项目实际工作内容为：截至2024年12月31日，本项目实际支出资金7万元，预算执行率为100.00%。实际已于2024年11月30日支付完成；绩效目标与实际工作内容一致，两者具有相关性;本项目按照绩效目标完成了数量指标、质量指标、时效指标、成本指标，有效提高了政研室调查研究工作效率，年度绩效目标完成，预期产出效益和效果符合正常的业绩水平。</w:t>
      </w:r>
    </w:p>
    <w:p w14:paraId="512E86F6">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3ABC253D">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（2）绩效指标明确性</w:t>
      </w:r>
    </w:p>
    <w:p w14:paraId="252C373E">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p>
    <w:p w14:paraId="48F65B31">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0C52DD2F">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3.资金投入情况分析</w:t>
      </w:r>
    </w:p>
    <w:p w14:paraId="5B4EC880">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（1）预算编制科学性</w:t>
      </w:r>
    </w:p>
    <w:p w14:paraId="7F33109A">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本项目根据往年历史数据及市场询价情况编制预算，经单位内部会议及财政业务科室审核确定预算金额，即预算编制较科学且经过论证；</w:t>
      </w:r>
    </w:p>
    <w:p w14:paraId="5CD96DBA">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申请内容为紧紧围绕地委中心工作，承担文稿起草，重点在干部队伍建设、经济高质量发展、劳动密集型产业、社会事业、意识形态等方面制定调研专题，不少于6篇专题调研报告，完成6次调研次数，采纳条数不少于18条，为地委提供科学决策依据，项目实际内容为本项目实际形成支出7万元，项目已完成7篇专题调研报告，完成6次调研次数，采纳条数18条的任务，达到了为地委提供科学决策依据、提高政研室调查研究工作效率的目的，公众对部门履职效果满意度达到100%，预算申请与《中共和田地区委员会政策研究室调查研究工作经费项目实施方案》中涉及的项目内容匹配；</w:t>
      </w:r>
    </w:p>
    <w:p w14:paraId="6383F43F">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本项目预算申请资金7万元，我单位在预算申请中严格按照单位标准和数量进行核算。本项目预算额度测算依据充分，严格按照标准编制，预算确定资金量与实际工作任务相匹配；</w:t>
      </w:r>
    </w:p>
    <w:p w14:paraId="4E876AC2">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综上所述，本指标满分为4分，根据评分标准得4分，本项目预算编制科学。</w:t>
      </w:r>
    </w:p>
    <w:p w14:paraId="450D5191">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（2）资金分配合理性</w:t>
      </w:r>
    </w:p>
    <w:p w14:paraId="35160402">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本项目根据《关于下达2024年度部门预算的批复》和地财预〔2024〕1号文件显示，本项目实际到位资金7万元，实际分配资金与我单位提交申请的资金额度一致，资金分配额度合理，与我单位实际需求相适应。</w:t>
      </w:r>
    </w:p>
    <w:p w14:paraId="576C3564">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125B3856">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二</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项目过程情况</w:t>
      </w:r>
    </w:p>
    <w:p w14:paraId="5184648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p>
    <w:p w14:paraId="217F34C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1.资金管理情况分析</w:t>
      </w:r>
    </w:p>
    <w:p w14:paraId="53CE1F48">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（1）资金到位率</w:t>
      </w:r>
    </w:p>
    <w:p w14:paraId="7E6C2F9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本项目预算资金为7万元，其中：本级财政安排资金7万元，其他资金0万元，实际到位资金7万元，资金到位率=（实际到位资金/预算资金）×100%=（7/7）*100%=100%。得分=资金到位率*分值=100%*4=4分。</w:t>
      </w:r>
    </w:p>
    <w:p w14:paraId="4119552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1BA05AB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（2）预算执行率</w:t>
      </w:r>
    </w:p>
    <w:p w14:paraId="2781FCD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本项目实际支出资金7万元，预算执行率=（实际支出资金/实际到位资金）×100%=（7/7）*100%=100%。得分=预算执行率*分值=100%*5=5分。</w:t>
      </w:r>
    </w:p>
    <w:p w14:paraId="1F10F4D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4DFCAAD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（3）资金使用合规性</w:t>
      </w:r>
    </w:p>
    <w:p w14:paraId="1FE28EC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中共和田地区委员会政策研究室资金管理办法》《中共和田地区委员会政策研究室专项资金管理办法》，资金的拨付有完整的审批程序和手续，资金实际使用方向与预算批复用途一致，不存在截留、挤占、挪用、虚列支出的情况。</w:t>
      </w:r>
    </w:p>
    <w:p w14:paraId="47A9B05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7CCA431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2.组织实施情况分析</w:t>
      </w:r>
    </w:p>
    <w:p w14:paraId="1D02E97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（1）管理制度健全性</w:t>
      </w:r>
    </w:p>
    <w:p w14:paraId="7ED8211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中共和田地区委员会政策研究室资金管理办法》《中共和田地区委员会政策研究室管理制度》《中共和田地区委员会政策研究室政府采购业务管理制度》《中共和田地区委员会政策研究室合同管理制度》，上述已建立的制度均符合行政事业单位内控管理要求，财务和业务管理制度合法、合规、完整，本项目执行符合上述制度规定。</w:t>
      </w:r>
    </w:p>
    <w:p w14:paraId="76766DF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3F9F818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（2）制度执行有效性</w:t>
      </w:r>
    </w:p>
    <w:p w14:paraId="74B8B8A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调查研究工作经费项目工作领导小组，由党组书记李胜任组长，负责项目的组织工作；宋攀峰任副组长，负责项目监督管理、验收以及资金核拨等工作。</w:t>
      </w:r>
    </w:p>
    <w:p w14:paraId="069D360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241A6018">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三</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项目产出情况</w:t>
      </w:r>
    </w:p>
    <w:p w14:paraId="4C791EE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项目产出类指标由4个二级指标和9个三级指标构成，权重分20分，实际得分19.67分。</w:t>
      </w:r>
    </w:p>
    <w:p w14:paraId="7C38735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1.数量指标完成情况分析</w:t>
      </w:r>
    </w:p>
    <w:p w14:paraId="7E8650D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“完成调研次数”指标：预期指标值为≥6次，实际完成值为6次,指标完成率为100%。</w:t>
      </w:r>
    </w:p>
    <w:p w14:paraId="4C1419D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“完成调研报告数量”指标：预期指标值为≥6篇，实际完成值为7篇,指标完成率为116.67%。</w:t>
      </w:r>
    </w:p>
    <w:p w14:paraId="695990E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“意见建议被采纳条数”指标：预期指标值为≥18条，实际完成值为18条,指标完成率为100%。</w:t>
      </w:r>
    </w:p>
    <w:p w14:paraId="57E1F05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2.质量指标完成情况分析</w:t>
      </w:r>
    </w:p>
    <w:p w14:paraId="7D994BF7">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资金支出及时率”指标：预期指标值为=100%，实际完成指标值为100%，指标完成率为100%。</w:t>
      </w:r>
    </w:p>
    <w:p w14:paraId="5507410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“调研完成率”指标：预期指标值为≤5%，实际完成指标值为5%，指标完成率为100%。</w:t>
      </w:r>
    </w:p>
    <w:p w14:paraId="4E053BE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3.时效指标完成情况分析</w:t>
      </w:r>
    </w:p>
    <w:p w14:paraId="39E1D07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“项目完成时限”指标：预期指标值为≥1年，实际完成指标值为1年，指标完成率为100%。</w:t>
      </w:r>
    </w:p>
    <w:p w14:paraId="020EB8F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4.成本指标完成情况分析</w:t>
      </w:r>
    </w:p>
    <w:p w14:paraId="158A23C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“调研人员经费和办公经费”指标：预期指标值为≤2.68万元，实际完成指标值为2.68万元，指标完成率为100%。</w:t>
      </w:r>
    </w:p>
    <w:p w14:paraId="45264EC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“调研车辆保障费”指标：预期指标值为≤3万元，实际完成指标值为3万元，指标完成率为100%。</w:t>
      </w:r>
    </w:p>
    <w:p w14:paraId="2FDE6EF9">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“培训费”指标：预期指标值为≤1.32万元，实际完成指标值为1.32万元，指标完成率为100%。</w:t>
      </w:r>
    </w:p>
    <w:p w14:paraId="65366F75">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四</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项目效益情况</w:t>
      </w:r>
    </w:p>
    <w:p w14:paraId="07B67A7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p>
    <w:p w14:paraId="67F094A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1.经济效益完成情况分析</w:t>
      </w:r>
    </w:p>
    <w:p w14:paraId="3CED9DC3">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0D1049F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2.社会效益完成情况分析</w:t>
      </w:r>
    </w:p>
    <w:p w14:paraId="4D91260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“提高政研室调查研究工作效率”指标：预期指标值为显著提高，实际完成指标值为基本达成目标，指标完成率为100%。</w:t>
      </w:r>
    </w:p>
    <w:p w14:paraId="6EC0B87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3.生态效益完成情况分析</w:t>
      </w:r>
    </w:p>
    <w:p w14:paraId="579AD30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66BB385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4.可持续影响完成情况分析</w:t>
      </w:r>
    </w:p>
    <w:p w14:paraId="3A42D0B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32BA1F1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5.满意度指标完成情况分析</w:t>
      </w:r>
    </w:p>
    <w:p w14:paraId="799B2B9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“公众对部门履职效果满意度”指标：预期指标值为≥95%，实际完成指标值为100%，指标完成率为100%。</w:t>
      </w:r>
    </w:p>
    <w:p w14:paraId="2908D11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51AFD4C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本项目年初预算资金总额为7万元，全年预算数为70万元，全年执行数为7万元，预算执行率为100%。</w:t>
      </w:r>
    </w:p>
    <w:p w14:paraId="729FCDB1">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本项目共设置三级指标数量11个，满分指标数量10个，扣分指标数量1个，经分析计算所有三级指标完成率得出，本项目总体完成率为101.52%。</w:t>
      </w:r>
    </w:p>
    <w:p w14:paraId="5FC0C85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综上所述本项目预算执行率与总体完成率之间的偏差为1.52%。</w:t>
      </w:r>
    </w:p>
    <w:p w14:paraId="3216938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663F0CC6">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（一）主要经验及做法</w:t>
      </w:r>
    </w:p>
    <w:p w14:paraId="41770854">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0648764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7C4AE30E">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本年度，我单位认真贯彻落实科学发展观，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5CEE2D08">
      <w:pPr>
        <w:keepNext w:val="0"/>
        <w:keepLines w:val="0"/>
        <w:pageBreakBefore w:val="0"/>
        <w:widowControl w:val="0"/>
        <w:kinsoku/>
        <w:wordWrap/>
        <w:overflowPunct/>
        <w:topLinePunct w:val="0"/>
        <w:autoSpaceDE/>
        <w:autoSpaceDN/>
        <w:bidi w:val="0"/>
        <w:adjustRightInd/>
        <w:snapToGrid/>
        <w:spacing w:line="600" w:lineRule="exact"/>
        <w:ind w:left="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（二）存在的问题及原因分析</w:t>
      </w:r>
    </w:p>
    <w:p w14:paraId="135BF0DF">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部门沟通协调不足，监督责任不明确。进一步加强绩效管理工作管理，具体实施时对绩效目标的设定不够细化和准确；对绩效执行时，须进一步加强协作及沟通；对绩效管理认识理解不够，缺乏系统全面的理论认识及培训，绩效管理及监控意识有待加强。</w:t>
      </w:r>
    </w:p>
    <w:p w14:paraId="6809F21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资金监督和管理需进一步完善。绩效考评没有严格的法规作为依据，领导重视程度不均衡，自行其是、各显其能的情况就难以避免。会出现过度量化、短期评价、急于求成的考评现象，长期下去，必然损害整个组织的绩效。</w:t>
      </w:r>
    </w:p>
    <w:p w14:paraId="5A88524B">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3.对绩效评价的认识不够深入，把预算绩效简单等同于工作目标、工作考核和业务管理；虽成立了绩效评价小组，可是作用发挥有待进一步提升；绩效目标和指标往往根据完成情况制定，对活动执行过程有效约束不够，存在一定的偏差；资金计划安排有待进一步提高；文化交流类项目包含子项目活动较多，项目进度不一，资金申请支付等流程不能够及时有效。</w:t>
      </w:r>
    </w:p>
    <w:p w14:paraId="092E4AE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29BB9E7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（一）建立健全项目资金管理制度，严格按照管理制度规范项目资金支付手续，严把资金拨入、审核、支付等关卡。</w:t>
      </w:r>
    </w:p>
    <w:p w14:paraId="31C232E2">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（二）进一步强化预算管理意识，项目决策规划要准备充分，用规范、机制和制度全方位、全过程检查监督项目资金的运行，确保项目资金有效使用，项目得以顺利实施。</w:t>
      </w:r>
    </w:p>
    <w:p w14:paraId="0F66FC7A">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（三）在实施项目决策的过程中，要制定详细的管理程序，明确各阶段的目标和职责，使得目标控制贯穿于项目建设的全过程，从而落实相关项目决策实施。</w:t>
      </w:r>
    </w:p>
    <w:p w14:paraId="0C277DFC">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16E9730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0AF656A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697715D6">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p>
    <w:p w14:paraId="0CE68DC0">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715972D">
      <w:pPr>
        <w:keepNext w:val="0"/>
        <w:keepLines w:val="0"/>
        <w:pageBreakBefore w:val="0"/>
        <w:widowControl w:val="0"/>
        <w:kinsoku/>
        <w:wordWrap/>
        <w:overflowPunct/>
        <w:topLinePunct w:val="0"/>
        <w:autoSpaceDE/>
        <w:autoSpaceDN/>
        <w:bidi w:val="0"/>
        <w:adjustRightInd/>
        <w:snapToGrid/>
        <w:spacing w:line="600" w:lineRule="exact"/>
        <w:ind w:left="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8A005E9">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9"/>
          <w:rFonts w:hint="eastAsia" w:ascii="仿宋_GB2312" w:hAnsi="仿宋_GB2312" w:eastAsia="仿宋_GB2312" w:cs="仿宋_GB2312"/>
          <w:b w:val="0"/>
          <w:spacing w:val="-4"/>
          <w:sz w:val="32"/>
          <w:szCs w:val="32"/>
        </w:rPr>
      </w:pPr>
    </w:p>
    <w:sectPr>
      <w:footerReference r:id="rId4" w:type="default"/>
      <w:pgSz w:w="11906" w:h="16838"/>
      <w:pgMar w:top="1440" w:right="1558" w:bottom="1440" w:left="175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28A7E">
    <w:pPr>
      <w:pStyle w:val="12"/>
      <w:jc w:val="center"/>
    </w:pPr>
  </w:p>
  <w:p w14:paraId="70819743">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67CC2">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22003363"/>
                            <w:docPartObj>
                              <w:docPartGallery w:val="autotext"/>
                            </w:docPartObj>
                          </w:sdtPr>
                          <w:sdtContent>
                            <w:p w14:paraId="36268176">
                              <w:pPr>
                                <w:pStyle w:val="12"/>
                                <w:jc w:val="cente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PAGE   \* MERGEFORMAT</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sdtContent>
                        </w:sdt>
                        <w:p w14:paraId="0ACB8405"/>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422003363"/>
                      <w:docPartObj>
                        <w:docPartGallery w:val="autotext"/>
                      </w:docPartObj>
                    </w:sdtPr>
                    <w:sdtContent>
                      <w:p w14:paraId="36268176">
                        <w:pPr>
                          <w:pStyle w:val="12"/>
                          <w:jc w:val="cente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PAGE   \* MERGEFORMAT</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sdtContent>
                  </w:sdt>
                  <w:p w14:paraId="0ACB8405"/>
                </w:txbxContent>
              </v:textbox>
            </v:shape>
          </w:pict>
        </mc:Fallback>
      </mc:AlternateContent>
    </w:r>
  </w:p>
  <w:p w14:paraId="1697A83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C14CB"/>
    <w:rsid w:val="0D542451"/>
    <w:rsid w:val="28EE5DD2"/>
    <w:rsid w:val="39512016"/>
    <w:rsid w:val="E7EF991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xmlns="http://schemas.openxmlformats.org/officeDocument/2006/custom-properties" pid="2" name="KSOProductBuildVer" fmtid="{D5CDD505-2E9C-101B-9397-08002B2CF9AE}">
    <vt:lpwstr xmlns:vt="http://schemas.openxmlformats.org/officeDocument/2006/docPropsVTypes">2052-11.8.2.8621</vt:lpwstr>
  </property>
  <property xmlns="http://schemas.openxmlformats.org/officeDocument/2006/custom-properties" pid="3" name="ICV"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cd76aa-9f36-4e41-915a-7ab4459984cc}">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1</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2025-09-12T18:40:00Z</cp:lastPrinted>
  <dcterms:modified xsi:type="dcterms:W3CDTF">2025-10-24T15:28:05Z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