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w w:val="100"/>
          <w:sz w:val="44"/>
          <w:szCs w:val="44"/>
          <w:highlight w:val="none"/>
          <w:lang w:val="en-US" w:eastAsia="zh-CN"/>
        </w:rPr>
      </w:pPr>
      <w:r>
        <w:rPr>
          <w:rFonts w:hint="default" w:ascii="Times New Roman" w:hAnsi="Times New Roman" w:eastAsia="方正小标宋简体" w:cs="Times New Roman"/>
          <w:w w:val="100"/>
          <w:sz w:val="44"/>
          <w:szCs w:val="44"/>
          <w:highlight w:val="none"/>
          <w:lang w:val="en-US" w:eastAsia="zh-CN"/>
        </w:rPr>
        <w:t>和田地区体育发展“十五五”规划</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方正小标宋简体" w:cs="Times New Roman"/>
          <w:w w:val="100"/>
          <w:sz w:val="44"/>
          <w:szCs w:val="44"/>
          <w:highlight w:val="none"/>
          <w:lang w:val="en-US" w:eastAsia="zh-CN"/>
        </w:rPr>
        <w:t>（2026—2030年）</w:t>
      </w:r>
      <w:r>
        <w:rPr>
          <w:rFonts w:hint="eastAsia" w:ascii="方正小标宋简体" w:hAnsi="方正小标宋简体" w:eastAsia="方正小标宋简体" w:cs="方正小标宋简体"/>
          <w:sz w:val="44"/>
          <w:szCs w:val="44"/>
          <w:highlight w:val="none"/>
          <w:lang w:eastAsia="zh-CN"/>
        </w:rPr>
        <w:t>（公开征求意见稿）</w:t>
      </w:r>
    </w:p>
    <w:p>
      <w:pPr>
        <w:pStyle w:val="2"/>
        <w:rPr>
          <w:rFonts w:hint="default"/>
          <w:highlight w:val="none"/>
          <w:lang w:val="en-US" w:eastAsia="zh-CN"/>
        </w:rPr>
      </w:pPr>
    </w:p>
    <w:p>
      <w:pPr>
        <w:pStyle w:val="21"/>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“十四五”期间</w:t>
      </w:r>
      <w:r>
        <w:rPr>
          <w:rFonts w:hint="eastAsia" w:ascii="Times New Roman" w:hAnsi="Times New Roman" w:cs="Times New Roman"/>
          <w:highlight w:val="none"/>
          <w:lang w:val="en-US" w:eastAsia="zh-CN"/>
        </w:rPr>
        <w:t>和田</w:t>
      </w:r>
      <w:r>
        <w:rPr>
          <w:rFonts w:hint="default" w:ascii="Times New Roman" w:hAnsi="Times New Roman" w:cs="Times New Roman"/>
          <w:highlight w:val="none"/>
          <w:lang w:val="en-US" w:eastAsia="zh-CN"/>
        </w:rPr>
        <w:t>地区体育发展取得显著成就</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全民健身取得惠民新成效</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秉持以人民为中心的发展理念，提高体育公共服务和产品供给的质量。到2024年为止，和田地区体育场地总面积达到485.66万平方米，人均体育场地面积为2.02平方米，民众健身的便捷性得到提升。按照“参与度+覆盖面+可持续+有创新”的过程标准，广泛开展“和美杯”乡村篮球联赛、“京津皖和杯”农牧民篮球、</w:t>
      </w:r>
      <w:r>
        <w:rPr>
          <w:rFonts w:hint="eastAsia" w:ascii="Times New Roman" w:hAnsi="Times New Roman" w:eastAsia="仿宋_GB2312" w:cs="Times New Roman"/>
          <w:color w:val="auto"/>
          <w:spacing w:val="0"/>
          <w:kern w:val="2"/>
          <w:position w:val="0"/>
          <w:sz w:val="32"/>
          <w:szCs w:val="24"/>
          <w:highlight w:val="none"/>
          <w:shd w:val="clear" w:fill="auto"/>
          <w:lang w:val="en" w:eastAsia="zh-CN" w:bidi="ar-SA"/>
        </w:rPr>
        <w:t>“石榴籽一家亲”</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等系列群众体育赛事活动，营造全民健身良好氛围。据统计显示，从2023年开始，和田地区连续两年开展群众体育赛事活动位于全疆第一。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竞技体育彰显地区新风貌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体育健儿奋力拼搏，赛事成绩斐然。截至2024年底，在自治区及以上级别赛事中，共摘得金牌31枚、银牌35枚、铜牌52枚。其中，在自治区第十届少数民族传统体育运动会上荣获2个一等奖、24个二等奖、14个三等奖，奖牌总数位列全疆第5名；在自治区第十四届运动会取得金牌6枚、铜牌12枚，位居全疆第15名；在自治区第一届冬季运动会获得金牌1枚、铜牌2枚，排名全疆第12名；在自治区第二届冬季运动会夺得金牌11枚、银牌16枚、铜牌10枚，位列全疆第4名，实现参赛成绩的历史性突破，展现和田体育健儿的优秀精神风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体育产业成为经济新引擎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体育产业不断发展，推动区域经济高质量前行。体育产业主体规模持续扩大，2021-2024年地区体育产业法人单位由160个增长至184个，年均增长率约为4.8%。大型品牌赛事的影响力日益提升，赛事经济带动旅游消费，中国环塔（国际）拉力赛对旅游收入的拉动成效显著。冰雪产业加速发展，和田县昆仑山七星滑雪场、洛浦县丝路冰雪游乐场、墨玉县舞伊纳克滑雪场构建综合性旅游场地，促使“冷资源”变为“热经济”。体育培训、体育场馆运营、体育用品销售等产业稳定发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体育文化展现时代新活力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将坚定文化自信与弘扬中华体育精神相融合，用体育文化传承中华优秀传统，铸牢中华民族共同体意识。持续开展“京和杯”农牧民篮球赛、青少年足球赛以及“石榴籽杯”群众三大球联赛，在中国环塔（国际）拉力赛、环塔摩旅骑行赛期间举办民族团结活动，积极推广麦热球、民族式摔跤等传统体育项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体育援疆开创发展新局面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体育援疆迈向全方位、多层次、宽领域的合作新阶段。加强体育交流，截至2024年，已成功举办9届“京和杯”农牧民篮球赛、8届青少年足球赛，多次组织“京和杯”冠军队伍前往北京交流，并常态化开展“足球小巴郎”活动，选派青少年到天津学习。推动体育设施建设，天津市全额援建和田策勒县第一小学的400米标准化田径场地与国际标准11人制足球场，优化了足球训练环境。北京援疆干部人才和田市工作队启动“心安助农·乡村多功能足球场项目”，在伊里其乡依盖尔其小学建成5人制足球场，弥补了乡村体育场地的不足。</w:t>
      </w:r>
    </w:p>
    <w:p>
      <w:pPr>
        <w:pStyle w:val="21"/>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机遇与挑战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和田体育发展借助国家政策红利获得机遇，同时需应对多领域现实难题。从机遇来看，国家对民族工作的高度关注，为和田挖掘与传承少数民族传统体育项目、促成民俗体育和公共服务融合给予政策助力。乡村振兴战略的深度推进，促使体育基础设施向农牧区及偏远乡镇扩展，弥补农村体育服务的不足。全民健身国家战略的不断深入，带动公共体育服务资源下移，为和田拓宽健身服务范围、营造群众健身风尚提供了可能。体育产业作为国家重点发展的幸福产业，为和田探索“体育+文旅”“体育+农特产品”等融合模式、激发本地体育消费活力给予发展空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从挑战来说，在全民健身方面，体育设施总量不够且对偏远乡镇、农牧区覆盖有限，面向老年人、妇女等群体的个性化健身服务短缺，社会体育指导员的数量与专业水平难以符合需求。在竞技体育方面，专业教练员与运动员储备不足，仅在少数民族传统项目上稍有优势，系统化训练体系还未构建，在全疆赛事中的竞争力不强。在体育产业方面，市场规模小、产业链短，体育用品销售、赛事运营等业态发展不充分，居民体育消费意愿与能力有待提高。在体育文化方面，民俗体育资源挖掘不深，缺乏系统整理与传承，品牌化包装与市场化开发程度低。在援疆协作方面，援疆带来的体育资源与和田本地实际需求契合度不高，资源落地后缺乏可持续运营机制，难以完全发挥长期作用。</w:t>
      </w:r>
    </w:p>
    <w:p>
      <w:pPr>
        <w:pStyle w:val="21"/>
        <w:bidi w:val="0"/>
        <w:rPr>
          <w:rFonts w:hint="default" w:ascii="Times New Roman" w:hAnsi="Times New Roman" w:cs="Times New Roman"/>
          <w:highlight w:val="none"/>
          <w:shd w:val="clear"/>
          <w:lang w:val="en-US" w:eastAsia="zh-CN"/>
        </w:rPr>
      </w:pPr>
      <w:r>
        <w:rPr>
          <w:rFonts w:hint="default" w:ascii="Times New Roman" w:hAnsi="Times New Roman" w:cs="Times New Roman"/>
          <w:highlight w:val="none"/>
          <w:shd w:val="clear"/>
          <w:lang w:val="en-US" w:eastAsia="zh-CN"/>
        </w:rPr>
        <w:t>总体要求和发展目标</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指导思想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以习近平新时代中国特色社会主义思想为指导，全面贯彻党的二十大及二十届二中、三中全会精神，全面贯彻习近平总书记关于体育工作的重要论述与对新疆工作的重要指示精神，完整准确全面贯彻新时代党的治疆方略，紧紧围绕社会稳定和长治久安总目标，锚定国家体育强国、自治区体育强区建设部署要求，结合地区社会经济发展实际，立足区域民族文化特色及乡村振兴、新型城镇化发展需求，以铸牢中华民族共同体意识为主线、满足各族群众日益增长的体育需求为根本，着力推动群众体育普惠化、竞技体育特色化、体育产业融合化、体育文化品牌化发展，加快构建具有和田特色的现代体育发展体系，充分发挥体育在促进民族团结、改善民生福祉、赋能经济发展、传承优秀文化中的重要作用，为和田地区高质量发展、谱写中国式现代化和田篇章注入强劲体育动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1.铸牢主线，交融共进：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将铸牢中华民族共同体意识贯穿体育工作各环节，以体育活动为载体搭建各民族交往交流交融平台，强化“五个认同”，助力营造团结奋斗、繁荣发展的社会氛围。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2.民生为本，普惠均等：</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聚焦各族群众体育健康需求，强化政府公共体育服务职责，推动体育资源向基层、乡村倾斜，优化城乡体育设施布局与服务供给，提升公共体育服务均等化水平，助力健康和田建设。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3.创新驱动，开放协同：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深化体育管理体制与运行机制改革，统筹政府引导与市场作用，推动体育资源向社会开放。融入全疆及全国体育发展格局，加强跨区域合作，引入先进经验与资源，激活体育发展活力。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4.特色引领，融合赋能：</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立足和田自然资源与文化底蕴，挖掘少数民族传统体育、体育非遗等特色资源，构建“体育+文旅+农业+康养”融合发展模式，延伸产业链条，培育特色体育品牌，以体育赋能区域经济社会发展。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5.安全绿色，可持续发展：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坚持科学规划、因地制宜，严守安全底线，推动体育设施建设与运营的绿色低碳转型。结合乡村振兴战略培育乡村体育文化、发展乡村体育产业，为新型城镇化建设注入长效体育动能。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（三）发展目标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截至2030年，初步建成体育强区目标，建立体育强区的指标体系。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建成自治区体育助力乡村振兴示范区。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建成自治区少数民族传统体育示范区。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建成自治区“文体旅商展”融合发展示范区。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建成自治区体育非遗示范区。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建成自治区体育援疆示范区。</w:t>
      </w:r>
    </w:p>
    <w:p>
      <w:pPr>
        <w:pStyle w:val="21"/>
        <w:bidi w:val="0"/>
        <w:rPr>
          <w:rFonts w:hint="default" w:ascii="Times New Roman" w:hAnsi="Times New Roman" w:cs="Times New Roman"/>
          <w:highlight w:val="none"/>
          <w:shd w:val="clear"/>
          <w:lang w:val="en-US" w:eastAsia="zh-CN"/>
        </w:rPr>
      </w:pPr>
      <w:r>
        <w:rPr>
          <w:rFonts w:hint="default" w:ascii="Times New Roman" w:hAnsi="Times New Roman" w:cs="Times New Roman"/>
          <w:highlight w:val="none"/>
          <w:shd w:val="clear"/>
          <w:lang w:val="en-US" w:eastAsia="zh-CN"/>
        </w:rPr>
        <w:t>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（一）</w:t>
      </w: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坚持以人民为中心，打造人人参与、人人受益的活力区域</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加快</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全民健身公共服务体系建设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动城乡全民健身公共服务资源均衡分布，全面贯彻国家全民健身基本公共服务标准，以县域为单位推动城乡互动发展，优化区域功能布局。结合实际完善乡村服务网络，推进村（社区）运动场地及设施提升改造项目，稳步推进各县（市）新时代乡村体育“四有”工程，确保乡村具备健身场地、健身组织、赛事活动、健身指导。深化体育与卫生健康部门协同，优化运动健康服务，支持和田市积极试点、推广运动处方，构建“测、评、导、练”一体化服务闭环，建立数字化个人运动健康档案。推动支持将运动促进健康项目纳入居民健康管理内容，推动国民体质监测指标纳入居民健康体检常规内容。强化乡村体育科普工作，建立运动促进健康宣传教育体系，丰富乡村公共宣传栏、广播等载体的体育内容，推广主动健康理念，开展贴近群众的运动促进健康主题宣讲，营造“会健身”“常健身”“爱健身”的社会氛围。积极推进政府购买全民健身公共服务，鼓励社会力量参与体育设施运营和活动组织，提升服务供给效率。</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实施</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全民健身场地设施提升行动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建设</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完善全民健身场地设施。</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和田市“城区十五分钟健身圈”建设，在社区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建设配置适老化健身器材的多功能健身场地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增加青少年适龄化器材，推动地区场馆服务中心、和田市体育中心升级改造，推进建设地区体育综合体，加强地区体育设施维护。</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持续推进公共体育场馆和全民健身中心向社会免费或低收费开放。支持有条件的县（市）依托全民健身中心、社区卫生服务中心开设运动健康指导门诊、慢性病运动干预门诊，推动体育场地与医疗机构合作开展运动康复服务。构建地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数字体育平台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整合场馆预约、设施报修、健身指导、社群互动等功能。结合建设宜居宜业和美乡村，加快构建县（市）、乡镇（街道）、村（社区）三级全民健身设施网络，积极争取各类资金，在各县（市）新建一批体育公园、全民健身中心、健身广场、公共体育场、健身步道、多功能体育场、各类足球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，重点推进和田县全民体育运动中心、民丰县全民健身活动中心、于田县大型室内综合体育馆、昆冈体育公园建设</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。充分利用公益平台接收体育物资捐赠。</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举办</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各族群众全民健身赛事活动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构建多层次、广覆盖、具特色的全民健身赛事活动体系，推动群众体育赛事活动品牌</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化发展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，培育“和田品牌”。持续常态化</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举办</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“和美杯”“京和杯”“石榴籽杯”、地区农牧民传统体育运动会</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系列体育活动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等赛事</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活动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创办和田体育综合大型比赛，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重点打造兼具鲜明“三农”特色、深厚传统文化底蕴、广泛社会影响力与较强可持续性的群众体育品牌赛事</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结合新春、端午、重阳等传统节日，策划社火健身、龙舟赛、登高活动等节庆体育活动。聚焦老年人、妇女、儿童、农牧民、残疾人等群体需求，开展差异化赛事活动，并引导社会力量、企事业单位开展“送体下乡”等公益行动，全面丰富各族群众健身选择。</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构建</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覆盖广泛的全民健身组织网络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加强各级各类体育组织建设，推动地区级体育协会规范化发展，健全组织架构、配齐工作人员，吸纳社会力量参与运营管理，充分发挥其在标准制定、人员培训、活动指导及行业自律中的作用。建立健全地县两级“三大球”协会，实现地、县级“三大球”协会全覆盖。夯实基层组织</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基础</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，推进乡村体育指导站</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建设</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，推动优质体育资源与服务下沉。鼓励群众自发组建健身团队，给予规范化发展指导，切实激发基层群众健身热情与体育参与内生动力，构建覆盖广泛、运行高效的全民健身组织网络。</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5.提高体育服务水平增强健康素养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支持援疆省市高校、自治区高校及研究机构在本地设立体育助力乡村振兴研究机构，开展专项研究与成果推广。拓宽全民健身知识传播渠道，依托抖音、微博、小红书等网络平台推送体育科普内容。完善社会体育指导员培训体系与工作机制，重点培育乡村社会体育指导员领军人才、体育骨干及女性指导员</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，组建运动促进健康专业服务队伍</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。开展自治区体育专业毕业生基层成长计划、体育人才下乡支教等专项活动，培育选树体育领域先进典型，增强乡村体育工作者荣誉感与责任感，全面提升体育服务效能与群众健康素养。</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针对老年人群，科学管控运动风险，增强肌肉力量，重视肌少症预防，降低跌倒风险；针对儿童青少年，加强科学健身知识普及，防控儿童青少年肥胖、近视、脊柱侧弯及心理健康等问题；针对职业人群，积极营造工作场所的运动支持性环境，引导职工积极参与运动；针对女性健康，加强全周期的运动指导，提升女性的身心健康水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（二）</w:t>
      </w: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创新竞技体育模式，</w:t>
      </w: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增强</w:t>
      </w: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为地区争光的综合实力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创建</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多元合作队伍</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建设</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调整竞技队伍培育布局，强化地区级业余体校建设，促使各县（市）达成业余体校全覆盖并依照标准配全专业教练员，稳固基层人才培养基地，彰显业余体校核心功能。携手传统体育特色学校、青少年体育俱乐部共同组建队伍，打造“业余体校+特色学校+青少年体育俱乐部”协作模式，确定各方在队伍构建、日常训练、赛事参与、市场开发中的权利与责任，明确划分管理职责、经费投入、成果所属，保证业余体校主导人才挑选与基础训练、特色学校进行课余训练、俱乐部接纳社会力量参加赛事运作，创建分工清晰、权责相等的竞技队伍组建与管理机制</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改善</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竞技体育项目布局体系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竞技体育项目层次化、特色化发展，打造地区竞技体育项目“333”布局体系，即确定排球、拳击、摔跤为优势发展项目，足球、篮球、跆拳道为重点发展项目，击剑、轮滑、电子竞技为扶持发展项目。对于优势发展项目，借助地区业余体校构建训赛一体化培育机制，健全从青少年后备人才选拔、常态化集训到自治区级以上赛事参赛的全链条体系，推动优势项目朝着“南疆标杆、自治区领先”方向迈进。对于重点发展项目，以县（市）业余体校、特色学校建设为切入点，配足教练员，通过举办地区级联赛、开展跨县（市）交流集训扩大项目参与范围与人才储备量，逐渐提高重点项目竞技水平。对于扶持发展项目，制定专门培育方案，建立青少年人才培养基地，每年依据参赛成绩、人才储备、群众参与度调节资源投入比例，确保“333”布局体系有效实施，为地区竞技体育高质量发展奠定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健全</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竞技体育人才培养机制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创建科学规范的后备人才选拔培养体系，设立多渠道、多元化运动员选拔、培养与输送机制。强化与援疆省市对接，凭借援疆资金保障各县市青训中心正常运转，深入合作新建3家以上专业青训中心。完善小学、初中、高中“一条龙”升学保障机制，通过学校特招吸收体育特长生，容许初中生随校队在市域内成建制流动，支持高中生保留学籍进入职业俱乐部梯队训练。激励和田学院围绕排球、拳击等9个竞技项目设置体育教育、运动训练相关专业方向及匹配课程，达成专业与项目需求精准对接，着重培育裁判员、教练员队伍，巩固本土竞技体育人才根基。</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4</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促进</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青少年体育人才库建设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构建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和田地区数字化青少年体育人才数据库，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涵盖</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全地区所有竞技体育项目及广大青少年群体，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达成</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人才选拔、注册、培养、输送全流程数字化管理。</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创建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年度常态化选材机制，通过基层推荐、赛事选拔等多渠道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录入</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青少年人才信息，并实行动态更新机制。</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数据库与自治区体育局各训练大队选材系统互联互通，打通人才向上输送通道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。充分运用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援疆机制，与援疆省市共享数字化训练资源，选派库内优秀苗子</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参加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跨区域集训和高水平竞赛，全面提升青少年体育人才培养质量与输送效率。</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（三）激发体育产业活力，构建现代体育产业体系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打造</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现代化体育产业体系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加速形成以竞赛表演产业、户外运动产业、冰雪产业、体育装备制造业、运动促进健康产业为引领的现代体育产业体系，创建契合南疆发展的特色产业布局。竞赛表演业着重提升赛事品质，借助举办中国环塔国际拉力赛，在本地设置赛事大本营与正式赛段。户外运动产业深挖资源特色，依托本地自然优势，重点建设昆仑山山地户外运动目的地与塔克拉玛干沙漠户外运动基地两大核心载体，发展沙漠越野、徒步探险等特色项目，完善沿线服务设施配套，推动“户外+旅游”深度融合。冰雪产业强化“设施—活动”互动，有序开展冰雪场地建设，促使冰雪运动“进景区、进街区、进商圈”，举办群众喜爱的冰雪赛事，挖掘冬季体育消费潜力。体育装备制造业专注产业转型，推动北京和田工业园区涉足体育装备制造领域，培育产业新增长点，构建具备竞争力且富有和田特色的现代体育产业体系。运动促进健康产业与教育、医疗等业态融合发展，打造多元业态复合型服务场景，合理规划运动促进健康服务机构建设，在和田地区试点建设运动促进健康中心，鼓励医疗机构开设运动健康指导、运动干预、科学健身等特色门诊，逐步将运动促进健康产业打造为体育产业新亮点、经济发展新动力、提振消费新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健全</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体育产业核心要素保障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把</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体育产业用地纳入和田地区城乡规划、土地利用总体规划，在新区建设</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县域开发中预留体育公园、健身广场及户外运动配套设施用地，优先</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确保</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昆仑山山地户外运动目的地、塔克拉玛干沙漠户外运动基地等重点项目用地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设立地区体育产业发展专项资金，对洛浦县、墨玉县的“体育+旅游”“体育+文化”融合项目给予补贴，</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金融机构推出“体育产业专项贷款”，简化审批流程，为户外赛事运营、体育场馆建设等企业解决资金</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难题。</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联合和田学院开设体育运营、户外指导相关专业，</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定向培育</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本地专业人才，引进疆内外体育产业运营团队，为产业发展提供人才</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支持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构建</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多元化体育消费场景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结合和田自然资源与民族特色，在墨玉县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沙漠越野营地、徒步探险驿站，配套设置特色餐饮区与民俗体验区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融入当地桑皮纸非遗文化展示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于田县、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皮山县规划健身休闲绿道与登山步道，打造“古驿道+徒步研学”基地。在洛浦县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创建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兼具</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沙漠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田园风光与乡土风情的体育特色村庄，建设亲子户外乐园、老年健身广场、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户外运动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基地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在策勒县山区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建造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露营基地，推出“草原骑行+民族歌舞展演”组合消费场景，形成覆盖全年龄段、融合自然景观与少数民族文化的多元化体育消费体系，满足不同群体户外休闲需求。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4.推动体育市场主体培育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强化地区体育协会</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主体功能</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，依托协会开展教练员、裁判员及社会体育指导员培训，提升本</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体育专业人才储备，</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协会承接农牧民运动会、少数民族传统体育赛事等活动，承担区域内赛事运</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营的</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核心职能。优化体育场馆运营模式，对各县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市</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体育场馆进行市场化改造，引入专业团队提供场地租赁、体育培训、赛事承办等多元化服务，激活场馆运营活力。在和田大巴扎、县域商贸中心设立体育用品专区，重点推广传统体育器材与户外健身装备，培育本</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体育用品销售主体。对接援疆省市资源，设立体育产业孵化基地，吸引援疆体育企业入驻，孵化本</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中小微体育企业，逐步构建“协会引领、场馆支撑、企业协同、援疆助力”的体育市场主体培育体系。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5.促进体育彩票业规范健康发展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凸显</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彩票公益性，将体彩公益金重点用于支持本地体育设施建设、群众体育活动开展及社会公益事业。扩大体彩销售网点覆盖，在商圈、周末集市、乡村集市增设临时销售点，结合大型体育赛事、节庆活动投放即时开奖型彩票，鼓励社会力量参与销售服务，提升群众购买便利性。开展销售网点标准化建设，组织销售人员培训，强化专业知识、服务礼仪与诚信意识。联合公安、市场监管部门开展专项行动，严厉打击“私彩”“黑彩”等违法违规行为，维护体彩市场秩序，统筹推进体彩销售稳增长与风险防控，实现规范健康发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（四）深化体教融合推进，加强体育人才基础保障支撑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强化</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青少年体育素养培育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广校园“体卫教”融合干预机制，为地区青少年设立学期体质健康测试机制，重点关注视力、脊柱形态等指标，为学生建立动态健康档案。每年安排专家前往学校开展近视、脊柱侧弯专项筛查与干预工作。根据学校实际情况，配备含坐姿矫正器、视力保护指南的健康包，利用当地光照充足的优势，指导开展户外远眺护眼活动。通过校园广播普及健康知识，依托麦西来甫健身操、沙坑趣味运动等本地特色项目设计体育课程，严格执行每天1小时校内运动要求，确保青少年掌握2项实用运动技能，打造适配地域特点的健康保障体系。</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2.构建青少年体育赛事体系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联合教育部门制定青少年体育赛事体系建设规划，以“双减”课外活动</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为主要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载体，重点设置三大球、乒乓球、羽毛球等普及性项目，融入麦西来甫健身操、押</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伽</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、民族式摔跤等本地传统体育内容，</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形成</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主流项目+民族特色”的赛事矩阵。规划搭建“班—校—县—地”四级赛事网络，以班级周赛为基础、校级月赛为选拔、县级学期赛为整合、地区年度总决赛为标杆，实现“周周有比赛、层层有选拔”。将赛事与课后服务</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相结合</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，指导学校组建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相关</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兴趣小组</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丰富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课后内容，并强化赛事安全管理，赛前排查场地隐患、宣讲安全规则，赛中配备医护人员与应急物资，全面保障赛事有序</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进行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夯实</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青少年体育人才培养阵地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构建“学校+俱乐部+业余体校”三位一体青少年体育人才培养阵地体系。以学校为主阵地，积极鼓励校社合作，推动学校与青少年体育俱乐部深度联动，补充课余体育资源</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扩大俱乐部覆盖面、推进“一地一体校”建设，拓宽人才发掘与专业训练路径。按阵地需求配足配齐体育教师、教练员及裁判员，通过专业培训提升队伍能力，建立“学校选拔—俱乐部培育—业余体校提升”衔接机制，夯实人才培养根基，推动阵地建设规范化、专业化。</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培养</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青少年体育精神品质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坚持以“立德树人”为根本目标，以体育活动为载体，将奥林匹克精神与中华体育坚韧拼搏、团结协作的品格融入日常教学、训练及赛事，通过主题宣讲、竞技实践深化青少年精神认知</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结合冰雪运动推广，开展冰雪体验课、趣味赛等活动，让青少年感受冰雪文化魅力，培育不畏挑战的意志</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并依托校园体育、俱乐部活动及业余体校训练建立“以赛育人”机制，在赛事交流中强化规则意识、抗挫折能力与集体荣誉感，全方位</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培养</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青少年德智体美劳全面发展的体育精神品质，为成长注入精神力量。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（五）加速推进赛事经济，全力塑造和田赛事之城品牌</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1.完善赛事政策体系构建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全面梳理地区内竞技体育与群众体育资源，创建“和田地区重点体育赛事名录库”，实施分级分类动态化管理，打造多层次赛事体系，以竞技赛事为引领、群众赛事促普及、特色赛事添光彩。完善赛事发展扶持机制，整合各级财政资金成立“和田地区赛事专项资金”，针对纳入名录库的赛事，在场地保障、宣传推广、人才补贴等方面提供精准支持。优化赛事审批服务，简化群众及特色赛事备案流程，降低社会力量参与门槛，激励企业和社会组织参与赛事运营，形成“政府主导、市场运作、社会参与”的赛事发展新格局，筑牢和田赛事之城的政策根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重点打造十大标志性赛事</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中国环塔（国际）拉力赛（和田赛区）、和田马拉松、石榴籽杯三大球联赛、和田热雪节、和田昆仑山徒步赛、和田春节社火健身大赛、和田龙舟赛、和田重阳登高大会，构建特色多元的地区赛事体系。</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2.激发体育赛事消费新动能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积极推进摔跤、赛马、叼羊、斗鸡、斗狗等民俗赛事产业链，协同推进赛事门票销售体系、商业赞助资源以及赛事衍生品开发运营建设，完善赛事经济业态布局，提高赛事综合效益。推行赛事精准消费激励政策，激发参赛群体消费潜力，在全民健身赛事中融合多种业态，设置特色农产品展销专区，带动农民增收，助力乡村振兴。实行“赛事票证消费优惠”机制，参赛选手与观众凭当日赛事门票或电子凭证可在合作商圈、餐饮、酒店、景区享受专属优惠或增值服务。发行“和田赛事消费册”，聚合线上线下商户资源，通过打卡集章、消费满减、抽奖兑换等方式增强消费黏性。开设“赛事主题夜间市集”，结合文艺表演与互动体验，进一步激活夜间经济，为区域经济发展注入新动力。</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3.发挥赛事引流带动效应</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做</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好</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“赛事+”融合文章，</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赛事与文化、商务、旅游等领域深度</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融合</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，在赛事举办地周边</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设立</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特色农产品、体育文创展销区，开发“和田礼物”系列赛事衍生商品，发展赛事装备租赁、销售及相关配套产业，吸引参赛人员、观众、服务人员参与观光消费，带动乡村特产销售、民宿餐饮、休闲旅游等产业协同发展。做深“+赛事”场景赋能，</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推动</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赛事深度融入相关业态，</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“体育赛事进景区、进街区、进商圈”，</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借助</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赛事流量激活消费市场，助力本地经济发展，并以赛事为契机强化品牌与素养建设，开展“文明和田”相关活动，进一步提升城市形象与市民文明素养。</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4.创新赛事宣传推广方式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highlight w:val="none"/>
          <w:lang w:val="en-US" w:eastAsia="zh-CN"/>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用好“和田是个好地方”“体育昆仑”等宣传账号。</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构建“线上+线下”立体化赛事宣传矩阵，一方面</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借助</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主流媒体，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充分利用网络</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直播、短视频等平台传播体育正能量、</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展示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美丽和田新风貌，在抖音、快手、小红书等平台打造和田赛事新媒体矩阵，开设“乡村体育达人”“和田赛事直击”专栏，直播村排、村超、村BA等群众赛事，并邀请体育明星、网络达人参与宣传</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另一方面在赛事场馆设置融合和田自然风光、民俗文化与赛事元素的体育文化宣传牌，打造和田体育文化展示长廊。</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（六）充分开发自然资源，打造高品质户外运动目的地</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1.加强自然资源开发利用与保护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基于和田“北沙南山”生态格局，对接生态保护红线与国土空间总体规划，制定户外运动相关的自然资源保护开发专项规划。构建重点区域生态监测体系，按季度实施生态评估，动态调整开发策略。规范沙漠徒步、玉石文化体验等运动项目的资源使用流程，将生态保护要求贯穿项目审批、建设、运营全过程，推动户外运动发展与自然资源可持续利用相互促进。</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健全</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户外运动设施体系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着重</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建设塔克拉玛干沙漠户外运动基地，推进新疆和田地区和田县决战沙海户外主题设施建设项目</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打造标准化沙漠越野赛道、徒步露营区及沙漠运动体验场</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建设昆仑山山地户外营地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慕士山登山营地，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设置</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攀岩训练场、山地徒步步道与高山露营平台，修缮山间便民步道。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完善</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和田县风景道户外运动公共服务设施</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在塔克拉玛干沙漠户外运动基地、昆仑山山地户外营地周边规划生态停车场、环保厕所与应急救援站，布设多语言指示标识及智慧定位系统</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沿线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设立</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补给驿站，提供饮水、简餐与医疗急救服务。</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设施建设全程采用环保材料，融入当地自然景观，确保场地功能与配套服务相匹配，构建“核心场地+全域配套”的户外运动设施网络。</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完善</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配套产品服务体系​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围绕塔克拉玛干沙漠户外运动基地，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沙漠越野、星空露营、徒步探险项目</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针对昆仑山山地户外营地，设计攀岩</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培训</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山地徒步、高山观星活动。引入合规机构提供沙漠防沙装备、山地徒步器材租赁服务，联合专业团队开展户外安全培训与急救教学，配备持证向导及救援人员。在户外运动基地周边布局特色餐饮点与文创商店，推出和田玉石、沙漠文化主题文创产品</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开通市区至户外目的地的直达接驳班车，构建“产品多元、服务专业、衔接便捷”的配套服务生态。</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4.</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创建“昆仑”户外</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赛事活动品牌​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重点打造</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昆仑</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古道徒步赛</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昆仑山山地越野赛</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、昆仑</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雪山滑雪锦标赛，构建“国际+国内+区域”赛事层级体系，</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力争</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每年举办国际级赛事、国内及区域级赛事，开展赛事转播与品牌推广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策划草原徒步节</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冰雪嘉年华</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露营大会等群众性活动，设置差异化组别，融入民俗文化展示与特色产业宣传，通过“专业赛事树品牌、群众活动聚人气”，形成特色鲜明、层级清晰、影响广泛的赛事活动生态。</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5.</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推进</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产业融合发展布局​</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依托地域特色，推动多产业融合。挖掘</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昆仑文化，开发昆仑秘境体验项目，打造“体育+文化”产品</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结合乡村民宿与和田玉枣、薄皮核桃等农</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产品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，发展“户外赛事+民宿”“越野活动+农</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产品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产销”模式，带动乡村旅游与农</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产品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增收</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依托山地、森林资源，建森林康养步道、林下基地，结合高海拔特点设运动康复中心，形成“户外+康养”产业链，构建特色鲜明、效益联动的产业布局，助力和田经济高质量发展</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（七）</w:t>
      </w: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加速冰雪产业发展，建设南疆冰雪运动先锋地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1.不断推进冰雪运动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大力推广大众参与的冰雪运动，实施“冰雪惠民计划”，每年开展“和田冰雪运动季”等品牌活动，吸引群众参加适合的冰雪运动。促进青少年冰雪运动发展，开展“冰雪进校园”活动，鼓励有条件的中小学校将冰雪运动纳入体育与健康课程专项内容。构建完善的冰雪项目青少年赛事体系，举办覆盖各学段的冰雪比赛和展示活动。推动冰雪项目竞赛表演产业发展，以高水准、高质量、安全有序的比赛带动冰雪经济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2.健全冰雪经济产业链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以“特色培育、链条延伸”为要点打造合适产业链。</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上游整合洛浦县、和田县现有</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的</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冰雪场地，联合文旅、农业农村开发“冰雪+民俗”“冰雪+沙漠研学”产品，挖掘艾德莱斯绸等文化元素设计体验</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路线</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促使</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本地企业与科研机构合作研发</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适合</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干旱气候的冰雪服饰装备</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中游引入专业运营团队</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创建</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标准化服务体系，联合北疆融入南疆冰雪旅游环线，</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扶持</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本</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机构开展滑雪指导员等培训</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下游举办县域冰雪嘉年华、大众挑战赛，</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拉动</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餐饮住宿消费，开发冰雪主题文创产品，</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逐步形成</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“资源开发—运营服务—消费延伸”的完整冰雪经济产业链。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3.改善基础设施与配套服务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根据实际情况</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构建差异化冰雪场地体系。</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优先改造升级现有场地，重点提高洛浦县丝路冰雪游乐场、昆仑山七星滑雪场设施水平，增加高效造雪机、专业压雪车等设备，优化雪道布局并新增初级练习道与中级雪道，完善雪具租赁、安全防护及餐饮休憩等配套，满足群众健身与初级竞技需求。实现</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县域小型场地全覆盖，在人口密集县（市），利用城市公园、闲置场地</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建设</w:t>
      </w:r>
      <w:r>
        <w:rPr>
          <w:rFonts w:hint="default"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季节性户外滑冰场与戏雪乐园，配置标准化维护设备及基础器材</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4.扩大冰雪经济经营主体规模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highlight w:val="none"/>
          <w:lang w:val="en-US" w:eastAsia="zh-CN"/>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围绕冰雪经济经营主体壮大，构建“龙头引领、本土跟进、载体支撑”格局。对接全疆冰雪产业招商体系，出台场地使用、税收优惠专项政策，</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吸引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区内外知名冰雪运营企业，参与洛浦县、和田县冰雪场地投资运营并导入标准化管理模式</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。支持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本</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地</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主体，设立冰雪产业发展专项资金，重点</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扶持</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本地文旅、装备类中小企业，引导其开发“冰雪+民俗”“冰雪+研学”产品，培育区域特色专精特新经营主体</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培育市场载体，推动成立和田冰雪产业联盟，规范冰雪运动俱乐部、培训机构发展，力争实现县域冰雪俱乐部、培训机构全覆盖。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5.</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加强</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冰雪经济要素保障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结合和田冰雪产业实际状况，强化有效保障。简化冰雪项目审批流程，优先利用现有场地资源，以租赁模式供企业使用、严格控制新增建设投入。建立常态化沟通机制，高效回应企业运营需求。合理分配专项经费，主要用于现有冰雪场地</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设备</w:t>
      </w:r>
      <w:r>
        <w:rPr>
          <w:rFonts w:hint="eastAsia" w:ascii="Times New Roman" w:hAnsi="Times New Roman" w:eastAsia="仿宋_GB2312" w:cs="Times New Roman"/>
          <w:b w:val="0"/>
          <w:bCs w:val="0"/>
          <w:color w:val="auto"/>
          <w:spacing w:val="0"/>
          <w:kern w:val="2"/>
          <w:position w:val="0"/>
          <w:sz w:val="32"/>
          <w:szCs w:val="24"/>
          <w:highlight w:val="none"/>
          <w:shd w:val="clear" w:fill="auto"/>
          <w:lang w:val="en-US" w:eastAsia="zh-CN" w:bidi="ar-SA"/>
        </w:rPr>
        <w:t>维护及简易造雪设施优化。对接本地金融机构开发合适的小额信贷产品，降低中小经营主体融资门槛。依托本地职业院校开展短期技能培训，聚焦雪场服务、安全管理等基础岗位培养实用人才，暂不引进高成本外地人才，通过“边运营边完善”逐步稳固产业发展根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（八）</w:t>
      </w: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弘扬中华体育精神，</w:t>
      </w: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铸牢中华民族共同体意识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1.</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强化</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铸牢中华民族共同体意识教育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系统开展中华民族共同体意识教育，着重加强体育院校“大思政课”建设，将其融入教学核心部分。</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在各运动队日常训练与各类体育赛事中，</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深入</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融合爱国主义与中华体育精神教育，</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深</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植家国情怀。优先推广麦热球、中华太极操、龙舟等传统体育项目，充分发挥传统体育项目的健身功效</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推动其</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常规</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纳入各级学校体育教学体系，</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达成</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文化传承与体育教育有机结合。广泛开展中华传统体育文化体验传播活动，定期组织</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开展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青少年体育夏令营、文化体验交流活动，</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增强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青少年文化认同与情感交融，</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巩固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中华民族共同体思想根基。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2</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w:t>
      </w: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注重</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体育非物质文化遗产保护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深入开展麦热球项目</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系统</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整理与研究，全面梳理其历史渊源、技艺流程及民俗内涵，通过文字记录、影像采集等方式建立专项非遗档案，实现资料妥善</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保存</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与便捷查阅。创新传承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方式</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，依托民俗活动、特色赛事推动麦热球回归乡村日常生活，激发民众参与热情，</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营造</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自发传承氛围。在墨玉县、</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于田县</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等重点区域，推进麦热球非遗工坊、传承体验中心及旅游体验基地建设，推动传统体育文化与乡村体育赛事、乡村旅游深度融合，打造特色体育旅游线路，促进文化价值转化与产业协同发展，构建传承保护与开发利用良性互动</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局面</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w:t>
      </w:r>
      <w:r>
        <w:rPr>
          <w:rFonts w:hint="default" w:ascii="Times New Roman" w:hAnsi="Times New Roman" w:eastAsia="仿宋_GB2312" w:cs="Times New Roman"/>
          <w:b/>
          <w:bCs/>
          <w:color w:val="auto"/>
          <w:spacing w:val="0"/>
          <w:kern w:val="2"/>
          <w:position w:val="0"/>
          <w:sz w:val="32"/>
          <w:szCs w:val="24"/>
          <w:highlight w:val="none"/>
          <w:shd w:val="clear" w:fill="auto"/>
          <w:lang w:val="en-US" w:eastAsia="zh-CN" w:bidi="ar-SA"/>
        </w:rPr>
        <w:t>.加强体育文化阵地建设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激励</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设传统体育展示博物馆，内设“麦热球展区”“中华太极操展区”“龙舟展区”，配套互动体验区，提供麦热球实操体验、太极操专业教学、龙舟模拟竞赛等服务，打造沉浸式体育文化体验空间。加快推进麦热球、中华太极操、龙舟运动的线上展示传播平台搭建与线下教育实践基地建设，拓宽文化传播与教学实践渠道。定期组织开展三大运动“进校园、进社区、进乡村”活动，策划举办村级麦热球联赛、中华太极操展演、龙舟竞赛等赛事活动，以多样化体育活动激发群众参与热情，强化体育文化阵地的服务功能与育人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4.推动体育文化传播推广工作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围绕麦热球、赛乃姆健身操、克里雅河龙舟赛等具有和田地域特色的体育项目，开发主题文创产品，涵盖运动装备周边、民俗文化手办等，推动体育文化具象化传播。依托本地媒体平台，搭建地区数字体育台，开设“和田体育文化”专属栏目，分设“麦热球非遗故事”“赛乃姆健身指南”板块，采用直播赛事、短视频教学等形式，扩大本土体育项目影响力。在和田玉文化旅游节、农民运动会等各类活动期间，拍摄《麦热球：和田人的田间运动》《龙舟竞渡克里雅》等纪录片，挖掘体育项目背后的民俗底蕴。利用乡镇文化栏、社区户外墙体及本地短视频账号，植入体育促民族团结宣传内容，营造全民健身与中华民族一家亲的浓厚氛围。</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43" w:leftChars="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楷体" w:cs="Times New Roman"/>
          <w:b/>
          <w:bCs/>
          <w:color w:val="auto"/>
          <w:spacing w:val="0"/>
          <w:kern w:val="2"/>
          <w:position w:val="0"/>
          <w:sz w:val="32"/>
          <w:szCs w:val="24"/>
          <w:highlight w:val="none"/>
          <w:shd w:val="clear" w:fill="auto"/>
          <w:lang w:val="en-US" w:eastAsia="zh-CN" w:bidi="ar-SA"/>
        </w:rPr>
        <w:t>（九）强化体育援疆协作，推动援疆体育文化繁荣发展</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1.健全体育援疆协同机制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制定《地区“十五五”体育援疆工作规划》，明确重点领域，建立动态管理的体育援疆项目库，为援疆工作提供方向指引和具体抓手。积极对接北京、天津、安徽等援疆省市体育部门，签署《地区体育援疆合作协议》，将合作内容分解为年度具体任务，落实各方责任。构建常态化沟通协调机制，每年召开“体育援疆工作座谈会”，聚焦合作中的难点堵点问题，及时沟通解决，确保援疆项目按计划高效推进，逐步形成权责清晰、运行顺畅、保障有力的体育援疆协同体系。</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2.推进援疆体育人才交流培养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依托“京和杯”“津和杯”“皖和杯”项目，在“三大球”、拳击、摔跤等领域开展教练员、裁判员培训与交流活动。每年选派前往援疆省市学习，并邀请援疆省市专家到地区开展培训，提升本地人才专业水平。实施“和田青少年体育援疆游学计划”，每年组织青少年赴援疆省市参加体育夏令营，开展友谊赛与文化交流，建立“援疆省市—和田”青少年体育结对关系，推动长效化交流，夯实地区体育人才基础。</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b/>
          <w:bCs/>
          <w:color w:val="auto"/>
          <w:spacing w:val="0"/>
          <w:kern w:val="2"/>
          <w:position w:val="0"/>
          <w:sz w:val="32"/>
          <w:szCs w:val="24"/>
          <w:highlight w:val="none"/>
          <w:shd w:val="clear" w:fill="auto"/>
          <w:lang w:val="en-US" w:eastAsia="zh-CN" w:bidi="ar-SA"/>
        </w:rPr>
        <w:t>3.构建援疆体育成果转化机制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highlight w:val="none"/>
          <w:shd w:val="clear"/>
          <w:lang w:val="en-US" w:eastAsia="zh-CN"/>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搭建援疆体育成果展示平台，举办“和田体育援疆成果展”，编制《和田体育援疆成果报告》，向社会公开援疆成效，扩大体育援疆</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的社会</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影响力。</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围绕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成果本土化落地，系统梳理援疆省市在先进训练方法、赛事运营模式、体育教学经验等方面的优势资源，结合和田地域</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特色</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与体育发展实际，</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进行</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适应性调整与优化，转化</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可复制、可推广的实施方案，推动援疆体育成果从“引进来”向“用得好”转变，切实将援疆资源转化为地区体育事业发展</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的</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实</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际成效</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w:t>
      </w:r>
    </w:p>
    <w:p>
      <w:pPr>
        <w:pStyle w:val="21"/>
        <w:numPr>
          <w:numId w:val="0"/>
        </w:numPr>
        <w:bidi w:val="0"/>
        <w:ind w:firstLine="640" w:firstLineChars="200"/>
        <w:rPr>
          <w:rFonts w:hint="default" w:ascii="Times New Roman" w:hAnsi="Times New Roman" w:cs="Times New Roman"/>
          <w:highlight w:val="none"/>
          <w:shd w:val="clear"/>
          <w:lang w:val="en-US" w:eastAsia="zh-CN"/>
        </w:rPr>
      </w:pPr>
      <w:r>
        <w:rPr>
          <w:rFonts w:hint="eastAsia" w:cs="Times New Roman"/>
          <w:highlight w:val="none"/>
          <w:shd w:val="clear"/>
          <w:lang w:val="en-US" w:eastAsia="zh-CN"/>
        </w:rPr>
        <w:t>五、</w:t>
      </w:r>
      <w:r>
        <w:rPr>
          <w:rFonts w:hint="default" w:ascii="Times New Roman" w:hAnsi="Times New Roman" w:cs="Times New Roman"/>
          <w:highlight w:val="none"/>
          <w:shd w:val="clear"/>
          <w:lang w:val="en-US" w:eastAsia="zh-CN"/>
        </w:rPr>
        <w:t>组织保障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（一）强化统筹协调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设立体育工作联席会议制度，完善体育部门与发改、财政、人社、教育、卫健、自然资源、农业农村、残联等部门的协同机制，明确分工、整合资源。推进“放管服”改革，促进政府体育管理职能转变，引导社会力量参与，形成“政府主导、部门协作、社会参与、多元共治”的体育治理模式。</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（二）夯实政策支撑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构建“财政+社会+援疆”多渠道资金支持体系，重点扶持全民健身、青少年体育、竞技体育薄弱环节及基础设施建设，提升资金使用效率。将基本体育公共服务经费纳入财政预算，统筹援疆资金和专项债券满足民生需求。将体育发展融入地区总体规划，健身设施建设列入国土空间规划与用地计划，优先保障用地需求。出台激励社会力量参与体育领域的政策，明确税费优惠与用地支持措施。</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（三）建强人才队伍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打造“培养+引进+激励”体育人才体系，实施“体育人才培育工程”，分层次培训基层体育教师、指导员、教练员及管理人员。深化与援疆省市合作，通过“请进来、派出去、挂职锻炼”提升本地人才能力，柔性引进紧缺专业人才。优化退役运动员安置政策，鼓励其参与基层体育服务。完善评价机制，对乡村体育贡献者在职称、待遇、项目上给予倾斜支持。</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（四）深化改革创新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pP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推动体育事业与产业融合</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发展</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，建立“政府主导+市场运作”机制，通过购买服务、委托运营引入专业机构参与场馆管理</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与</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赛事策划。</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推进体育社会组织改革，促进协会、俱乐部实体化运作，增强服务能力。</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健全市场监管体系，制定地方标准，</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强化</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事中事后监管。与援疆省市</w:t>
      </w: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共建</w:t>
      </w:r>
      <w:r>
        <w:rPr>
          <w:rFonts w:hint="default" w:ascii="Times New Roman" w:hAnsi="Times New Roman" w:eastAsia="仿宋_GB2312" w:cs="Times New Roman"/>
          <w:color w:val="auto"/>
          <w:spacing w:val="0"/>
          <w:kern w:val="2"/>
          <w:position w:val="0"/>
          <w:sz w:val="32"/>
          <w:szCs w:val="24"/>
          <w:highlight w:val="none"/>
          <w:shd w:val="clear" w:fill="auto"/>
          <w:lang w:val="en-US" w:eastAsia="zh-CN" w:bidi="ar-SA"/>
        </w:rPr>
        <w:t>“赛事联动、人才互派、资源共享”机制，引入优质资源。</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pPr>
      <w:r>
        <w:rPr>
          <w:rFonts w:hint="default" w:ascii="Times New Roman" w:hAnsi="Times New Roman" w:eastAsia="楷体" w:cs="Times New Roman"/>
          <w:b/>
          <w:bCs/>
          <w:color w:val="auto"/>
          <w:spacing w:val="0"/>
          <w:kern w:val="2"/>
          <w:position w:val="0"/>
          <w:sz w:val="32"/>
          <w:szCs w:val="24"/>
          <w:highlight w:val="none"/>
          <w:shd w:val="clear" w:fill="auto"/>
          <w:lang w:val="en-US" w:eastAsia="zh-CN" w:bidi="ar-SA"/>
        </w:rPr>
        <w:t>（五）严格实施管理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小标宋简体" w:hAnsi="方正小标宋简体" w:eastAsia="方正小标宋简体" w:cs="方正小标宋简体"/>
          <w:color w:val="auto"/>
          <w:spacing w:val="0"/>
          <w:kern w:val="2"/>
          <w:position w:val="0"/>
          <w:sz w:val="36"/>
          <w:szCs w:val="36"/>
          <w:highlight w:val="none"/>
          <w:shd w:val="clear" w:fill="auto"/>
          <w:lang w:val="en-US" w:eastAsia="zh-CN" w:bidi="ar-SA"/>
        </w:rPr>
      </w:pPr>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将规划目标任务分解到年度、县市及部门，明确责任与时限要求。建立“年度监测+中期评估+终期考核”管控体系，搭建大数据监测平</w:t>
      </w:r>
      <w:bookmarkStart w:id="0" w:name="_GoBack"/>
      <w:bookmarkEnd w:id="0"/>
      <w:r>
        <w:rPr>
          <w:rFonts w:hint="eastAsia" w:ascii="Times New Roman" w:hAnsi="Times New Roman" w:eastAsia="仿宋_GB2312" w:cs="Times New Roman"/>
          <w:color w:val="auto"/>
          <w:spacing w:val="0"/>
          <w:kern w:val="2"/>
          <w:position w:val="0"/>
          <w:sz w:val="32"/>
          <w:szCs w:val="24"/>
          <w:highlight w:val="none"/>
          <w:shd w:val="clear" w:fill="auto"/>
          <w:lang w:val="en-US" w:eastAsia="zh-CN" w:bidi="ar-SA"/>
        </w:rPr>
        <w:t>台跟踪进展，中期评估调整任务，终期考核纳入绩效评价。加强县市督导，定期通报落实情况，确保目标如期实现。</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隶书">
    <w:altName w:val="方正隶书_GBK"/>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DejaVu Math TeX Gyre">
    <w:panose1 w:val="02000503000000000000"/>
    <w:charset w:val="00"/>
    <w:family w:val="auto"/>
    <w:pitch w:val="default"/>
    <w:sig w:usb0="A10000EF" w:usb1="4201F9EE" w:usb2="02000000" w:usb3="00000000" w:csb0="60000193" w:csb1="0DD40000"/>
  </w:font>
  <w:font w:name="方正隶书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4F4C6"/>
    <w:multiLevelType w:val="singleLevel"/>
    <w:tmpl w:val="BB04F4C6"/>
    <w:lvl w:ilvl="0" w:tentative="0">
      <w:start w:val="1"/>
      <w:numFmt w:val="chineseCounting"/>
      <w:suff w:val="nothing"/>
      <w:lvlText w:val="（%1）"/>
      <w:lvlJc w:val="left"/>
      <w:rPr>
        <w:rFonts w:hint="eastAsia"/>
      </w:rPr>
    </w:lvl>
  </w:abstractNum>
  <w:abstractNum w:abstractNumId="1">
    <w:nsid w:val="143851D1"/>
    <w:multiLevelType w:val="singleLevel"/>
    <w:tmpl w:val="143851D1"/>
    <w:lvl w:ilvl="0" w:tentative="0">
      <w:start w:val="1"/>
      <w:numFmt w:val="chineseCounting"/>
      <w:suff w:val="nothing"/>
      <w:lvlText w:val="（%1）"/>
      <w:lvlJc w:val="left"/>
      <w:rPr>
        <w:rFonts w:hint="eastAsia"/>
      </w:rPr>
    </w:lvl>
  </w:abstractNum>
  <w:abstractNum w:abstractNumId="2">
    <w:nsid w:val="377152D3"/>
    <w:multiLevelType w:val="singleLevel"/>
    <w:tmpl w:val="377152D3"/>
    <w:lvl w:ilvl="0" w:tentative="0">
      <w:start w:val="1"/>
      <w:numFmt w:val="chineseCounting"/>
      <w:pStyle w:val="21"/>
      <w:suff w:val="nothing"/>
      <w:lvlText w:val="%1、"/>
      <w:lvlJc w:val="left"/>
      <w:rPr>
        <w:rFonts w:hint="eastAsia"/>
      </w:rPr>
    </w:lvl>
  </w:abstractNum>
  <w:abstractNum w:abstractNumId="3">
    <w:nsid w:val="4671ECEE"/>
    <w:multiLevelType w:val="singleLevel"/>
    <w:tmpl w:val="4671ECEE"/>
    <w:lvl w:ilvl="0" w:tentative="0">
      <w:start w:val="2"/>
      <w:numFmt w:val="chineseCounting"/>
      <w:suff w:val="nothing"/>
      <w:lvlText w:val="（%1）"/>
      <w:lvlJc w:val="left"/>
      <w:pPr>
        <w:ind w:left="-13"/>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8075A"/>
    <w:rsid w:val="01467425"/>
    <w:rsid w:val="028440C8"/>
    <w:rsid w:val="045D2A8D"/>
    <w:rsid w:val="0532605E"/>
    <w:rsid w:val="05DF52A0"/>
    <w:rsid w:val="067072C4"/>
    <w:rsid w:val="08931509"/>
    <w:rsid w:val="08F17FDE"/>
    <w:rsid w:val="0913490C"/>
    <w:rsid w:val="0A9C0E58"/>
    <w:rsid w:val="0E7C4871"/>
    <w:rsid w:val="0FDBBE03"/>
    <w:rsid w:val="1178129C"/>
    <w:rsid w:val="142E5C70"/>
    <w:rsid w:val="15B904C0"/>
    <w:rsid w:val="16C8416D"/>
    <w:rsid w:val="177F68F4"/>
    <w:rsid w:val="1B012302"/>
    <w:rsid w:val="1DF34EFE"/>
    <w:rsid w:val="1E5C41DF"/>
    <w:rsid w:val="1EB53B30"/>
    <w:rsid w:val="2195649B"/>
    <w:rsid w:val="2C6415AE"/>
    <w:rsid w:val="2DB9376D"/>
    <w:rsid w:val="2F7F4117"/>
    <w:rsid w:val="30E252E7"/>
    <w:rsid w:val="32696762"/>
    <w:rsid w:val="34B3174B"/>
    <w:rsid w:val="35026713"/>
    <w:rsid w:val="36FB0302"/>
    <w:rsid w:val="38F44DFD"/>
    <w:rsid w:val="3973267A"/>
    <w:rsid w:val="3AF7B211"/>
    <w:rsid w:val="3CDF74FB"/>
    <w:rsid w:val="3EB78581"/>
    <w:rsid w:val="3F676329"/>
    <w:rsid w:val="3F7FED18"/>
    <w:rsid w:val="3FCA5AB6"/>
    <w:rsid w:val="3FF62ABB"/>
    <w:rsid w:val="3FFFDF7B"/>
    <w:rsid w:val="40055B41"/>
    <w:rsid w:val="405A3F7E"/>
    <w:rsid w:val="409F1AF2"/>
    <w:rsid w:val="42197710"/>
    <w:rsid w:val="48E55C95"/>
    <w:rsid w:val="4B1C1CAE"/>
    <w:rsid w:val="4DA70238"/>
    <w:rsid w:val="5078557F"/>
    <w:rsid w:val="5367649F"/>
    <w:rsid w:val="536776B5"/>
    <w:rsid w:val="539A6875"/>
    <w:rsid w:val="53AC7F03"/>
    <w:rsid w:val="57EA5FBC"/>
    <w:rsid w:val="59DF380A"/>
    <w:rsid w:val="5B9C2177"/>
    <w:rsid w:val="5C1F025F"/>
    <w:rsid w:val="5CAE4C07"/>
    <w:rsid w:val="5D6F3343"/>
    <w:rsid w:val="5E01537D"/>
    <w:rsid w:val="5F7EC721"/>
    <w:rsid w:val="5FF4AEA6"/>
    <w:rsid w:val="5FFF565F"/>
    <w:rsid w:val="61D24880"/>
    <w:rsid w:val="62D6719E"/>
    <w:rsid w:val="67E759A9"/>
    <w:rsid w:val="680574A6"/>
    <w:rsid w:val="69112CDD"/>
    <w:rsid w:val="6A35744C"/>
    <w:rsid w:val="6AFD6E6E"/>
    <w:rsid w:val="6B66DEE5"/>
    <w:rsid w:val="6CCF10EC"/>
    <w:rsid w:val="6F165569"/>
    <w:rsid w:val="6FDF1400"/>
    <w:rsid w:val="72A652EC"/>
    <w:rsid w:val="73AEC843"/>
    <w:rsid w:val="748051BB"/>
    <w:rsid w:val="75941B54"/>
    <w:rsid w:val="75F74ECC"/>
    <w:rsid w:val="75FD4190"/>
    <w:rsid w:val="762F079B"/>
    <w:rsid w:val="77B3A66F"/>
    <w:rsid w:val="78DF930E"/>
    <w:rsid w:val="7A5F1954"/>
    <w:rsid w:val="7A676A88"/>
    <w:rsid w:val="7A9939C4"/>
    <w:rsid w:val="7BB9188D"/>
    <w:rsid w:val="7BDFA3A1"/>
    <w:rsid w:val="7DAD1030"/>
    <w:rsid w:val="7E7B714D"/>
    <w:rsid w:val="7E7F29C9"/>
    <w:rsid w:val="7EFD7030"/>
    <w:rsid w:val="7F7FED52"/>
    <w:rsid w:val="7F881B29"/>
    <w:rsid w:val="7FBE9899"/>
    <w:rsid w:val="7FE772D7"/>
    <w:rsid w:val="7FEF02C1"/>
    <w:rsid w:val="7FF7E80D"/>
    <w:rsid w:val="9ED72C91"/>
    <w:rsid w:val="A7FFC161"/>
    <w:rsid w:val="AC3BC425"/>
    <w:rsid w:val="AD9F40ED"/>
    <w:rsid w:val="B39623E9"/>
    <w:rsid w:val="BA6FBAE6"/>
    <w:rsid w:val="BFBF3FAC"/>
    <w:rsid w:val="BFDFAE5C"/>
    <w:rsid w:val="BFFD8954"/>
    <w:rsid w:val="C73730E1"/>
    <w:rsid w:val="CFFD07C5"/>
    <w:rsid w:val="D55DAEA3"/>
    <w:rsid w:val="D7FF0C96"/>
    <w:rsid w:val="DADBE903"/>
    <w:rsid w:val="DBFDBE6E"/>
    <w:rsid w:val="DEDDE591"/>
    <w:rsid w:val="DEF64503"/>
    <w:rsid w:val="DF4FE93B"/>
    <w:rsid w:val="DFBFDAE7"/>
    <w:rsid w:val="DFFBF7CD"/>
    <w:rsid w:val="EDBD9C7B"/>
    <w:rsid w:val="EE3FD459"/>
    <w:rsid w:val="EEB15CAB"/>
    <w:rsid w:val="EFB70D6B"/>
    <w:rsid w:val="EFBF886A"/>
    <w:rsid w:val="F57F272F"/>
    <w:rsid w:val="F5FBC1DB"/>
    <w:rsid w:val="F69178AC"/>
    <w:rsid w:val="F6CD0B76"/>
    <w:rsid w:val="F6FB2305"/>
    <w:rsid w:val="F9FA52E3"/>
    <w:rsid w:val="FB56BE17"/>
    <w:rsid w:val="FBBD046A"/>
    <w:rsid w:val="FF6BC15C"/>
    <w:rsid w:val="FF7E9119"/>
    <w:rsid w:val="FF975C5A"/>
    <w:rsid w:val="FFBBB229"/>
    <w:rsid w:val="FFFD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pPr>
    <w:rPr>
      <w:rFonts w:eastAsia="隶书"/>
      <w:kern w:val="0"/>
      <w:sz w:val="32"/>
      <w:szCs w:val="20"/>
    </w:rPr>
  </w:style>
  <w:style w:type="paragraph" w:customStyle="1" w:styleId="3">
    <w:name w:val="Body Text 21"/>
    <w:basedOn w:val="1"/>
    <w:qFormat/>
    <w:uiPriority w:val="0"/>
    <w:pPr>
      <w:spacing w:after="120" w:line="480" w:lineRule="auto"/>
    </w:pPr>
    <w:rPr>
      <w:rFonts w:eastAsia="仿宋_GB2312"/>
      <w:sz w:val="32"/>
      <w:szCs w:val="32"/>
    </w:rPr>
  </w:style>
  <w:style w:type="paragraph" w:styleId="8">
    <w:name w:val="index 8"/>
    <w:basedOn w:val="1"/>
    <w:next w:val="1"/>
    <w:qFormat/>
    <w:uiPriority w:val="0"/>
    <w:pPr>
      <w:ind w:left="1400" w:leftChars="1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BodyText"/>
    <w:basedOn w:val="1"/>
    <w:next w:val="1"/>
    <w:qFormat/>
    <w:uiPriority w:val="0"/>
    <w:rPr>
      <w:rFonts w:ascii="Times New Roman" w:hAnsi="Times New Roman"/>
    </w:rPr>
  </w:style>
  <w:style w:type="character" w:customStyle="1" w:styleId="17">
    <w:name w:val="cf01"/>
    <w:basedOn w:val="14"/>
    <w:qFormat/>
    <w:uiPriority w:val="0"/>
    <w:rPr>
      <w:b/>
      <w:bCs/>
      <w:sz w:val="22"/>
      <w:szCs w:val="22"/>
    </w:rPr>
  </w:style>
  <w:style w:type="character" w:customStyle="1" w:styleId="18">
    <w:name w:val="cf11"/>
    <w:basedOn w:val="14"/>
    <w:qFormat/>
    <w:uiPriority w:val="0"/>
    <w:rPr>
      <w:rFonts w:ascii="微软雅黑" w:hAnsi="微软雅黑" w:eastAsia="微软雅黑" w:cs="微软雅黑"/>
      <w:b/>
      <w:bCs/>
      <w:sz w:val="22"/>
      <w:szCs w:val="22"/>
    </w:rPr>
  </w:style>
  <w:style w:type="character" w:customStyle="1" w:styleId="19">
    <w:name w:val="cf21"/>
    <w:basedOn w:val="14"/>
    <w:qFormat/>
    <w:uiPriority w:val="0"/>
    <w:rPr>
      <w:rFonts w:hint="eastAsia" w:ascii="微软雅黑" w:hAnsi="微软雅黑" w:eastAsia="微软雅黑" w:cs="微软雅黑"/>
      <w:b/>
      <w:bCs/>
      <w:sz w:val="22"/>
      <w:szCs w:val="22"/>
    </w:rPr>
  </w:style>
  <w:style w:type="character" w:customStyle="1" w:styleId="20">
    <w:name w:val="cf31"/>
    <w:basedOn w:val="14"/>
    <w:qFormat/>
    <w:uiPriority w:val="0"/>
    <w:rPr>
      <w:b/>
      <w:bCs/>
      <w:sz w:val="22"/>
      <w:szCs w:val="22"/>
    </w:rPr>
  </w:style>
  <w:style w:type="paragraph" w:customStyle="1" w:styleId="21">
    <w:name w:val="1级"/>
    <w:basedOn w:val="1"/>
    <w:qFormat/>
    <w:uiPriority w:val="0"/>
    <w:pPr>
      <w:numPr>
        <w:ilvl w:val="0"/>
        <w:numId w:val="1"/>
      </w:numPr>
      <w:spacing w:line="560" w:lineRule="exact"/>
      <w:ind w:firstLine="640" w:firstLineChars="200"/>
    </w:pPr>
    <w:rPr>
      <w:rFonts w:ascii="Times New Roman" w:hAnsi="Times New Roman" w:eastAsia="黑体" w:cs="Times New Roman"/>
      <w:color w:val="auto"/>
      <w:sz w:val="32"/>
      <w:shd w:val="clear" w:fill="auto"/>
    </w:rPr>
  </w:style>
  <w:style w:type="paragraph" w:customStyle="1" w:styleId="22">
    <w:name w:val="样式1"/>
    <w:basedOn w:val="8"/>
    <w:qFormat/>
    <w:uiPriority w:val="0"/>
    <w:pPr>
      <w:adjustRightInd w:val="0"/>
      <w:snapToGrid w:val="0"/>
      <w:spacing w:line="560" w:lineRule="exact"/>
      <w:ind w:firstLine="602" w:firstLineChars="200"/>
    </w:pPr>
    <w:rPr>
      <w:snapToGrid w:val="0"/>
      <w:sz w:val="32"/>
      <w:szCs w:val="22"/>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3425</Words>
  <Characters>3516</Characters>
  <Lines>0</Lines>
  <Paragraphs>0</Paragraphs>
  <TotalTime>7</TotalTime>
  <ScaleCrop>false</ScaleCrop>
  <LinksUpToDate>false</LinksUpToDate>
  <CharactersWithSpaces>3516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2025-08-31T04:16:00Z</dcterms:created>
  <dc:creator>刘</dc:creator>
  <cp:lastModifiedBy>sugon</cp:lastModifiedBy>
  <cp:lastPrinted>2025-10-10T05:19:00Z</cp:lastPrinted>
  <dcterms:modified xsi:type="dcterms:W3CDTF">2025-10-23T15:59:14Z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D351A0EFB6164DF3923B42B1EE78B129_13</vt:lpwstr>
  </property>
  <property fmtid="{D5CDD505-2E9C-101B-9397-08002B2CF9AE}" pid="4" name="KSOTemplateDocerSaveRecord">
    <vt:lpwstr>eyJoZGlkIjoiNTllZDIwMTg0ZjJmMGNmYzZlMTQ4MjNjMDQ4MWU2ODIiLCJ1c2VySWQiOiIyMjcyNTg0NDEifQ==</vt:lpwstr>
  </property>
</Properties>
</file>