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color w:val="auto"/>
          <w:sz w:val="44"/>
          <w:szCs w:val="44"/>
        </w:rPr>
      </w:pPr>
      <w:bookmarkStart w:id="0" w:name="_Toc3408"/>
      <w:bookmarkStart w:id="1" w:name="_Toc175221156"/>
      <w:r>
        <w:rPr>
          <w:rFonts w:hint="eastAsia" w:ascii="方正小标宋_GBK" w:eastAsia="方正小标宋_GBK"/>
          <w:color w:val="auto"/>
          <w:sz w:val="44"/>
          <w:szCs w:val="44"/>
          <w:lang w:val="en-US" w:eastAsia="zh-CN"/>
        </w:rPr>
        <w:t>2024年度</w:t>
      </w:r>
      <w:r>
        <w:rPr>
          <w:rFonts w:hint="eastAsia" w:ascii="方正小标宋_GBK" w:eastAsia="方正小标宋_GBK"/>
          <w:color w:val="auto"/>
          <w:sz w:val="44"/>
          <w:szCs w:val="44"/>
          <w:lang w:eastAsia="zh-CN"/>
        </w:rPr>
        <w:t>和田地区</w:t>
      </w:r>
      <w:r>
        <w:rPr>
          <w:rFonts w:hint="eastAsia" w:ascii="方正小标宋_GBK" w:eastAsia="方正小标宋_GBK"/>
          <w:color w:val="auto"/>
          <w:sz w:val="44"/>
          <w:szCs w:val="44"/>
        </w:rPr>
        <w:t>政府决算公开</w:t>
      </w:r>
      <w:bookmarkEnd w:id="0"/>
      <w:bookmarkEnd w:id="1"/>
    </w:p>
    <w:p>
      <w:pPr>
        <w:pStyle w:val="14"/>
        <w:jc w:val="center"/>
        <w:rPr>
          <w:rFonts w:ascii="宋体" w:hAnsi="宋体"/>
          <w:b/>
          <w:bCs/>
          <w:color w:val="auto"/>
          <w:sz w:val="36"/>
          <w:szCs w:val="36"/>
        </w:rPr>
        <w:sectPr>
          <w:pgSz w:w="11906" w:h="16838"/>
          <w:pgMar w:top="1440" w:right="1800" w:bottom="1440" w:left="1800" w:header="851" w:footer="992" w:gutter="0"/>
          <w:pgNumType w:fmt="numberInDash" w:start="1"/>
          <w:cols w:space="720" w:num="1"/>
          <w:docGrid w:type="lines" w:linePitch="312" w:charSpace="0"/>
        </w:sectPr>
      </w:pPr>
    </w:p>
    <w:p>
      <w:pPr>
        <w:pStyle w:val="14"/>
        <w:jc w:val="center"/>
        <w:rPr>
          <w:rFonts w:ascii="宋体" w:hAnsi="宋体"/>
          <w:b/>
          <w:bCs/>
          <w:color w:val="auto"/>
          <w:sz w:val="36"/>
          <w:szCs w:val="36"/>
        </w:rPr>
      </w:pPr>
      <w:r>
        <w:rPr>
          <w:rFonts w:ascii="宋体" w:hAnsi="宋体"/>
          <w:b/>
          <w:bCs/>
          <w:color w:val="auto"/>
          <w:sz w:val="36"/>
          <w:szCs w:val="36"/>
        </w:rPr>
        <w:t>目</w:t>
      </w:r>
      <w:r>
        <w:rPr>
          <w:rFonts w:hint="eastAsia" w:ascii="宋体" w:hAnsi="宋体"/>
          <w:b/>
          <w:bCs/>
          <w:color w:val="auto"/>
          <w:sz w:val="36"/>
          <w:szCs w:val="36"/>
        </w:rPr>
        <w:t xml:space="preserve"> </w:t>
      </w:r>
      <w:r>
        <w:rPr>
          <w:rFonts w:hint="eastAsia" w:ascii="宋体" w:hAnsi="宋体"/>
          <w:b/>
          <w:bCs/>
          <w:color w:val="auto"/>
          <w:sz w:val="36"/>
          <w:szCs w:val="36"/>
          <w:lang w:val="en-US" w:eastAsia="zh-CN"/>
        </w:rPr>
        <w:t xml:space="preserve"> </w:t>
      </w:r>
      <w:r>
        <w:rPr>
          <w:rFonts w:ascii="宋体" w:hAnsi="宋体"/>
          <w:b/>
          <w:bCs/>
          <w:color w:val="auto"/>
          <w:sz w:val="36"/>
          <w:szCs w:val="36"/>
        </w:rPr>
        <w:t>录</w:t>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TOC \o "1-3" \h \u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_Toc12651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第一部分：政府决算报告及转移支付情况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_Toc12651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_Toc21787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一、政府决算报告</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_Toc21787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_Toc32690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二、一般公共预算税收返还和转移支付表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_Toc32690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10</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_Toc30954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三、政府性基金</w:t>
      </w:r>
      <w:r>
        <w:rPr>
          <w:rFonts w:hint="eastAsia" w:ascii="仿宋_GB2312" w:hAnsi="仿宋_GB2312" w:eastAsia="仿宋_GB2312" w:cs="仿宋_GB2312"/>
          <w:color w:val="auto"/>
          <w:sz w:val="28"/>
          <w:szCs w:val="28"/>
          <w:highlight w:val="none"/>
        </w:rPr>
        <w:t>预算</w:t>
      </w:r>
      <w:r>
        <w:rPr>
          <w:rFonts w:hint="eastAsia" w:ascii="仿宋_GB2312" w:hAnsi="仿宋_GB2312" w:eastAsia="仿宋_GB2312" w:cs="仿宋_GB2312"/>
          <w:color w:val="auto"/>
          <w:sz w:val="28"/>
          <w:szCs w:val="28"/>
          <w:lang w:eastAsia="zh-Hans"/>
        </w:rPr>
        <w:t>转移支付表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_Toc30954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47</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_Toc13431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四、国有资本经营预算转移支付表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_Toc13431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52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_Toc5542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五</w:t>
      </w:r>
      <w:r>
        <w:rPr>
          <w:rFonts w:hint="eastAsia" w:ascii="仿宋_GB2312" w:hAnsi="仿宋_GB2312" w:eastAsia="仿宋_GB2312" w:cs="仿宋_GB2312"/>
          <w:color w:val="auto"/>
          <w:sz w:val="28"/>
          <w:szCs w:val="28"/>
          <w:lang w:eastAsia="zh-Hans"/>
        </w:rPr>
        <w:t>、转移支付执行情况说明</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_Toc5542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53</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_Toc23113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w:t>
      </w:r>
      <w:r>
        <w:rPr>
          <w:rFonts w:hint="eastAsia" w:ascii="仿宋_GB2312" w:hAnsi="仿宋_GB2312" w:eastAsia="仿宋_GB2312" w:cs="仿宋_GB2312"/>
          <w:bCs/>
          <w:color w:val="auto"/>
          <w:sz w:val="28"/>
          <w:szCs w:val="28"/>
        </w:rPr>
        <w:t>二</w:t>
      </w:r>
      <w:r>
        <w:rPr>
          <w:rFonts w:hint="eastAsia" w:ascii="仿宋_GB2312" w:hAnsi="仿宋_GB2312" w:eastAsia="仿宋_GB2312" w:cs="仿宋_GB2312"/>
          <w:bCs/>
          <w:color w:val="auto"/>
          <w:sz w:val="28"/>
          <w:szCs w:val="28"/>
          <w:lang w:eastAsia="zh-Hans"/>
        </w:rPr>
        <w:t>部分：一般公共预算决算情况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_Toc23113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56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_Toc10429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一、一般公共预算收入决算表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_Toc10429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56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_Toc10614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二、一般公共预算支出决算表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_Toc10614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77</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_Toc24447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三、一般公共预算（本级）收入决算表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_Toc24447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116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_Toc24444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四、一般公共预算（本级）支出决算表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_Toc24444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136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_Toc22831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五、一般公共预算（本级）基本支出决算表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_Toc22831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_Toc8006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六、财政拨款“三公”经费支出决算表（本级）</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_Toc8006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173</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_Toc4831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七、财政拨款“三公”经费说明（本级）</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_Toc4831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174</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_Toc2094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第三部分：政府性基金预算决算情况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_Toc2094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_Toc4834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一、政府性基金预算收入决算表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_Toc4834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_Toc25103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二、政府性基金预算支出决算表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_Toc25103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179</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_Toc22810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三、政府性基金预算（本级）收入决算表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_Toc22810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189</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_Toc28403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四、政府性基金预算（本级）支出决算表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_Toc28403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192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_Toc622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第四部分：国有资本经营预算</w:t>
      </w:r>
      <w:r>
        <w:rPr>
          <w:rFonts w:hint="eastAsia" w:ascii="仿宋_GB2312" w:hAnsi="仿宋_GB2312" w:eastAsia="仿宋_GB2312" w:cs="仿宋_GB2312"/>
          <w:bCs/>
          <w:color w:val="auto"/>
          <w:sz w:val="28"/>
          <w:szCs w:val="28"/>
        </w:rPr>
        <w:t>决算情况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_Toc622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_Toc14108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一、国有资本经营预算收入决算表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_Toc14108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_Toc16676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二、国有资本经营预算支出决算表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_Toc16676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204</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_Toc2688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三、</w:t>
      </w:r>
      <w:r>
        <w:rPr>
          <w:rFonts w:hint="eastAsia" w:ascii="仿宋_GB2312" w:hAnsi="仿宋_GB2312" w:eastAsia="仿宋_GB2312" w:cs="仿宋_GB2312"/>
          <w:color w:val="auto"/>
          <w:sz w:val="28"/>
          <w:szCs w:val="28"/>
          <w:lang w:eastAsia="zh-Hans"/>
        </w:rPr>
        <w:t>国有资本经营预算收支决算总表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_Toc2688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205</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_Toc6402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四、国有资本经营预算（本级）收入决算表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_Toc6402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_Toc2794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五、国有资本经营预算</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Hans"/>
        </w:rPr>
        <w:t>本级</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Hans"/>
        </w:rPr>
        <w:t>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_Toc2794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208</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_Toc1364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六、国有资本经营预算（本级）收支决算总表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_Toc1364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209</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_Toc27744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第五部分：社会保险基金预算决算情况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_Toc27744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210</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_Toc8271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一、社会保险基金预算收入决算表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_Toc8271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210</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_Toc17791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二、社会保险基金</w:t>
      </w:r>
      <w:r>
        <w:rPr>
          <w:rFonts w:hint="eastAsia" w:ascii="仿宋_GB2312" w:hAnsi="仿宋_GB2312" w:eastAsia="仿宋_GB2312" w:cs="仿宋_GB2312"/>
          <w:color w:val="auto"/>
          <w:sz w:val="28"/>
          <w:szCs w:val="28"/>
          <w:highlight w:val="none"/>
          <w:lang w:eastAsia="zh-Hans"/>
        </w:rPr>
        <w:t>预算</w:t>
      </w:r>
      <w:r>
        <w:rPr>
          <w:rFonts w:hint="eastAsia" w:ascii="仿宋_GB2312" w:hAnsi="仿宋_GB2312" w:eastAsia="仿宋_GB2312" w:cs="仿宋_GB2312"/>
          <w:color w:val="auto"/>
          <w:sz w:val="28"/>
          <w:szCs w:val="28"/>
          <w:lang w:eastAsia="zh-Hans"/>
        </w:rPr>
        <w:t>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_Toc17791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_Toc24169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三、社会保险基金</w:t>
      </w:r>
      <w:r>
        <w:rPr>
          <w:rFonts w:hint="eastAsia" w:ascii="仿宋_GB2312" w:hAnsi="仿宋_GB2312" w:eastAsia="仿宋_GB2312" w:cs="仿宋_GB2312"/>
          <w:color w:val="auto"/>
          <w:sz w:val="28"/>
          <w:szCs w:val="28"/>
          <w:highlight w:val="none"/>
          <w:lang w:eastAsia="zh-Hans"/>
        </w:rPr>
        <w:t>预算</w:t>
      </w:r>
      <w:r>
        <w:rPr>
          <w:rFonts w:hint="eastAsia" w:ascii="仿宋_GB2312" w:hAnsi="仿宋_GB2312" w:eastAsia="仿宋_GB2312" w:cs="仿宋_GB2312"/>
          <w:color w:val="auto"/>
          <w:sz w:val="28"/>
          <w:szCs w:val="28"/>
          <w:lang w:eastAsia="zh-Hans"/>
        </w:rPr>
        <w:t>（本级）收入决算表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_Toc24169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_Toc22505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四、社会保险基金</w:t>
      </w:r>
      <w:r>
        <w:rPr>
          <w:rFonts w:hint="eastAsia" w:ascii="仿宋_GB2312" w:hAnsi="仿宋_GB2312" w:eastAsia="仿宋_GB2312" w:cs="仿宋_GB2312"/>
          <w:color w:val="auto"/>
          <w:sz w:val="28"/>
          <w:szCs w:val="28"/>
          <w:highlight w:val="none"/>
          <w:lang w:eastAsia="zh-Hans"/>
        </w:rPr>
        <w:t>预算</w:t>
      </w:r>
      <w:r>
        <w:rPr>
          <w:rFonts w:hint="eastAsia" w:ascii="仿宋_GB2312" w:hAnsi="仿宋_GB2312" w:eastAsia="仿宋_GB2312" w:cs="仿宋_GB2312"/>
          <w:color w:val="auto"/>
          <w:sz w:val="28"/>
          <w:szCs w:val="28"/>
          <w:lang w:eastAsia="zh-Hans"/>
        </w:rPr>
        <w:t>（本级）支出决算表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_Toc22505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213</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_Toc17825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第六部分：地方政府债务公开情况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_Toc17825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214</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_Toc14589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一、政府一般债务限额、余额情况表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_Toc14589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214</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_Toc1995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二、政府专项债务限额、余额情况表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_Toc1995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215</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_Toc17775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三、政府债券发行情况表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_Toc17775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216</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_Toc24655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四、政府债券发行情况明细表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_Toc24655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217</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_Toc24183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五、新增债券使用情况表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_Toc24183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219</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_Toc22803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六、还本付息决算情况表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_Toc22803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220</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_Toc9655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w:t>
      </w:r>
      <w:r>
        <w:rPr>
          <w:rFonts w:hint="eastAsia" w:ascii="仿宋_GB2312" w:hAnsi="仿宋_GB2312" w:eastAsia="仿宋_GB2312" w:cs="仿宋_GB2312"/>
          <w:bCs/>
          <w:color w:val="auto"/>
          <w:sz w:val="28"/>
          <w:szCs w:val="28"/>
        </w:rPr>
        <w:t>七</w:t>
      </w:r>
      <w:r>
        <w:rPr>
          <w:rFonts w:hint="eastAsia" w:ascii="仿宋_GB2312" w:hAnsi="仿宋_GB2312" w:eastAsia="仿宋_GB2312" w:cs="仿宋_GB2312"/>
          <w:bCs/>
          <w:color w:val="auto"/>
          <w:sz w:val="28"/>
          <w:szCs w:val="28"/>
          <w:lang w:eastAsia="zh-Hans"/>
        </w:rPr>
        <w:t>部分：</w:t>
      </w:r>
      <w:r>
        <w:rPr>
          <w:rFonts w:hint="eastAsia" w:ascii="仿宋_GB2312" w:hAnsi="仿宋_GB2312" w:eastAsia="仿宋_GB2312" w:cs="仿宋_GB2312"/>
          <w:bCs/>
          <w:color w:val="auto"/>
          <w:sz w:val="28"/>
          <w:szCs w:val="28"/>
        </w:rPr>
        <w:t>预算绩效管理工作情况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_Toc9655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221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_Toc30550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一、公开本级重大政策和重点项目绩效执行结果</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_Toc30550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221</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0"/>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_Toc21763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Hans"/>
        </w:rPr>
        <w:t>二、预算绩效工作开展情况说明</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_Toc21763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222</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pStyle w:val="13"/>
        <w:tabs>
          <w:tab w:val="right" w:leader="dot" w:pos="8306"/>
        </w:tabs>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\l _Toc6348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bCs/>
          <w:color w:val="auto"/>
          <w:sz w:val="28"/>
          <w:szCs w:val="28"/>
          <w:lang w:eastAsia="zh-Hans"/>
        </w:rPr>
        <w:t>第</w:t>
      </w:r>
      <w:r>
        <w:rPr>
          <w:rFonts w:hint="eastAsia" w:ascii="仿宋_GB2312" w:hAnsi="仿宋_GB2312" w:eastAsia="仿宋_GB2312" w:cs="仿宋_GB2312"/>
          <w:bCs/>
          <w:color w:val="auto"/>
          <w:sz w:val="28"/>
          <w:szCs w:val="28"/>
        </w:rPr>
        <w:t>八</w:t>
      </w:r>
      <w:r>
        <w:rPr>
          <w:rFonts w:hint="eastAsia" w:ascii="仿宋_GB2312" w:hAnsi="仿宋_GB2312" w:eastAsia="仿宋_GB2312" w:cs="仿宋_GB2312"/>
          <w:bCs/>
          <w:color w:val="auto"/>
          <w:sz w:val="28"/>
          <w:szCs w:val="28"/>
          <w:lang w:eastAsia="zh-Hans"/>
        </w:rPr>
        <w:t>部分：</w:t>
      </w:r>
      <w:r>
        <w:rPr>
          <w:rFonts w:hint="eastAsia" w:ascii="仿宋_GB2312" w:hAnsi="仿宋_GB2312" w:eastAsia="仿宋_GB2312" w:cs="仿宋_GB2312"/>
          <w:bCs/>
          <w:color w:val="auto"/>
          <w:sz w:val="28"/>
          <w:szCs w:val="28"/>
        </w:rPr>
        <w:t>其他情况说明</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PAGEREF _Toc6348 \h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227</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8"/>
          <w:szCs w:val="28"/>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hAnsi="仿宋_GB2312" w:eastAsia="仿宋_GB2312" w:cs="仿宋_GB2312"/>
          <w:color w:val="auto"/>
          <w:sz w:val="28"/>
          <w:szCs w:val="28"/>
        </w:rPr>
        <w:fldChar w:fldCharType="end"/>
      </w:r>
    </w:p>
    <w:p>
      <w:pPr>
        <w:pStyle w:val="3"/>
        <w:spacing w:before="156" w:beforeLines="50" w:after="156" w:afterLines="50"/>
        <w:rPr>
          <w:b/>
          <w:bCs/>
          <w:color w:val="auto"/>
          <w:lang w:eastAsia="zh-Hans"/>
        </w:rPr>
      </w:pPr>
      <w:bookmarkStart w:id="2" w:name="_Toc12651"/>
      <w:r>
        <w:rPr>
          <w:b/>
          <w:bCs/>
          <w:color w:val="auto"/>
          <w:lang w:eastAsia="zh-Hans"/>
        </w:rPr>
        <w:t>第一部分</w:t>
      </w:r>
      <w:r>
        <w:rPr>
          <w:rFonts w:hint="eastAsia"/>
          <w:b/>
          <w:bCs/>
          <w:color w:val="auto"/>
          <w:lang w:eastAsia="zh-Hans"/>
        </w:rPr>
        <w:t>：政府决算报告及转移支付情况</w:t>
      </w:r>
      <w:bookmarkEnd w:id="2"/>
    </w:p>
    <w:p>
      <w:pPr>
        <w:pStyle w:val="4"/>
        <w:numPr>
          <w:ilvl w:val="0"/>
          <w:numId w:val="2"/>
        </w:numPr>
        <w:bidi w:val="0"/>
        <w:rPr>
          <w:rFonts w:hint="eastAsia"/>
          <w:color w:val="auto"/>
          <w:lang w:val="en-US" w:eastAsia="zh-CN"/>
        </w:rPr>
      </w:pPr>
      <w:bookmarkStart w:id="3" w:name="_Toc21787"/>
      <w:r>
        <w:rPr>
          <w:rFonts w:hint="eastAsia"/>
          <w:color w:val="auto"/>
          <w:lang w:eastAsia="zh-Hans"/>
        </w:rPr>
        <w:t>政府决算报告</w:t>
      </w:r>
      <w:bookmarkEnd w:id="3"/>
    </w:p>
    <w:p>
      <w:pPr>
        <w:pStyle w:val="17"/>
        <w:keepNext w:val="0"/>
        <w:keepLines w:val="0"/>
        <w:pageBreakBefore w:val="0"/>
        <w:widowControl w:val="0"/>
        <w:kinsoku/>
        <w:wordWrap/>
        <w:overflowPunct/>
        <w:topLinePunct w:val="0"/>
        <w:autoSpaceDE/>
        <w:autoSpaceDN/>
        <w:bidi w:val="0"/>
        <w:adjustRightInd/>
        <w:snapToGrid/>
        <w:spacing w:line="574" w:lineRule="exact"/>
        <w:ind w:left="0" w:leftChars="0" w:firstLine="0" w:firstLineChars="0"/>
        <w:jc w:val="center"/>
        <w:textAlignment w:val="auto"/>
        <w:rPr>
          <w:rFonts w:hint="eastAsia" w:ascii="仿宋_GB2312" w:hAnsi="仿宋_GB2312" w:cs="仿宋_GB2312"/>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行署关于2024年地区级决算草案的报告</w:t>
      </w:r>
    </w:p>
    <w:p>
      <w:pPr>
        <w:pStyle w:val="17"/>
        <w:keepNext w:val="0"/>
        <w:keepLines w:val="0"/>
        <w:pageBreakBefore w:val="0"/>
        <w:widowControl w:val="0"/>
        <w:kinsoku/>
        <w:wordWrap/>
        <w:overflowPunct/>
        <w:topLinePunct w:val="0"/>
        <w:autoSpaceDE/>
        <w:autoSpaceDN/>
        <w:bidi w:val="0"/>
        <w:adjustRightInd/>
        <w:snapToGrid/>
        <w:spacing w:line="574" w:lineRule="exact"/>
        <w:ind w:left="0" w:leftChars="0" w:firstLine="0" w:firstLineChars="0"/>
        <w:jc w:val="center"/>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——2025年6月27日在自治区第十四届人大常委会</w:t>
      </w:r>
    </w:p>
    <w:p>
      <w:pPr>
        <w:pStyle w:val="17"/>
        <w:keepNext w:val="0"/>
        <w:keepLines w:val="0"/>
        <w:pageBreakBefore w:val="0"/>
        <w:widowControl w:val="0"/>
        <w:kinsoku/>
        <w:wordWrap/>
        <w:overflowPunct/>
        <w:topLinePunct w:val="0"/>
        <w:autoSpaceDE/>
        <w:autoSpaceDN/>
        <w:bidi w:val="0"/>
        <w:adjustRightInd/>
        <w:snapToGrid/>
        <w:spacing w:line="574" w:lineRule="exact"/>
        <w:ind w:left="0" w:leftChars="0" w:firstLine="0" w:firstLineChars="0"/>
        <w:jc w:val="center"/>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和田地区工作委员会第十二次会议上</w:t>
      </w:r>
    </w:p>
    <w:p>
      <w:pPr>
        <w:pStyle w:val="17"/>
        <w:keepNext w:val="0"/>
        <w:keepLines w:val="0"/>
        <w:pageBreakBefore w:val="0"/>
        <w:widowControl w:val="0"/>
        <w:kinsoku/>
        <w:wordWrap/>
        <w:overflowPunct/>
        <w:topLinePunct w:val="0"/>
        <w:autoSpaceDE/>
        <w:autoSpaceDN/>
        <w:bidi w:val="0"/>
        <w:adjustRightInd/>
        <w:snapToGrid/>
        <w:spacing w:line="574" w:lineRule="exact"/>
        <w:ind w:left="0" w:leftChars="0" w:firstLine="0" w:firstLineChars="0"/>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行署副秘书长，</w:t>
      </w:r>
      <w:r>
        <w:rPr>
          <w:rFonts w:hint="eastAsia" w:ascii="仿宋_GB2312" w:hAnsi="仿宋_GB2312" w:eastAsia="仿宋_GB2312" w:cs="仿宋_GB2312"/>
          <w:color w:val="auto"/>
          <w:sz w:val="32"/>
          <w:szCs w:val="32"/>
          <w:highlight w:val="none"/>
          <w:lang w:val="en-US" w:eastAsia="zh-CN"/>
        </w:rPr>
        <w:t>地区财政局党组书记、副局长  王彬</w:t>
      </w:r>
    </w:p>
    <w:p>
      <w:pPr>
        <w:pStyle w:val="1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主任、各位副主任、秘书长、各位委员：</w:t>
      </w:r>
    </w:p>
    <w:p>
      <w:pPr>
        <w:pStyle w:val="1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受行署委托，我向自治区第十四届人大常委会和田地区工作委员会第</w:t>
      </w:r>
      <w:r>
        <w:rPr>
          <w:rFonts w:hint="eastAsia" w:ascii="Times New Roman" w:hAnsi="Times New Roman" w:cs="仿宋_GB2312"/>
          <w:color w:val="auto"/>
          <w:sz w:val="32"/>
          <w:szCs w:val="32"/>
          <w:highlight w:val="none"/>
          <w:lang w:val="en-US" w:eastAsia="zh-CN"/>
        </w:rPr>
        <w:t>十二</w:t>
      </w:r>
      <w:r>
        <w:rPr>
          <w:rFonts w:hint="eastAsia" w:ascii="Times New Roman" w:hAnsi="Times New Roman" w:eastAsia="仿宋_GB2312" w:cs="仿宋_GB2312"/>
          <w:color w:val="auto"/>
          <w:sz w:val="32"/>
          <w:szCs w:val="32"/>
          <w:highlight w:val="none"/>
          <w:lang w:val="en-US" w:eastAsia="zh-CN"/>
        </w:rPr>
        <w:t>次会议作2024年地区级决算</w:t>
      </w:r>
      <w:r>
        <w:rPr>
          <w:rFonts w:hint="eastAsia" w:ascii="Times New Roman" w:hAnsi="Times New Roman" w:cs="仿宋_GB2312"/>
          <w:color w:val="auto"/>
          <w:sz w:val="32"/>
          <w:szCs w:val="32"/>
          <w:highlight w:val="none"/>
          <w:lang w:val="en-US" w:eastAsia="zh-CN"/>
        </w:rPr>
        <w:t>草案</w:t>
      </w:r>
      <w:r>
        <w:rPr>
          <w:rFonts w:hint="eastAsia" w:ascii="Times New Roman" w:hAnsi="Times New Roman" w:eastAsia="仿宋_GB2312" w:cs="仿宋_GB2312"/>
          <w:color w:val="auto"/>
          <w:sz w:val="32"/>
          <w:szCs w:val="32"/>
          <w:highlight w:val="none"/>
          <w:lang w:val="en-US" w:eastAsia="zh-CN"/>
        </w:rPr>
        <w:t>的报告，请予审</w:t>
      </w:r>
      <w:r>
        <w:rPr>
          <w:rFonts w:hint="eastAsia" w:ascii="Times New Roman" w:hAnsi="Times New Roman" w:cs="仿宋_GB2312"/>
          <w:color w:val="auto"/>
          <w:sz w:val="32"/>
          <w:szCs w:val="32"/>
          <w:highlight w:val="none"/>
          <w:lang w:val="en-US" w:eastAsia="zh-CN"/>
        </w:rPr>
        <w:t>查</w:t>
      </w:r>
      <w:r>
        <w:rPr>
          <w:rFonts w:hint="eastAsia" w:ascii="Times New Roman" w:hAnsi="Times New Roman" w:eastAsia="仿宋_GB2312" w:cs="仿宋_GB2312"/>
          <w:color w:val="auto"/>
          <w:sz w:val="32"/>
          <w:szCs w:val="32"/>
          <w:highlight w:val="none"/>
          <w:lang w:val="en-US"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黑体" w:cs="黑体"/>
          <w:color w:val="auto"/>
          <w:sz w:val="32"/>
          <w:szCs w:val="32"/>
          <w:highlight w:val="none"/>
          <w:lang w:val="en-US" w:eastAsia="zh-CN"/>
        </w:rPr>
        <w:t xml:space="preserve"> </w:t>
      </w:r>
      <w:r>
        <w:rPr>
          <w:rFonts w:hint="eastAsia" w:ascii="Times New Roman" w:hAnsi="Times New Roman" w:eastAsia="黑体" w:cs="黑体"/>
          <w:color w:val="auto"/>
          <w:sz w:val="32"/>
          <w:szCs w:val="32"/>
          <w:highlight w:val="none"/>
          <w:lang w:eastAsia="zh-CN"/>
        </w:rPr>
        <w:t>一、</w:t>
      </w:r>
      <w:r>
        <w:rPr>
          <w:rFonts w:hint="eastAsia" w:ascii="Times New Roman" w:hAnsi="Times New Roman" w:eastAsia="黑体" w:cs="黑体"/>
          <w:color w:val="auto"/>
          <w:sz w:val="32"/>
          <w:szCs w:val="32"/>
          <w:highlight w:val="none"/>
          <w:lang w:val="en-US" w:eastAsia="zh-CN"/>
        </w:rPr>
        <w:t>2024年地区本级财政决算情况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楷体_GB2312" w:cs="楷体_GB2312"/>
          <w:b/>
          <w:bCs/>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楷体_GB2312" w:cs="楷体_GB2312"/>
          <w:b/>
          <w:bCs/>
          <w:color w:val="auto"/>
          <w:sz w:val="32"/>
          <w:szCs w:val="32"/>
          <w:highlight w:val="none"/>
          <w:lang w:val="en-US" w:eastAsia="zh-CN"/>
        </w:rPr>
        <w:t>（一）一般公共预算收支决算情况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1.收入情况：</w:t>
      </w:r>
      <w:r>
        <w:rPr>
          <w:rFonts w:hint="eastAsia" w:ascii="Times New Roman" w:hAnsi="Times New Roman" w:eastAsia="仿宋_GB2312" w:cs="仿宋_GB2312"/>
          <w:color w:val="auto"/>
          <w:sz w:val="32"/>
          <w:szCs w:val="32"/>
          <w:highlight w:val="none"/>
          <w:lang w:val="en-US" w:eastAsia="zh-CN"/>
        </w:rPr>
        <w:t>2024年，和田地区本级一般公共预算收入7.34亿元，其中：税收收入0.07亿元；非税收入7.27亿元。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2.支出情况：</w:t>
      </w:r>
      <w:r>
        <w:rPr>
          <w:rFonts w:hint="eastAsia" w:ascii="Times New Roman" w:hAnsi="Times New Roman" w:eastAsia="仿宋_GB2312" w:cs="仿宋_GB2312"/>
          <w:color w:val="auto"/>
          <w:sz w:val="32"/>
          <w:szCs w:val="32"/>
          <w:highlight w:val="none"/>
          <w:lang w:val="en-US" w:eastAsia="zh-CN"/>
        </w:rPr>
        <w:t>2024年，和田地区本级一般公共预算支出69.10亿元，同比增长12.0%。</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3.收支平衡情况：</w:t>
      </w:r>
      <w:r>
        <w:rPr>
          <w:rFonts w:hint="eastAsia" w:ascii="Times New Roman" w:hAnsi="Times New Roman" w:eastAsia="仿宋_GB2312" w:cs="仿宋_GB2312"/>
          <w:color w:val="auto"/>
          <w:sz w:val="32"/>
          <w:szCs w:val="32"/>
          <w:highlight w:val="none"/>
          <w:lang w:val="en-US" w:eastAsia="zh-CN"/>
        </w:rPr>
        <w:t>和田地区本级预算收入总计428.90亿元，支出总计420.56亿元</w:t>
      </w:r>
      <w:r>
        <w:rPr>
          <w:rFonts w:hint="eastAsia"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收支相抵，年终结余8.34亿元。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楷体_GB2312" w:cs="楷体_GB2312"/>
          <w:b/>
          <w:bCs/>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楷体_GB2312" w:cs="楷体_GB2312"/>
          <w:b/>
          <w:bCs/>
          <w:color w:val="auto"/>
          <w:sz w:val="32"/>
          <w:szCs w:val="32"/>
          <w:highlight w:val="none"/>
          <w:lang w:val="en-US" w:eastAsia="zh-CN"/>
        </w:rPr>
        <w:t>（二）政府性基金预算收支决算情况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1.收入情况：</w:t>
      </w:r>
      <w:r>
        <w:rPr>
          <w:rFonts w:hint="eastAsia" w:ascii="Times New Roman" w:hAnsi="Times New Roman" w:eastAsia="仿宋_GB2312" w:cs="仿宋_GB2312"/>
          <w:color w:val="auto"/>
          <w:sz w:val="32"/>
          <w:szCs w:val="32"/>
          <w:highlight w:val="none"/>
          <w:lang w:val="en-US" w:eastAsia="zh-CN"/>
        </w:rPr>
        <w:t>2024年和田地区本级政府性基金预算收入0.81亿元。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2.支出情况：</w:t>
      </w:r>
      <w:r>
        <w:rPr>
          <w:rFonts w:hint="eastAsia" w:ascii="Times New Roman" w:hAnsi="Times New Roman" w:eastAsia="仿宋_GB2312" w:cs="仿宋_GB2312"/>
          <w:color w:val="auto"/>
          <w:sz w:val="32"/>
          <w:szCs w:val="32"/>
          <w:highlight w:val="none"/>
          <w:lang w:val="en-US" w:eastAsia="zh-CN"/>
        </w:rPr>
        <w:t>2024年和田地区本级政府性基金预算支出1.62亿元。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3.收支平衡情况：</w:t>
      </w:r>
      <w:r>
        <w:rPr>
          <w:rFonts w:hint="eastAsia" w:ascii="Times New Roman" w:hAnsi="Times New Roman" w:eastAsia="仿宋_GB2312" w:cs="仿宋_GB2312"/>
          <w:color w:val="auto"/>
          <w:sz w:val="32"/>
          <w:szCs w:val="32"/>
          <w:highlight w:val="none"/>
          <w:lang w:val="en-US" w:eastAsia="zh-CN"/>
        </w:rPr>
        <w:t>和田地区本级政府性基金预算收入总计101.64亿元，支出总计97.39亿元，年终结余4.25亿元。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楷体_GB2312" w:cs="楷体_GB2312"/>
          <w:b/>
          <w:bCs/>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楷体_GB2312" w:cs="楷体_GB2312"/>
          <w:b/>
          <w:bCs/>
          <w:color w:val="auto"/>
          <w:sz w:val="32"/>
          <w:szCs w:val="32"/>
          <w:highlight w:val="none"/>
          <w:lang w:val="en-US" w:eastAsia="zh-CN"/>
        </w:rPr>
        <w:t>（三）国有资本经营预算收支决算情况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1.收入情况：</w:t>
      </w:r>
      <w:r>
        <w:rPr>
          <w:rFonts w:hint="eastAsia" w:ascii="Times New Roman" w:hAnsi="Times New Roman" w:eastAsia="仿宋_GB2312" w:cs="仿宋_GB2312"/>
          <w:color w:val="auto"/>
          <w:sz w:val="32"/>
          <w:szCs w:val="32"/>
          <w:highlight w:val="none"/>
          <w:lang w:val="en-US" w:eastAsia="zh-CN"/>
        </w:rPr>
        <w:t>2024年和田地区本级国有资本经营预算收入0.1838亿元。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2.支出情况：</w:t>
      </w:r>
      <w:r>
        <w:rPr>
          <w:rFonts w:hint="eastAsia" w:ascii="Times New Roman" w:hAnsi="Times New Roman" w:eastAsia="仿宋_GB2312" w:cs="仿宋_GB2312"/>
          <w:color w:val="auto"/>
          <w:sz w:val="32"/>
          <w:szCs w:val="32"/>
          <w:highlight w:val="none"/>
          <w:lang w:val="en-US" w:eastAsia="zh-CN"/>
        </w:rPr>
        <w:t>2024年和田地区本级国有资本经营预算支出0.1030亿元。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3.收支平衡情况：</w:t>
      </w:r>
      <w:r>
        <w:rPr>
          <w:rFonts w:hint="eastAsia" w:ascii="Times New Roman" w:hAnsi="Times New Roman" w:eastAsia="仿宋_GB2312" w:cs="仿宋_GB2312"/>
          <w:color w:val="auto"/>
          <w:sz w:val="32"/>
          <w:szCs w:val="32"/>
          <w:highlight w:val="none"/>
          <w:lang w:val="en-US" w:eastAsia="zh-CN"/>
        </w:rPr>
        <w:t>和田地区本级国有资本经营预算收入总计0.2481亿元，支出总计0.1605亿元，收支相抵，年终结余0.0876亿元。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楷体_GB2312" w:cs="楷体_GB2312"/>
          <w:b/>
          <w:bCs/>
          <w:color w:val="auto"/>
          <w:sz w:val="32"/>
          <w:szCs w:val="32"/>
          <w:highlight w:val="none"/>
          <w:lang w:val="en-US" w:eastAsia="zh-CN"/>
        </w:rPr>
      </w:pPr>
      <w:r>
        <w:rPr>
          <w:rFonts w:hint="eastAsia" w:ascii="Times New Roman" w:hAnsi="Times New Roman" w:eastAsia="楷体_GB2312" w:cs="楷体_GB2312"/>
          <w:b/>
          <w:bCs/>
          <w:color w:val="auto"/>
          <w:sz w:val="32"/>
          <w:szCs w:val="32"/>
          <w:highlight w:val="none"/>
          <w:lang w:val="en-US" w:eastAsia="zh-CN"/>
        </w:rPr>
        <w:t>（四）社会保险基金预算收支决算情况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1.收入情况：</w:t>
      </w:r>
      <w:r>
        <w:rPr>
          <w:rFonts w:hint="eastAsia" w:ascii="Times New Roman" w:hAnsi="Times New Roman" w:eastAsia="仿宋_GB2312" w:cs="仿宋_GB2312"/>
          <w:color w:val="auto"/>
          <w:sz w:val="32"/>
          <w:szCs w:val="32"/>
          <w:highlight w:val="none"/>
          <w:lang w:val="en-US" w:eastAsia="zh-CN"/>
        </w:rPr>
        <w:t>2024年和田地区本级社会保险基金预算收入72.32亿元。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2.支出情况：</w:t>
      </w:r>
      <w:r>
        <w:rPr>
          <w:rFonts w:hint="eastAsia" w:ascii="Times New Roman" w:hAnsi="Times New Roman" w:eastAsia="仿宋_GB2312" w:cs="仿宋_GB2312"/>
          <w:color w:val="auto"/>
          <w:sz w:val="32"/>
          <w:szCs w:val="32"/>
          <w:highlight w:val="none"/>
          <w:lang w:val="en-US" w:eastAsia="zh-CN"/>
        </w:rPr>
        <w:t>2024年和田地区本级社会保险基金预算支出64.72亿元。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3.收支平衡情况：</w:t>
      </w:r>
      <w:r>
        <w:rPr>
          <w:rFonts w:hint="eastAsia" w:ascii="Times New Roman" w:hAnsi="Times New Roman" w:eastAsia="仿宋_GB2312" w:cs="仿宋_GB2312"/>
          <w:color w:val="auto"/>
          <w:sz w:val="32"/>
          <w:szCs w:val="32"/>
          <w:highlight w:val="none"/>
          <w:lang w:val="en-US" w:eastAsia="zh-CN"/>
        </w:rPr>
        <w:t>和田地区本级社会保险基金预算收入总计151.85亿元，支出总计64.72亿元，收支相抵，年终结余87.13亿元。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楷体_GB2312" w:cs="楷体_GB2312"/>
          <w:b/>
          <w:bCs/>
          <w:color w:val="auto"/>
          <w:sz w:val="32"/>
          <w:szCs w:val="32"/>
          <w:highlight w:val="none"/>
          <w:lang w:val="en-US" w:eastAsia="zh-CN"/>
        </w:rPr>
      </w:pPr>
      <w:r>
        <w:rPr>
          <w:rFonts w:hint="eastAsia" w:ascii="Times New Roman" w:hAnsi="Times New Roman" w:eastAsia="楷体_GB2312" w:cs="楷体_GB2312"/>
          <w:b/>
          <w:bCs/>
          <w:color w:val="auto"/>
          <w:sz w:val="32"/>
          <w:szCs w:val="32"/>
          <w:highlight w:val="none"/>
          <w:lang w:val="en-US" w:eastAsia="zh-CN"/>
        </w:rPr>
        <w:t xml:space="preserve">    （五）其他情况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b/>
          <w:bCs/>
          <w:color w:val="auto"/>
          <w:sz w:val="32"/>
          <w:szCs w:val="32"/>
          <w:highlight w:val="none"/>
          <w:lang w:val="en-US" w:eastAsia="zh-CN"/>
        </w:rPr>
        <w:t xml:space="preserve">  1.“三公”经费情况。</w:t>
      </w:r>
      <w:r>
        <w:rPr>
          <w:rFonts w:hint="eastAsia" w:ascii="Times New Roman" w:hAnsi="Times New Roman" w:eastAsia="仿宋_GB2312" w:cs="仿宋_GB2312"/>
          <w:color w:val="auto"/>
          <w:sz w:val="32"/>
          <w:szCs w:val="32"/>
          <w:highlight w:val="none"/>
          <w:lang w:val="en-US" w:eastAsia="zh-CN"/>
        </w:rPr>
        <w:t>2024年，地区</w:t>
      </w:r>
      <w:r>
        <w:rPr>
          <w:rFonts w:hint="eastAsia" w:ascii="Times New Roman" w:hAnsi="Times New Roman" w:eastAsia="仿宋_GB2312" w:cs="仿宋_GB2312"/>
          <w:color w:val="auto"/>
          <w:sz w:val="32"/>
          <w:szCs w:val="32"/>
          <w:highlight w:val="none"/>
          <w:u w:val="none"/>
          <w:lang w:val="en-US" w:eastAsia="zh-CN"/>
        </w:rPr>
        <w:t>本级“三公”经费支出0.2391亿元，同比下降9.0%。主要为地</w:t>
      </w:r>
      <w:r>
        <w:rPr>
          <w:rFonts w:hint="eastAsia" w:ascii="Times New Roman" w:hAnsi="Times New Roman" w:eastAsia="仿宋_GB2312" w:cs="仿宋_GB2312"/>
          <w:color w:val="auto"/>
          <w:sz w:val="32"/>
          <w:szCs w:val="32"/>
          <w:highlight w:val="none"/>
        </w:rPr>
        <w:t>直各部门单位贯彻中央八项规定精神，严格落实“过紧日子”要求，严把支出关口，压减“三公”经费支出。</w:t>
      </w:r>
      <w:r>
        <w:rPr>
          <w:rFonts w:hint="eastAsia" w:ascii="Times New Roman" w:hAnsi="Times New Roman" w:eastAsia="仿宋_GB2312" w:cs="仿宋_GB2312"/>
          <w:color w:val="auto"/>
          <w:sz w:val="32"/>
          <w:szCs w:val="32"/>
          <w:highlight w:val="none"/>
          <w:u w:val="none"/>
          <w:lang w:val="en-US" w:eastAsia="zh-CN"/>
        </w:rPr>
        <w:t>其中：公务接待费支出0.0418亿元，同比减支0.0190亿元，下降31.3%；公务用车购置及运行维护费支出0.1973亿元，同比减支0.0045亿元，下降2.2%</w:t>
      </w:r>
      <w:r>
        <w:rPr>
          <w:rFonts w:hint="eastAsia" w:ascii="Times New Roman" w:hAnsi="Times New Roman" w:eastAsia="仿宋_GB2312" w:cs="仿宋_GB2312"/>
          <w:color w:val="auto"/>
          <w:sz w:val="32"/>
          <w:szCs w:val="32"/>
          <w:highlight w:val="none"/>
          <w:lang w:val="en-US"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 xml:space="preserve">    2.地方政府债务情况。一是政府债务总体限额情况。</w:t>
      </w:r>
      <w:r>
        <w:rPr>
          <w:rFonts w:hint="eastAsia" w:ascii="Times New Roman" w:hAnsi="Times New Roman" w:eastAsia="仿宋_GB2312" w:cs="仿宋_GB2312"/>
          <w:color w:val="auto"/>
          <w:sz w:val="32"/>
          <w:szCs w:val="32"/>
          <w:highlight w:val="none"/>
          <w:lang w:val="en-US" w:eastAsia="zh-CN"/>
        </w:rPr>
        <w:t>截至2024年12月末，和田地区本级债务总限额68.71亿元，其中：一般债务限额65.54亿元，专项债务限额3.17亿元。</w:t>
      </w:r>
      <w:r>
        <w:rPr>
          <w:rFonts w:hint="eastAsia" w:ascii="Times New Roman" w:hAnsi="Times New Roman" w:eastAsia="仿宋_GB2312" w:cs="仿宋_GB2312"/>
          <w:b/>
          <w:bCs/>
          <w:color w:val="auto"/>
          <w:sz w:val="32"/>
          <w:szCs w:val="32"/>
          <w:highlight w:val="none"/>
          <w:lang w:val="en-US" w:eastAsia="zh-CN"/>
        </w:rPr>
        <w:t>二是政府债务总体余额情况。</w:t>
      </w:r>
      <w:r>
        <w:rPr>
          <w:rFonts w:hint="eastAsia" w:ascii="Times New Roman" w:hAnsi="Times New Roman" w:eastAsia="仿宋_GB2312" w:cs="仿宋_GB2312"/>
          <w:color w:val="auto"/>
          <w:sz w:val="32"/>
          <w:szCs w:val="32"/>
          <w:highlight w:val="none"/>
          <w:lang w:val="en-US" w:eastAsia="zh-CN"/>
        </w:rPr>
        <w:t>截至2024年12月末，和田地区本级债务余额68.03亿元，其中：一般债务64.86亿元，专项债务3.17亿元，目前地区本级债务余额控制在自治区批准限额以内，限额空间0.68亿元。</w:t>
      </w:r>
      <w:r>
        <w:rPr>
          <w:rFonts w:hint="eastAsia" w:ascii="Times New Roman" w:hAnsi="Times New Roman" w:eastAsia="仿宋_GB2312" w:cs="仿宋_GB2312"/>
          <w:b/>
          <w:bCs/>
          <w:color w:val="auto"/>
          <w:sz w:val="32"/>
          <w:szCs w:val="32"/>
          <w:highlight w:val="none"/>
          <w:lang w:val="en-US" w:eastAsia="zh-CN"/>
        </w:rPr>
        <w:t>三是2024年新增地方政府债务限额下达情况。</w:t>
      </w:r>
      <w:r>
        <w:rPr>
          <w:rFonts w:hint="eastAsia" w:ascii="Times New Roman" w:hAnsi="Times New Roman" w:eastAsia="仿宋_GB2312" w:cs="仿宋_GB2312"/>
          <w:color w:val="auto"/>
          <w:sz w:val="32"/>
          <w:szCs w:val="32"/>
          <w:highlight w:val="none"/>
          <w:lang w:val="en-US" w:eastAsia="zh-CN"/>
        </w:rPr>
        <w:t>2024年经自治区人民政府批准，财政厅下达和田地区本级地方政府债务限额3.35亿元，其中：一般债务限额0.80亿元，专项债务限额2.55亿元。</w:t>
      </w:r>
      <w:r>
        <w:rPr>
          <w:rFonts w:hint="eastAsia" w:ascii="Times New Roman" w:hAnsi="Times New Roman" w:eastAsia="仿宋_GB2312" w:cs="仿宋_GB2312"/>
          <w:b/>
          <w:bCs/>
          <w:color w:val="auto"/>
          <w:sz w:val="32"/>
          <w:szCs w:val="32"/>
          <w:highlight w:val="none"/>
          <w:lang w:val="en-US" w:eastAsia="zh-CN"/>
        </w:rPr>
        <w:t>四是2024年地方政府债券资金使用情况。</w:t>
      </w:r>
      <w:r>
        <w:rPr>
          <w:rFonts w:hint="eastAsia" w:ascii="Times New Roman" w:hAnsi="Times New Roman" w:eastAsia="仿宋_GB2312" w:cs="仿宋_GB2312"/>
          <w:color w:val="auto"/>
          <w:sz w:val="32"/>
          <w:szCs w:val="32"/>
          <w:highlight w:val="none"/>
          <w:lang w:val="en-US" w:eastAsia="zh-CN"/>
        </w:rPr>
        <w:t>2024年和田地区本级发行新增债券4批次3.0亿元、项目6个，截至2025年5月末，已调整专项债券1.40亿元，调整后发行总数变为1.60亿元、项目5个，已支出1.60亿元，</w:t>
      </w:r>
      <w:r>
        <w:rPr>
          <w:rFonts w:hint="eastAsia" w:ascii="Times New Roman" w:hAnsi="Times New Roman" w:eastAsia="仿宋_GB2312" w:cs="仿宋_GB2312"/>
          <w:color w:val="auto"/>
          <w:spacing w:val="-20"/>
          <w:sz w:val="32"/>
          <w:szCs w:val="32"/>
          <w:highlight w:val="none"/>
          <w:lang w:val="en-US" w:eastAsia="zh-CN"/>
        </w:rPr>
        <w:t>支付率100%。其中：</w:t>
      </w:r>
      <w:r>
        <w:rPr>
          <w:rFonts w:hint="eastAsia" w:ascii="Times New Roman" w:hAnsi="Times New Roman" w:eastAsia="仿宋_GB2312" w:cs="仿宋_GB2312"/>
          <w:b/>
          <w:bCs/>
          <w:color w:val="auto"/>
          <w:sz w:val="32"/>
          <w:szCs w:val="32"/>
          <w:highlight w:val="none"/>
          <w:lang w:val="en-US" w:eastAsia="zh-CN"/>
        </w:rPr>
        <w:t>发行一般债券</w:t>
      </w:r>
      <w:r>
        <w:rPr>
          <w:rFonts w:hint="eastAsia" w:ascii="Times New Roman" w:hAnsi="Times New Roman" w:eastAsia="仿宋_GB2312" w:cs="仿宋_GB2312"/>
          <w:color w:val="auto"/>
          <w:sz w:val="32"/>
          <w:szCs w:val="32"/>
          <w:highlight w:val="none"/>
          <w:lang w:val="en-US" w:eastAsia="zh-CN"/>
        </w:rPr>
        <w:t>2批次0.80亿元、项目4个。</w:t>
      </w:r>
      <w:r>
        <w:rPr>
          <w:rFonts w:hint="eastAsia" w:ascii="Times New Roman" w:hAnsi="Times New Roman" w:eastAsia="仿宋_GB2312" w:cs="仿宋_GB2312"/>
          <w:b/>
          <w:bCs/>
          <w:color w:val="auto"/>
          <w:sz w:val="32"/>
          <w:szCs w:val="32"/>
          <w:highlight w:val="none"/>
          <w:lang w:val="en-US" w:eastAsia="zh-CN"/>
        </w:rPr>
        <w:t>发行专项债券</w:t>
      </w:r>
      <w:r>
        <w:rPr>
          <w:rFonts w:hint="eastAsia" w:ascii="Times New Roman" w:hAnsi="Times New Roman" w:eastAsia="仿宋_GB2312" w:cs="仿宋_GB2312"/>
          <w:color w:val="auto"/>
          <w:sz w:val="32"/>
          <w:szCs w:val="32"/>
          <w:highlight w:val="none"/>
          <w:lang w:val="en-US" w:eastAsia="zh-CN"/>
        </w:rPr>
        <w:t>2批次2.20亿元、项目2个，用于和田地区教育学院校区改扩建项目（二期）1.40亿元、和田职业技术学院（二期）建设项目0.80亿元。2025年5月调整和田地区教育学院校区改扩建项目（二期）项目1.40亿元，调整后发行总额变为0.80亿元、项目1个。</w:t>
      </w:r>
      <w:r>
        <w:rPr>
          <w:rFonts w:hint="eastAsia" w:ascii="Times New Roman" w:hAnsi="Times New Roman" w:eastAsia="仿宋_GB2312" w:cs="仿宋_GB2312"/>
          <w:b/>
          <w:bCs/>
          <w:color w:val="auto"/>
          <w:sz w:val="32"/>
          <w:szCs w:val="32"/>
          <w:highlight w:val="none"/>
          <w:lang w:val="en-US" w:eastAsia="zh-CN"/>
        </w:rPr>
        <w:t>五是隐性债务化解情况。</w:t>
      </w:r>
      <w:r>
        <w:rPr>
          <w:rFonts w:hint="eastAsia" w:ascii="Times New Roman" w:hAnsi="Times New Roman" w:eastAsia="仿宋_GB2312" w:cs="仿宋_GB2312"/>
          <w:color w:val="auto"/>
          <w:sz w:val="32"/>
          <w:szCs w:val="32"/>
          <w:highlight w:val="none"/>
          <w:lang w:val="en-US" w:eastAsia="zh-CN"/>
        </w:rPr>
        <w:t>按照化债计划，2024年地区本级存量隐性债务化解目标任务为0.35亿元。全年化解0.35亿元，化解率100%。</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二、2024年预算执行取得的主要成效</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u w:val="none"/>
          <w:lang w:val="en" w:eastAsia="zh-CN"/>
        </w:rPr>
        <w:t>经自治区第十四届人大常委会和田地区工作委员会第六</w:t>
      </w:r>
      <w:r>
        <w:rPr>
          <w:rFonts w:hint="eastAsia" w:ascii="Times New Roman" w:hAnsi="Times New Roman" w:eastAsia="仿宋_GB2312" w:cs="仿宋_GB2312"/>
          <w:color w:val="auto"/>
          <w:sz w:val="32"/>
          <w:szCs w:val="32"/>
          <w:highlight w:val="none"/>
          <w:u w:val="none"/>
          <w:lang w:val="en-US" w:eastAsia="zh-CN"/>
        </w:rPr>
        <w:t>次会议批准，按照2024年财政预算的审议意见</w:t>
      </w:r>
      <w:r>
        <w:rPr>
          <w:rFonts w:hint="eastAsia" w:ascii="Times New Roman" w:hAnsi="Times New Roman" w:eastAsia="仿宋_GB2312" w:cs="仿宋_GB2312"/>
          <w:color w:val="auto"/>
          <w:sz w:val="32"/>
          <w:szCs w:val="32"/>
          <w:highlight w:val="none"/>
          <w:lang w:val="en-US" w:eastAsia="zh-CN"/>
        </w:rPr>
        <w:t>要求，全地区各级财政部门</w:t>
      </w:r>
      <w:r>
        <w:rPr>
          <w:rFonts w:hint="eastAsia" w:ascii="Times New Roman" w:hAnsi="Times New Roman" w:eastAsia="仿宋_GB2312" w:cs="仿宋_GB2312"/>
          <w:color w:val="auto"/>
          <w:sz w:val="32"/>
          <w:szCs w:val="32"/>
          <w:highlight w:val="none"/>
          <w:u w:val="none"/>
          <w:lang w:val="en" w:eastAsia="zh-CN"/>
        </w:rPr>
        <w:t>在地委、行署的坚强领导下，在地区人大工委的监督指导下，不断强化财政收支管理，持续优化财政收支结构，</w:t>
      </w:r>
      <w:r>
        <w:rPr>
          <w:rFonts w:hint="eastAsia" w:ascii="Times New Roman" w:hAnsi="Times New Roman" w:eastAsia="仿宋_GB2312" w:cs="仿宋_GB2312"/>
          <w:color w:val="auto"/>
          <w:sz w:val="32"/>
          <w:szCs w:val="32"/>
          <w:highlight w:val="none"/>
          <w:lang w:val="en-US" w:eastAsia="zh-CN"/>
        </w:rPr>
        <w:t>积极防范化解地方政府债务风险，财政支撑保障能力明显增强，有力推动和田经济社会高质量发展。</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Times New Roman" w:hAnsi="Times New Roman" w:eastAsia="仿宋_GB2312" w:cs="仿宋_GB2312"/>
          <w:color w:val="auto"/>
          <w:sz w:val="32"/>
          <w:szCs w:val="32"/>
          <w:highlight w:val="none"/>
        </w:rPr>
      </w:pPr>
      <w:r>
        <w:rPr>
          <w:rFonts w:hint="eastAsia" w:ascii="Times New Roman" w:hAnsi="Times New Roman" w:eastAsia="楷体_GB2312" w:cs="楷体_GB2312"/>
          <w:b/>
          <w:bCs/>
          <w:color w:val="auto"/>
          <w:sz w:val="32"/>
          <w:szCs w:val="32"/>
          <w:highlight w:val="none"/>
          <w:lang w:eastAsia="zh-CN"/>
        </w:rPr>
        <w:t>（一）强化</w:t>
      </w:r>
      <w:r>
        <w:rPr>
          <w:rFonts w:hint="eastAsia" w:ascii="Times New Roman" w:hAnsi="Times New Roman" w:eastAsia="楷体_GB2312" w:cs="楷体_GB2312"/>
          <w:b/>
          <w:bCs/>
          <w:color w:val="auto"/>
          <w:sz w:val="32"/>
          <w:szCs w:val="32"/>
          <w:highlight w:val="none"/>
        </w:rPr>
        <w:t>收支管理，</w:t>
      </w:r>
      <w:r>
        <w:rPr>
          <w:rFonts w:hint="eastAsia" w:ascii="Times New Roman" w:hAnsi="Times New Roman" w:eastAsia="楷体_GB2312" w:cs="楷体_GB2312"/>
          <w:b/>
          <w:bCs/>
          <w:color w:val="auto"/>
          <w:sz w:val="32"/>
          <w:szCs w:val="32"/>
          <w:highlight w:val="none"/>
          <w:lang w:eastAsia="zh-CN"/>
        </w:rPr>
        <w:t>提升</w:t>
      </w:r>
      <w:r>
        <w:rPr>
          <w:rFonts w:hint="eastAsia" w:ascii="Times New Roman" w:hAnsi="Times New Roman" w:eastAsia="楷体_GB2312" w:cs="楷体_GB2312"/>
          <w:b/>
          <w:bCs/>
          <w:color w:val="auto"/>
          <w:sz w:val="32"/>
          <w:szCs w:val="32"/>
          <w:highlight w:val="none"/>
        </w:rPr>
        <w:t>财政保障能力</w:t>
      </w:r>
      <w:r>
        <w:rPr>
          <w:rFonts w:hint="eastAsia" w:ascii="Times New Roman" w:hAnsi="Times New Roman" w:eastAsia="楷体_GB2312" w:cs="楷体_GB2312"/>
          <w:b/>
          <w:bCs/>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2024年</w:t>
      </w:r>
      <w:r>
        <w:rPr>
          <w:rFonts w:hint="eastAsia" w:ascii="Times New Roman" w:hAnsi="Times New Roman" w:eastAsia="仿宋_GB2312" w:cs="仿宋_GB2312"/>
          <w:color w:val="auto"/>
          <w:sz w:val="32"/>
          <w:szCs w:val="32"/>
          <w:highlight w:val="none"/>
          <w:lang w:eastAsia="zh-CN"/>
        </w:rPr>
        <w:t>以来，全地区</w:t>
      </w:r>
      <w:r>
        <w:rPr>
          <w:rFonts w:hint="eastAsia" w:ascii="Times New Roman" w:hAnsi="Times New Roman" w:eastAsia="仿宋_GB2312" w:cs="仿宋_GB2312"/>
          <w:color w:val="auto"/>
          <w:sz w:val="32"/>
          <w:szCs w:val="32"/>
          <w:highlight w:val="none"/>
        </w:rPr>
        <w:t>各级</w:t>
      </w:r>
      <w:r>
        <w:rPr>
          <w:rFonts w:hint="eastAsia" w:ascii="Times New Roman" w:hAnsi="Times New Roman" w:eastAsia="仿宋_GB2312" w:cs="仿宋_GB2312"/>
          <w:color w:val="auto"/>
          <w:sz w:val="32"/>
          <w:szCs w:val="32"/>
          <w:highlight w:val="none"/>
          <w:lang w:eastAsia="zh-CN"/>
        </w:rPr>
        <w:t>财政部门</w:t>
      </w:r>
      <w:r>
        <w:rPr>
          <w:rFonts w:hint="eastAsia" w:ascii="Times New Roman" w:hAnsi="Times New Roman" w:eastAsia="仿宋_GB2312" w:cs="仿宋_GB2312"/>
          <w:color w:val="auto"/>
          <w:sz w:val="32"/>
          <w:szCs w:val="32"/>
          <w:highlight w:val="none"/>
        </w:rPr>
        <w:t>紧紧围绕</w:t>
      </w:r>
      <w:r>
        <w:rPr>
          <w:rFonts w:hint="eastAsia" w:ascii="Times New Roman" w:hAnsi="Times New Roman" w:eastAsia="仿宋_GB2312" w:cs="仿宋_GB2312"/>
          <w:color w:val="auto"/>
          <w:sz w:val="32"/>
          <w:szCs w:val="32"/>
          <w:highlight w:val="none"/>
          <w:lang w:eastAsia="zh-CN"/>
        </w:rPr>
        <w:t>地委、行署</w:t>
      </w:r>
      <w:r>
        <w:rPr>
          <w:rFonts w:hint="eastAsia" w:ascii="Times New Roman" w:hAnsi="Times New Roman" w:eastAsia="仿宋_GB2312" w:cs="仿宋_GB2312"/>
          <w:color w:val="auto"/>
          <w:sz w:val="32"/>
          <w:szCs w:val="32"/>
          <w:highlight w:val="none"/>
        </w:rPr>
        <w:t>决策部署，</w:t>
      </w:r>
      <w:r>
        <w:rPr>
          <w:rFonts w:hint="eastAsia" w:ascii="Times New Roman" w:hAnsi="Times New Roman" w:eastAsia="仿宋_GB2312" w:cs="仿宋_GB2312"/>
          <w:color w:val="auto"/>
          <w:sz w:val="32"/>
          <w:szCs w:val="32"/>
          <w:highlight w:val="none"/>
          <w:lang w:eastAsia="zh-CN"/>
        </w:rPr>
        <w:t>积极组织收入，持续</w:t>
      </w:r>
      <w:r>
        <w:rPr>
          <w:rFonts w:hint="eastAsia" w:ascii="Times New Roman" w:hAnsi="Times New Roman" w:eastAsia="仿宋_GB2312" w:cs="仿宋_GB2312"/>
          <w:color w:val="auto"/>
          <w:sz w:val="32"/>
          <w:szCs w:val="32"/>
          <w:highlight w:val="none"/>
        </w:rPr>
        <w:t>优化支出管</w:t>
      </w:r>
      <w:r>
        <w:rPr>
          <w:rFonts w:hint="eastAsia" w:ascii="Times New Roman" w:hAnsi="Times New Roman" w:eastAsia="仿宋_GB2312" w:cs="仿宋_GB2312"/>
          <w:color w:val="auto"/>
          <w:sz w:val="32"/>
          <w:szCs w:val="32"/>
          <w:highlight w:val="none"/>
          <w:u w:val="none"/>
        </w:rPr>
        <w:t>理</w:t>
      </w:r>
      <w:r>
        <w:rPr>
          <w:rFonts w:hint="eastAsia" w:ascii="Times New Roman" w:hAnsi="Times New Roman" w:eastAsia="仿宋_GB2312" w:cs="仿宋_GB2312"/>
          <w:color w:val="auto"/>
          <w:sz w:val="32"/>
          <w:szCs w:val="32"/>
          <w:highlight w:val="none"/>
          <w:u w:val="none"/>
          <w:lang w:eastAsia="zh-CN"/>
        </w:rPr>
        <w:t>，</w:t>
      </w:r>
      <w:r>
        <w:rPr>
          <w:rFonts w:hint="eastAsia" w:ascii="Times New Roman" w:hAnsi="Times New Roman" w:eastAsia="仿宋_GB2312" w:cs="仿宋_GB2312"/>
          <w:b w:val="0"/>
          <w:bCs w:val="0"/>
          <w:color w:val="auto"/>
          <w:sz w:val="32"/>
          <w:szCs w:val="32"/>
          <w:highlight w:val="none"/>
          <w:lang w:val="en-US" w:eastAsia="zh-CN"/>
        </w:rPr>
        <w:t>财政收入实现较快增长。</w:t>
      </w:r>
      <w:r>
        <w:rPr>
          <w:rFonts w:hint="eastAsia" w:ascii="Times New Roman" w:hAnsi="Times New Roman" w:eastAsia="仿宋_GB2312" w:cs="仿宋_GB2312"/>
          <w:b/>
          <w:bCs/>
          <w:color w:val="auto"/>
          <w:sz w:val="32"/>
          <w:szCs w:val="32"/>
          <w:highlight w:val="none"/>
          <w:lang w:val="en-US" w:eastAsia="zh-CN"/>
        </w:rPr>
        <w:t>积极扩大财源。</w:t>
      </w:r>
      <w:r>
        <w:rPr>
          <w:rFonts w:hint="eastAsia" w:ascii="Times New Roman" w:hAnsi="Times New Roman" w:eastAsia="仿宋_GB2312" w:cs="仿宋_GB2312"/>
          <w:color w:val="auto"/>
          <w:sz w:val="32"/>
          <w:szCs w:val="32"/>
          <w:highlight w:val="none"/>
          <w:lang w:val="en-US" w:eastAsia="zh-CN"/>
        </w:rPr>
        <w:t>坚持将组织财政收入作为主责主业，强化</w:t>
      </w:r>
      <w:r>
        <w:rPr>
          <w:rFonts w:hint="eastAsia" w:ascii="Times New Roman" w:hAnsi="Times New Roman" w:eastAsia="仿宋_GB2312" w:cs="仿宋_GB2312"/>
          <w:color w:val="auto"/>
          <w:spacing w:val="0"/>
          <w:sz w:val="32"/>
          <w:szCs w:val="32"/>
          <w:highlight w:val="none"/>
          <w:lang w:val="en-US" w:eastAsia="zh-CN"/>
        </w:rPr>
        <w:t>财税部门、涉税行业部门信息对接、数据共享，落实非税执收部门执收责任，千方百计扩大财源，2024年完成一般公共预算收入57.02</w:t>
      </w:r>
      <w:r>
        <w:rPr>
          <w:rFonts w:hint="eastAsia" w:ascii="Times New Roman" w:hAnsi="Times New Roman" w:eastAsia="仿宋_GB2312" w:cs="仿宋_GB2312"/>
          <w:color w:val="auto"/>
          <w:sz w:val="32"/>
          <w:szCs w:val="32"/>
          <w:highlight w:val="none"/>
          <w:lang w:val="en-US" w:eastAsia="zh-CN"/>
        </w:rPr>
        <w:t>亿元（增速16.1%，全疆排名第3位）。</w:t>
      </w:r>
      <w:r>
        <w:rPr>
          <w:rFonts w:hint="eastAsia" w:ascii="Times New Roman" w:hAnsi="Times New Roman" w:eastAsia="仿宋_GB2312" w:cs="仿宋_GB2312"/>
          <w:b/>
          <w:bCs/>
          <w:color w:val="auto"/>
          <w:sz w:val="32"/>
          <w:szCs w:val="32"/>
          <w:highlight w:val="none"/>
          <w:lang w:val="en-US" w:eastAsia="zh-CN"/>
        </w:rPr>
        <w:t>强化</w:t>
      </w:r>
      <w:r>
        <w:rPr>
          <w:rFonts w:hint="eastAsia" w:ascii="Times New Roman" w:hAnsi="Times New Roman" w:eastAsia="仿宋_GB2312" w:cs="仿宋_GB2312"/>
          <w:b/>
          <w:bCs/>
          <w:color w:val="auto"/>
          <w:sz w:val="32"/>
          <w:szCs w:val="32"/>
          <w:highlight w:val="none"/>
        </w:rPr>
        <w:t>财政保障能力。</w:t>
      </w:r>
      <w:r>
        <w:rPr>
          <w:rFonts w:hint="eastAsia" w:ascii="Times New Roman" w:hAnsi="Times New Roman" w:eastAsia="仿宋_GB2312" w:cs="仿宋_GB2312"/>
          <w:color w:val="auto"/>
          <w:sz w:val="32"/>
          <w:szCs w:val="32"/>
          <w:highlight w:val="none"/>
        </w:rPr>
        <w:t>牢固树立过“紧日子”思想，</w:t>
      </w:r>
      <w:r>
        <w:rPr>
          <w:rFonts w:hint="eastAsia" w:ascii="Times New Roman" w:hAnsi="Times New Roman" w:eastAsia="仿宋_GB2312" w:cs="仿宋_GB2312"/>
          <w:color w:val="auto"/>
          <w:sz w:val="32"/>
          <w:szCs w:val="32"/>
          <w:highlight w:val="none"/>
          <w:lang w:eastAsia="zh-CN"/>
        </w:rPr>
        <w:t>严格预算约束和预算执行，</w:t>
      </w:r>
      <w:r>
        <w:rPr>
          <w:rFonts w:hint="eastAsia" w:ascii="Times New Roman" w:hAnsi="Times New Roman" w:eastAsia="仿宋_GB2312" w:cs="仿宋_GB2312"/>
          <w:b w:val="0"/>
          <w:bCs w:val="0"/>
          <w:color w:val="auto"/>
          <w:sz w:val="32"/>
          <w:szCs w:val="32"/>
          <w:highlight w:val="none"/>
          <w:lang w:eastAsia="zh-CN"/>
        </w:rPr>
        <w:t>不断</w:t>
      </w:r>
      <w:r>
        <w:rPr>
          <w:rFonts w:hint="eastAsia" w:ascii="Times New Roman" w:hAnsi="Times New Roman" w:eastAsia="仿宋_GB2312" w:cs="仿宋_GB2312"/>
          <w:color w:val="auto"/>
          <w:sz w:val="32"/>
          <w:szCs w:val="32"/>
          <w:highlight w:val="none"/>
        </w:rPr>
        <w:t>优化支出结构</w:t>
      </w:r>
      <w:r>
        <w:rPr>
          <w:rFonts w:hint="eastAsia" w:ascii="Times New Roman" w:hAnsi="Times New Roman" w:eastAsia="仿宋_GB2312" w:cs="仿宋_GB2312"/>
          <w:color w:val="auto"/>
          <w:sz w:val="32"/>
          <w:szCs w:val="32"/>
          <w:highlight w:val="none"/>
          <w:lang w:eastAsia="zh-CN"/>
        </w:rPr>
        <w:t>，持续</w:t>
      </w:r>
      <w:r>
        <w:rPr>
          <w:rFonts w:hint="eastAsia" w:ascii="Times New Roman" w:hAnsi="Times New Roman" w:eastAsia="仿宋_GB2312" w:cs="仿宋_GB2312"/>
          <w:b w:val="0"/>
          <w:bCs w:val="0"/>
          <w:color w:val="auto"/>
          <w:spacing w:val="0"/>
          <w:sz w:val="32"/>
          <w:szCs w:val="32"/>
          <w:highlight w:val="none"/>
          <w:lang w:val="en-US" w:eastAsia="zh-CN"/>
        </w:rPr>
        <w:t>压减无效或低效项目支出。加大财政资源统筹，保持必要支出强度、加快支出进度，2024年</w:t>
      </w:r>
      <w:r>
        <w:rPr>
          <w:rFonts w:hint="eastAsia" w:ascii="Times New Roman" w:hAnsi="Times New Roman" w:eastAsia="仿宋_GB2312" w:cs="仿宋_GB2312"/>
          <w:color w:val="auto"/>
          <w:sz w:val="32"/>
          <w:szCs w:val="32"/>
          <w:highlight w:val="none"/>
          <w:lang w:eastAsia="zh-CN"/>
        </w:rPr>
        <w:t>全地区</w:t>
      </w:r>
      <w:r>
        <w:rPr>
          <w:rFonts w:hint="eastAsia" w:ascii="Times New Roman" w:hAnsi="Times New Roman" w:eastAsia="仿宋_GB2312" w:cs="仿宋_GB2312"/>
          <w:color w:val="auto"/>
          <w:sz w:val="32"/>
          <w:szCs w:val="32"/>
          <w:highlight w:val="none"/>
        </w:rPr>
        <w:t>一般公共预算支出</w:t>
      </w:r>
      <w:r>
        <w:rPr>
          <w:rFonts w:hint="eastAsia" w:ascii="Times New Roman" w:hAnsi="Times New Roman" w:eastAsia="仿宋_GB2312" w:cs="仿宋_GB2312"/>
          <w:color w:val="auto"/>
          <w:sz w:val="32"/>
          <w:szCs w:val="32"/>
          <w:highlight w:val="none"/>
          <w:lang w:val="en-US" w:eastAsia="zh-CN"/>
        </w:rPr>
        <w:t>460.62</w:t>
      </w:r>
      <w:r>
        <w:rPr>
          <w:rFonts w:hint="eastAsia" w:ascii="Times New Roman" w:hAnsi="Times New Roman" w:eastAsia="仿宋_GB2312" w:cs="仿宋_GB2312"/>
          <w:color w:val="auto"/>
          <w:sz w:val="32"/>
          <w:szCs w:val="32"/>
          <w:highlight w:val="none"/>
        </w:rPr>
        <w:t>亿元，同比增长</w:t>
      </w:r>
      <w:r>
        <w:rPr>
          <w:rFonts w:hint="eastAsia" w:ascii="Times New Roman" w:hAnsi="Times New Roman" w:eastAsia="仿宋_GB2312" w:cs="仿宋_GB2312"/>
          <w:color w:val="auto"/>
          <w:sz w:val="32"/>
          <w:szCs w:val="32"/>
          <w:highlight w:val="none"/>
          <w:lang w:val="en-US" w:eastAsia="zh-CN"/>
        </w:rPr>
        <w:t>0.03</w:t>
      </w:r>
      <w:r>
        <w:rPr>
          <w:rFonts w:hint="eastAsia" w:ascii="Times New Roman" w:hAnsi="Times New Roman" w:eastAsia="仿宋_GB2312" w:cs="仿宋_GB2312"/>
          <w:color w:val="auto"/>
          <w:sz w:val="32"/>
          <w:szCs w:val="32"/>
          <w:highlight w:val="none"/>
        </w:rPr>
        <w:t>%，有力保障了</w:t>
      </w:r>
      <w:r>
        <w:rPr>
          <w:rFonts w:hint="eastAsia" w:ascii="Times New Roman" w:hAnsi="Times New Roman" w:eastAsia="仿宋_GB2312" w:cs="仿宋_GB2312"/>
          <w:color w:val="auto"/>
          <w:sz w:val="32"/>
          <w:szCs w:val="32"/>
          <w:highlight w:val="none"/>
          <w:lang w:eastAsia="zh-CN"/>
        </w:rPr>
        <w:t>地委、行署</w:t>
      </w:r>
      <w:r>
        <w:rPr>
          <w:rFonts w:hint="eastAsia" w:ascii="Times New Roman" w:hAnsi="Times New Roman" w:eastAsia="仿宋_GB2312" w:cs="仿宋_GB2312"/>
          <w:color w:val="auto"/>
          <w:sz w:val="32"/>
          <w:szCs w:val="32"/>
          <w:highlight w:val="none"/>
        </w:rPr>
        <w:t>年初确定的各项重大支出。</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topLinePunct w:val="0"/>
        <w:autoSpaceDE/>
        <w:autoSpaceDN/>
        <w:bidi w:val="0"/>
        <w:adjustRightInd/>
        <w:snapToGrid/>
        <w:spacing w:line="560" w:lineRule="exact"/>
        <w:ind w:left="0" w:leftChars="0" w:right="0" w:rightChars="0" w:firstLine="642" w:firstLineChars="200"/>
        <w:outlineLvl w:val="9"/>
        <w:rPr>
          <w:rFonts w:hint="eastAsia" w:ascii="Times New Roman" w:hAnsi="Times New Roman" w:eastAsia="仿宋_GB2312" w:cs="仿宋_GB2312"/>
          <w:color w:val="auto"/>
          <w:sz w:val="32"/>
          <w:szCs w:val="32"/>
          <w:highlight w:val="none"/>
        </w:rPr>
      </w:pPr>
      <w:r>
        <w:rPr>
          <w:rFonts w:hint="default" w:ascii="Times New Roman" w:hAnsi="Times New Roman" w:eastAsia="楷体_GB2312" w:cs="Times New Roman"/>
          <w:b/>
          <w:bCs/>
          <w:color w:val="auto"/>
          <w:sz w:val="32"/>
          <w:szCs w:val="32"/>
          <w:highlight w:val="none"/>
        </w:rPr>
        <w:t>（二）落实财政政策，</w:t>
      </w:r>
      <w:r>
        <w:rPr>
          <w:rFonts w:hint="eastAsia" w:ascii="Times New Roman" w:hAnsi="Times New Roman" w:eastAsia="楷体_GB2312" w:cs="Times New Roman"/>
          <w:b/>
          <w:bCs/>
          <w:color w:val="auto"/>
          <w:sz w:val="32"/>
          <w:szCs w:val="32"/>
          <w:highlight w:val="none"/>
          <w:lang w:eastAsia="zh-CN"/>
        </w:rPr>
        <w:t>服务</w:t>
      </w:r>
      <w:r>
        <w:rPr>
          <w:rFonts w:hint="default" w:ascii="Times New Roman" w:hAnsi="Times New Roman" w:eastAsia="楷体_GB2312" w:cs="Times New Roman"/>
          <w:b/>
          <w:bCs/>
          <w:color w:val="auto"/>
          <w:sz w:val="32"/>
          <w:szCs w:val="32"/>
          <w:highlight w:val="none"/>
        </w:rPr>
        <w:t>经济</w:t>
      </w:r>
      <w:r>
        <w:rPr>
          <w:rFonts w:hint="eastAsia" w:ascii="Times New Roman" w:hAnsi="Times New Roman" w:eastAsia="楷体_GB2312" w:cs="Times New Roman"/>
          <w:b/>
          <w:bCs/>
          <w:color w:val="auto"/>
          <w:sz w:val="32"/>
          <w:szCs w:val="32"/>
          <w:highlight w:val="none"/>
          <w:lang w:eastAsia="zh-CN"/>
        </w:rPr>
        <w:t>社会发展。</w:t>
      </w:r>
      <w:r>
        <w:rPr>
          <w:rFonts w:hint="eastAsia" w:ascii="Times New Roman" w:hAnsi="Times New Roman" w:eastAsia="仿宋_GB2312" w:cs="仿宋_GB2312"/>
          <w:b w:val="0"/>
          <w:bCs w:val="0"/>
          <w:color w:val="auto"/>
          <w:sz w:val="32"/>
          <w:szCs w:val="32"/>
          <w:highlight w:val="none"/>
          <w:lang w:eastAsia="zh-CN"/>
        </w:rPr>
        <w:t>全</w:t>
      </w:r>
      <w:r>
        <w:rPr>
          <w:rFonts w:hint="eastAsia" w:ascii="Times New Roman" w:hAnsi="Times New Roman" w:eastAsia="仿宋_GB2312" w:cs="仿宋_GB2312"/>
          <w:color w:val="auto"/>
          <w:sz w:val="32"/>
          <w:szCs w:val="32"/>
          <w:highlight w:val="none"/>
          <w:lang w:eastAsia="zh-CN"/>
        </w:rPr>
        <w:t>地区</w:t>
      </w:r>
      <w:r>
        <w:rPr>
          <w:rFonts w:hint="eastAsia" w:ascii="Times New Roman" w:hAnsi="Times New Roman" w:eastAsia="仿宋_GB2312" w:cs="仿宋_GB2312"/>
          <w:color w:val="auto"/>
          <w:sz w:val="32"/>
          <w:szCs w:val="32"/>
          <w:highlight w:val="none"/>
        </w:rPr>
        <w:t>各级财政</w:t>
      </w:r>
      <w:r>
        <w:rPr>
          <w:rFonts w:hint="eastAsia" w:ascii="Times New Roman" w:hAnsi="Times New Roman" w:eastAsia="仿宋_GB2312" w:cs="仿宋_GB2312"/>
          <w:color w:val="auto"/>
          <w:sz w:val="32"/>
          <w:szCs w:val="32"/>
          <w:highlight w:val="none"/>
          <w:lang w:eastAsia="zh-CN"/>
        </w:rPr>
        <w:t>部门</w:t>
      </w:r>
      <w:r>
        <w:rPr>
          <w:rFonts w:hint="eastAsia" w:ascii="Times New Roman" w:hAnsi="Times New Roman" w:eastAsia="仿宋_GB2312" w:cs="仿宋_GB2312"/>
          <w:color w:val="auto"/>
          <w:sz w:val="32"/>
          <w:szCs w:val="32"/>
          <w:highlight w:val="none"/>
        </w:rPr>
        <w:t>紧扣经济社会发展目标，</w:t>
      </w:r>
      <w:r>
        <w:rPr>
          <w:rFonts w:hint="eastAsia" w:ascii="Times New Roman" w:hAnsi="Times New Roman" w:eastAsia="仿宋_GB2312" w:cs="仿宋_GB2312"/>
          <w:color w:val="auto"/>
          <w:sz w:val="32"/>
          <w:szCs w:val="32"/>
          <w:highlight w:val="none"/>
          <w:lang w:eastAsia="zh-CN"/>
        </w:rPr>
        <w:t>全面</w:t>
      </w:r>
      <w:r>
        <w:rPr>
          <w:rFonts w:hint="eastAsia" w:ascii="Times New Roman" w:hAnsi="Times New Roman" w:eastAsia="仿宋_GB2312" w:cs="仿宋_GB2312"/>
          <w:color w:val="auto"/>
          <w:sz w:val="32"/>
          <w:szCs w:val="32"/>
          <w:highlight w:val="none"/>
        </w:rPr>
        <w:t>贯彻积极</w:t>
      </w:r>
      <w:r>
        <w:rPr>
          <w:rFonts w:hint="eastAsia" w:ascii="Times New Roman" w:hAnsi="Times New Roman" w:eastAsia="仿宋_GB2312" w:cs="仿宋_GB2312"/>
          <w:color w:val="auto"/>
          <w:sz w:val="32"/>
          <w:szCs w:val="32"/>
          <w:highlight w:val="none"/>
          <w:lang w:eastAsia="zh-CN"/>
        </w:rPr>
        <w:t>的</w:t>
      </w:r>
      <w:r>
        <w:rPr>
          <w:rFonts w:hint="eastAsia" w:ascii="Times New Roman" w:hAnsi="Times New Roman" w:eastAsia="仿宋_GB2312" w:cs="仿宋_GB2312"/>
          <w:color w:val="auto"/>
          <w:sz w:val="32"/>
          <w:szCs w:val="32"/>
          <w:highlight w:val="none"/>
        </w:rPr>
        <w:t>财政政策，</w:t>
      </w:r>
      <w:r>
        <w:rPr>
          <w:rFonts w:hint="eastAsia" w:ascii="Times New Roman" w:hAnsi="Times New Roman" w:eastAsia="仿宋_GB2312" w:cs="仿宋_GB2312"/>
          <w:color w:val="auto"/>
          <w:sz w:val="32"/>
          <w:szCs w:val="32"/>
          <w:highlight w:val="none"/>
          <w:lang w:eastAsia="zh-CN"/>
        </w:rPr>
        <w:t>全力</w:t>
      </w:r>
      <w:r>
        <w:rPr>
          <w:rFonts w:hint="eastAsia" w:ascii="Times New Roman" w:hAnsi="Times New Roman" w:eastAsia="仿宋_GB2312" w:cs="仿宋_GB2312"/>
          <w:color w:val="auto"/>
          <w:sz w:val="32"/>
          <w:szCs w:val="32"/>
          <w:highlight w:val="none"/>
        </w:rPr>
        <w:t>稳增长、促改革、调结构、惠民生、防风险。</w:t>
      </w:r>
      <w:r>
        <w:rPr>
          <w:rFonts w:hint="eastAsia" w:ascii="Times New Roman" w:hAnsi="Times New Roman" w:eastAsia="仿宋_GB2312" w:cs="仿宋_GB2312"/>
          <w:b/>
          <w:bCs/>
          <w:color w:val="auto"/>
          <w:sz w:val="32"/>
          <w:szCs w:val="32"/>
          <w:highlight w:val="none"/>
        </w:rPr>
        <w:t>全面落实税费优惠政策。</w:t>
      </w:r>
      <w:r>
        <w:rPr>
          <w:rFonts w:hint="eastAsia" w:ascii="Times New Roman" w:hAnsi="Times New Roman" w:eastAsia="仿宋_GB2312" w:cs="仿宋_GB2312"/>
          <w:b w:val="0"/>
          <w:bCs w:val="0"/>
          <w:color w:val="auto"/>
          <w:sz w:val="32"/>
          <w:szCs w:val="32"/>
          <w:highlight w:val="none"/>
          <w:lang w:eastAsia="zh-CN"/>
        </w:rPr>
        <w:t>实施好研发费用税前加计扣除、科技成果转化税收减免等政策，减免科技创新和先进制造业税收</w:t>
      </w:r>
      <w:r>
        <w:rPr>
          <w:rFonts w:hint="eastAsia" w:ascii="Times New Roman" w:hAnsi="Times New Roman" w:eastAsia="仿宋_GB2312" w:cs="仿宋_GB2312"/>
          <w:b w:val="0"/>
          <w:bCs w:val="0"/>
          <w:color w:val="auto"/>
          <w:sz w:val="32"/>
          <w:szCs w:val="32"/>
          <w:highlight w:val="none"/>
          <w:lang w:val="en-US" w:eastAsia="zh-CN"/>
        </w:rPr>
        <w:t>0.07亿元</w:t>
      </w:r>
      <w:r>
        <w:rPr>
          <w:rFonts w:hint="eastAsia" w:ascii="Times New Roman" w:hAnsi="Times New Roman" w:eastAsia="仿宋_GB2312" w:cs="仿宋_GB2312"/>
          <w:b w:val="0"/>
          <w:bCs w:val="0"/>
          <w:color w:val="auto"/>
          <w:sz w:val="32"/>
          <w:szCs w:val="32"/>
          <w:highlight w:val="none"/>
          <w:lang w:eastAsia="zh-CN"/>
        </w:rPr>
        <w:t>。不断</w:t>
      </w:r>
      <w:r>
        <w:rPr>
          <w:rFonts w:hint="eastAsia" w:ascii="Times New Roman" w:hAnsi="Times New Roman" w:eastAsia="仿宋_GB2312" w:cs="仿宋_GB2312"/>
          <w:color w:val="auto"/>
          <w:sz w:val="32"/>
          <w:szCs w:val="32"/>
          <w:highlight w:val="none"/>
        </w:rPr>
        <w:t>加大支持实体经济力度，</w:t>
      </w:r>
      <w:r>
        <w:rPr>
          <w:rFonts w:hint="eastAsia" w:ascii="Times New Roman" w:hAnsi="Times New Roman" w:eastAsia="仿宋_GB2312" w:cs="仿宋_GB2312"/>
          <w:color w:val="auto"/>
          <w:sz w:val="32"/>
          <w:szCs w:val="32"/>
          <w:highlight w:val="none"/>
          <w:lang w:eastAsia="zh-CN"/>
        </w:rPr>
        <w:t>进一步激发市场活力，</w:t>
      </w:r>
      <w:r>
        <w:rPr>
          <w:rFonts w:hint="eastAsia" w:ascii="Times New Roman" w:hAnsi="Times New Roman" w:eastAsia="仿宋_GB2312" w:cs="仿宋_GB2312"/>
          <w:color w:val="auto"/>
          <w:sz w:val="32"/>
          <w:szCs w:val="32"/>
          <w:highlight w:val="none"/>
        </w:rPr>
        <w:t>切实减轻中小企业税费负担，降低运行成本，助力企业轻装上阵、</w:t>
      </w:r>
      <w:r>
        <w:rPr>
          <w:rFonts w:hint="eastAsia" w:ascii="Times New Roman" w:hAnsi="Times New Roman" w:eastAsia="仿宋_GB2312" w:cs="仿宋_GB2312"/>
          <w:color w:val="auto"/>
          <w:sz w:val="32"/>
          <w:szCs w:val="32"/>
          <w:highlight w:val="none"/>
          <w:lang w:eastAsia="zh-CN"/>
        </w:rPr>
        <w:t>提振发展信心</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rPr>
        <w:t>用好用活</w:t>
      </w:r>
      <w:r>
        <w:rPr>
          <w:rFonts w:hint="eastAsia" w:ascii="Times New Roman" w:hAnsi="Times New Roman" w:eastAsia="仿宋_GB2312" w:cs="仿宋_GB2312"/>
          <w:b/>
          <w:bCs/>
          <w:color w:val="auto"/>
          <w:sz w:val="32"/>
          <w:szCs w:val="32"/>
          <w:highlight w:val="none"/>
          <w:lang w:eastAsia="zh-CN"/>
        </w:rPr>
        <w:t>增发国债</w:t>
      </w:r>
      <w:r>
        <w:rPr>
          <w:rFonts w:hint="eastAsia" w:ascii="Times New Roman" w:hAnsi="Times New Roman" w:eastAsia="仿宋_GB2312" w:cs="仿宋_GB2312"/>
          <w:b/>
          <w:bCs/>
          <w:color w:val="auto"/>
          <w:sz w:val="32"/>
          <w:szCs w:val="32"/>
          <w:highlight w:val="none"/>
        </w:rPr>
        <w:t>资金。</w:t>
      </w:r>
      <w:r>
        <w:rPr>
          <w:rFonts w:hint="eastAsia" w:ascii="Times New Roman" w:hAnsi="Times New Roman" w:eastAsia="仿宋_GB2312" w:cs="仿宋_GB2312"/>
          <w:b w:val="0"/>
          <w:bCs w:val="0"/>
          <w:color w:val="auto"/>
          <w:sz w:val="32"/>
          <w:szCs w:val="32"/>
          <w:highlight w:val="none"/>
          <w:lang w:eastAsia="zh-CN"/>
        </w:rPr>
        <w:t>不断提升防灾减灾救灾能力，通过治水兴和，夯实农业生产发展基础，迸发绿色发展新活力。</w:t>
      </w:r>
      <w:r>
        <w:rPr>
          <w:rFonts w:hint="eastAsia" w:ascii="Times New Roman" w:hAnsi="Times New Roman" w:eastAsia="仿宋_GB2312" w:cs="仿宋_GB2312"/>
          <w:b/>
          <w:bCs/>
          <w:color w:val="auto"/>
          <w:sz w:val="32"/>
          <w:szCs w:val="32"/>
          <w:highlight w:val="none"/>
          <w:lang w:eastAsia="zh-CN"/>
        </w:rPr>
        <w:t>充分发挥超长期特别国债效能。</w:t>
      </w:r>
      <w:r>
        <w:rPr>
          <w:rFonts w:hint="eastAsia" w:ascii="Times New Roman" w:hAnsi="Times New Roman" w:eastAsia="仿宋_GB2312" w:cs="仿宋_GB2312"/>
          <w:b w:val="0"/>
          <w:bCs w:val="0"/>
          <w:color w:val="auto"/>
          <w:sz w:val="32"/>
          <w:szCs w:val="32"/>
          <w:highlight w:val="none"/>
          <w:lang w:eastAsia="zh-CN"/>
        </w:rPr>
        <w:t>加力支持</w:t>
      </w:r>
      <w:r>
        <w:rPr>
          <w:rFonts w:hint="eastAsia" w:ascii="Times New Roman" w:hAnsi="Times New Roman" w:eastAsia="仿宋_GB2312" w:cs="仿宋_GB2312"/>
          <w:b w:val="0"/>
          <w:bCs w:val="0"/>
          <w:color w:val="auto"/>
          <w:sz w:val="32"/>
          <w:szCs w:val="32"/>
          <w:highlight w:val="none"/>
          <w:lang w:val="en-US" w:eastAsia="zh-CN"/>
        </w:rPr>
        <w:t>城市管网老化更新、消费品以旧换新、循环利用等工作，重点加大汽车报废更新、家电产品以旧换新补贴力度，明确资金使用负面清单，让“真金白银”直达消费者。</w:t>
      </w:r>
      <w:r>
        <w:rPr>
          <w:rFonts w:hint="eastAsia" w:ascii="Times New Roman" w:hAnsi="Times New Roman" w:eastAsia="仿宋_GB2312" w:cs="仿宋_GB2312"/>
          <w:b/>
          <w:bCs/>
          <w:color w:val="auto"/>
          <w:sz w:val="32"/>
          <w:szCs w:val="32"/>
          <w:highlight w:val="none"/>
          <w:lang w:val="en-US" w:eastAsia="zh-CN"/>
        </w:rPr>
        <w:t>积极推进落实一揽子化债方案。</w:t>
      </w:r>
      <w:r>
        <w:rPr>
          <w:rFonts w:hint="eastAsia" w:ascii="Times New Roman" w:hAnsi="Times New Roman" w:eastAsia="仿宋_GB2312" w:cs="仿宋_GB2312"/>
          <w:b w:val="0"/>
          <w:bCs w:val="0"/>
          <w:color w:val="auto"/>
          <w:sz w:val="32"/>
          <w:szCs w:val="32"/>
          <w:highlight w:val="none"/>
          <w:lang w:val="en-US" w:eastAsia="zh-CN"/>
        </w:rPr>
        <w:t>在国家、自治区的大力支持下，置换存量隐性债务，有效缓解地方当期化债压力，促进畅通资金链条，增强发展动能。</w:t>
      </w:r>
      <w:r>
        <w:rPr>
          <w:rFonts w:hint="eastAsia" w:ascii="Times New Roman" w:hAnsi="Times New Roman" w:eastAsia="仿宋_GB2312" w:cs="仿宋_GB2312"/>
          <w:b/>
          <w:bCs/>
          <w:color w:val="auto"/>
          <w:sz w:val="32"/>
          <w:szCs w:val="32"/>
          <w:highlight w:val="none"/>
        </w:rPr>
        <w:t>充分发挥债券资金投资拉动和杠杆作用。</w:t>
      </w:r>
      <w:r>
        <w:rPr>
          <w:rFonts w:hint="eastAsia" w:ascii="Times New Roman" w:hAnsi="Times New Roman" w:eastAsia="仿宋_GB2312" w:cs="仿宋_GB2312"/>
          <w:color w:val="auto"/>
          <w:sz w:val="32"/>
          <w:szCs w:val="32"/>
          <w:highlight w:val="none"/>
        </w:rPr>
        <w:t>全</w:t>
      </w:r>
      <w:r>
        <w:rPr>
          <w:rFonts w:hint="eastAsia" w:ascii="Times New Roman" w:hAnsi="Times New Roman" w:eastAsia="仿宋_GB2312" w:cs="仿宋_GB2312"/>
          <w:color w:val="auto"/>
          <w:sz w:val="32"/>
          <w:szCs w:val="32"/>
          <w:highlight w:val="none"/>
          <w:u w:val="none"/>
        </w:rPr>
        <w:t>年发行</w:t>
      </w:r>
      <w:r>
        <w:rPr>
          <w:rFonts w:hint="eastAsia" w:ascii="Times New Roman" w:hAnsi="Times New Roman" w:eastAsia="仿宋_GB2312" w:cs="仿宋_GB2312"/>
          <w:color w:val="auto"/>
          <w:sz w:val="32"/>
          <w:szCs w:val="32"/>
          <w:highlight w:val="none"/>
          <w:u w:val="none"/>
          <w:lang w:eastAsia="zh-CN"/>
        </w:rPr>
        <w:t>转贷</w:t>
      </w:r>
      <w:r>
        <w:rPr>
          <w:rFonts w:hint="eastAsia" w:ascii="Times New Roman" w:hAnsi="Times New Roman" w:eastAsia="仿宋_GB2312" w:cs="仿宋_GB2312"/>
          <w:color w:val="auto"/>
          <w:sz w:val="32"/>
          <w:szCs w:val="32"/>
          <w:highlight w:val="none"/>
          <w:u w:val="none"/>
        </w:rPr>
        <w:t>地方政府新增债券重点</w:t>
      </w:r>
      <w:r>
        <w:rPr>
          <w:rFonts w:hint="eastAsia" w:ascii="Times New Roman" w:hAnsi="Times New Roman" w:eastAsia="仿宋_GB2312" w:cs="仿宋_GB2312"/>
          <w:color w:val="auto"/>
          <w:sz w:val="32"/>
          <w:szCs w:val="32"/>
          <w:highlight w:val="none"/>
        </w:rPr>
        <w:t>支持</w:t>
      </w:r>
      <w:r>
        <w:rPr>
          <w:rFonts w:hint="eastAsia" w:ascii="Times New Roman" w:hAnsi="Times New Roman" w:eastAsia="仿宋_GB2312" w:cs="仿宋_GB2312"/>
          <w:color w:val="auto"/>
          <w:sz w:val="32"/>
          <w:szCs w:val="32"/>
          <w:highlight w:val="none"/>
          <w:lang w:eastAsia="zh-CN"/>
        </w:rPr>
        <w:t>医疗</w:t>
      </w:r>
      <w:r>
        <w:rPr>
          <w:rFonts w:hint="eastAsia" w:ascii="Times New Roman" w:hAnsi="Times New Roman" w:eastAsia="仿宋_GB2312" w:cs="仿宋_GB2312"/>
          <w:color w:val="auto"/>
          <w:sz w:val="32"/>
          <w:szCs w:val="32"/>
          <w:highlight w:val="none"/>
        </w:rPr>
        <w:t>卫生、交通、农林水利、生态环保、市政基础设施、旅游基础设施等领域项目建设，为稳住</w:t>
      </w:r>
      <w:r>
        <w:rPr>
          <w:rFonts w:hint="eastAsia" w:ascii="Times New Roman" w:hAnsi="Times New Roman" w:eastAsia="仿宋_GB2312" w:cs="仿宋_GB2312"/>
          <w:color w:val="auto"/>
          <w:sz w:val="32"/>
          <w:szCs w:val="32"/>
          <w:highlight w:val="none"/>
          <w:lang w:eastAsia="zh-CN"/>
        </w:rPr>
        <w:t>全地区</w:t>
      </w:r>
      <w:r>
        <w:rPr>
          <w:rFonts w:hint="eastAsia" w:ascii="Times New Roman" w:hAnsi="Times New Roman" w:eastAsia="仿宋_GB2312" w:cs="仿宋_GB2312"/>
          <w:color w:val="auto"/>
          <w:sz w:val="32"/>
          <w:szCs w:val="32"/>
          <w:highlight w:val="none"/>
        </w:rPr>
        <w:t>经济发展</w:t>
      </w:r>
      <w:r>
        <w:rPr>
          <w:rFonts w:hint="eastAsia" w:ascii="Times New Roman" w:hAnsi="Times New Roman" w:eastAsia="仿宋_GB2312" w:cs="仿宋_GB2312"/>
          <w:color w:val="auto"/>
          <w:sz w:val="32"/>
          <w:szCs w:val="32"/>
          <w:highlight w:val="none"/>
          <w:lang w:eastAsia="zh-CN"/>
        </w:rPr>
        <w:t>“基本盘”</w:t>
      </w:r>
      <w:r>
        <w:rPr>
          <w:rFonts w:hint="eastAsia" w:ascii="Times New Roman" w:hAnsi="Times New Roman" w:eastAsia="仿宋_GB2312" w:cs="仿宋_GB2312"/>
          <w:color w:val="auto"/>
          <w:sz w:val="32"/>
          <w:szCs w:val="32"/>
          <w:highlight w:val="none"/>
        </w:rPr>
        <w:t>提供了重要支撑。</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val="0"/>
        <w:topLinePunct w:val="0"/>
        <w:autoSpaceDE/>
        <w:autoSpaceDN/>
        <w:bidi w:val="0"/>
        <w:adjustRightInd/>
        <w:snapToGrid/>
        <w:spacing w:line="560" w:lineRule="exact"/>
        <w:ind w:left="0" w:leftChars="0" w:right="0" w:rightChars="0" w:firstLine="642" w:firstLineChars="200"/>
        <w:textAlignment w:val="top"/>
        <w:outlineLvl w:val="9"/>
        <w:rPr>
          <w:rFonts w:hint="eastAsia" w:ascii="Times New Roman" w:hAnsi="Times New Roman" w:eastAsia="仿宋_GB2312" w:cs="仿宋_GB2312"/>
          <w:color w:val="auto"/>
          <w:sz w:val="32"/>
          <w:szCs w:val="32"/>
          <w:highlight w:val="none"/>
          <w:u w:val="none"/>
          <w:lang w:val="en-US" w:eastAsia="zh-CN"/>
        </w:rPr>
      </w:pPr>
      <w:r>
        <w:rPr>
          <w:rFonts w:hint="eastAsia" w:ascii="Times New Roman" w:hAnsi="Times New Roman" w:eastAsia="楷体_GB2312" w:cs="楷体_GB2312"/>
          <w:b/>
          <w:bCs/>
          <w:color w:val="auto"/>
          <w:sz w:val="32"/>
          <w:szCs w:val="32"/>
          <w:highlight w:val="none"/>
          <w:lang w:eastAsia="zh-CN"/>
        </w:rPr>
        <w:t>（三）加大民生投入，</w:t>
      </w:r>
      <w:r>
        <w:rPr>
          <w:rFonts w:hint="eastAsia" w:ascii="Times New Roman" w:hAnsi="Times New Roman" w:eastAsia="楷体_GB2312" w:cs="楷体_GB2312"/>
          <w:b/>
          <w:bCs/>
          <w:color w:val="auto"/>
          <w:sz w:val="32"/>
          <w:highlight w:val="none"/>
          <w:lang w:val="en-US" w:eastAsia="zh-CN"/>
        </w:rPr>
        <w:t>增进民生福祉。</w:t>
      </w:r>
      <w:r>
        <w:rPr>
          <w:rFonts w:hint="eastAsia" w:ascii="Times New Roman" w:hAnsi="Times New Roman" w:eastAsia="仿宋_GB2312" w:cs="仿宋_GB2312"/>
          <w:color w:val="auto"/>
          <w:sz w:val="32"/>
          <w:szCs w:val="32"/>
          <w:highlight w:val="none"/>
          <w:lang w:eastAsia="zh-CN"/>
        </w:rPr>
        <w:t>全地区</w:t>
      </w:r>
      <w:r>
        <w:rPr>
          <w:rFonts w:hint="eastAsia" w:ascii="Times New Roman" w:hAnsi="Times New Roman" w:eastAsia="仿宋_GB2312" w:cs="仿宋_GB2312"/>
          <w:color w:val="auto"/>
          <w:sz w:val="32"/>
          <w:szCs w:val="32"/>
          <w:highlight w:val="none"/>
        </w:rPr>
        <w:t>各级财政</w:t>
      </w:r>
      <w:r>
        <w:rPr>
          <w:rFonts w:hint="eastAsia" w:ascii="Times New Roman" w:hAnsi="Times New Roman" w:eastAsia="仿宋_GB2312" w:cs="仿宋_GB2312"/>
          <w:color w:val="auto"/>
          <w:sz w:val="32"/>
          <w:szCs w:val="32"/>
          <w:highlight w:val="none"/>
          <w:lang w:eastAsia="zh-CN"/>
        </w:rPr>
        <w:t>牢固树立</w:t>
      </w:r>
      <w:r>
        <w:rPr>
          <w:rFonts w:hint="eastAsia" w:ascii="Times New Roman" w:hAnsi="Times New Roman" w:eastAsia="仿宋_GB2312" w:cs="仿宋_GB2312"/>
          <w:color w:val="auto"/>
          <w:sz w:val="32"/>
          <w:szCs w:val="32"/>
          <w:highlight w:val="none"/>
        </w:rPr>
        <w:t>以人民为中心的发展思想，坚持把一般公共预算支出的70</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以上用于保障改善民生。202</w:t>
      </w: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全地区</w:t>
      </w:r>
      <w:r>
        <w:rPr>
          <w:rFonts w:hint="eastAsia" w:ascii="Times New Roman" w:hAnsi="Times New Roman" w:eastAsia="仿宋_GB2312" w:cs="仿宋_GB2312"/>
          <w:color w:val="auto"/>
          <w:sz w:val="32"/>
          <w:szCs w:val="32"/>
          <w:highlight w:val="none"/>
        </w:rPr>
        <w:t>民生支出达</w:t>
      </w:r>
      <w:r>
        <w:rPr>
          <w:rFonts w:hint="eastAsia" w:ascii="Times New Roman" w:hAnsi="Times New Roman" w:eastAsia="仿宋_GB2312" w:cs="仿宋_GB2312"/>
          <w:color w:val="auto"/>
          <w:sz w:val="32"/>
          <w:szCs w:val="32"/>
          <w:highlight w:val="none"/>
          <w:lang w:val="en-US" w:eastAsia="zh-CN"/>
        </w:rPr>
        <w:t>367.78</w:t>
      </w:r>
      <w:r>
        <w:rPr>
          <w:rFonts w:hint="eastAsia" w:ascii="Times New Roman" w:hAnsi="Times New Roman" w:eastAsia="仿宋_GB2312" w:cs="仿宋_GB2312"/>
          <w:color w:val="auto"/>
          <w:sz w:val="32"/>
          <w:szCs w:val="32"/>
          <w:highlight w:val="none"/>
        </w:rPr>
        <w:t>亿元，占一般公共财政预算支出的</w:t>
      </w:r>
      <w:r>
        <w:rPr>
          <w:rFonts w:hint="eastAsia" w:ascii="Times New Roman" w:hAnsi="Times New Roman" w:eastAsia="仿宋_GB2312" w:cs="仿宋_GB2312"/>
          <w:color w:val="auto"/>
          <w:sz w:val="32"/>
          <w:szCs w:val="32"/>
          <w:highlight w:val="none"/>
          <w:lang w:val="en-US" w:eastAsia="zh-CN"/>
        </w:rPr>
        <w:t>79.8</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bCs/>
          <w:color w:val="auto"/>
          <w:sz w:val="32"/>
          <w:szCs w:val="32"/>
          <w:highlight w:val="none"/>
        </w:rPr>
        <w:t>夯实就业基础</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color w:val="auto"/>
          <w:sz w:val="32"/>
          <w:szCs w:val="32"/>
          <w:highlight w:val="none"/>
        </w:rPr>
        <w:t>安排</w:t>
      </w:r>
      <w:r>
        <w:rPr>
          <w:rFonts w:hint="eastAsia" w:ascii="Times New Roman" w:hAnsi="Times New Roman" w:eastAsia="仿宋_GB2312" w:cs="仿宋_GB2312"/>
          <w:color w:val="auto"/>
          <w:kern w:val="0"/>
          <w:sz w:val="32"/>
          <w:szCs w:val="32"/>
          <w:highlight w:val="none"/>
        </w:rPr>
        <w:t>资金</w:t>
      </w:r>
      <w:r>
        <w:rPr>
          <w:rFonts w:hint="eastAsia" w:ascii="Times New Roman" w:hAnsi="Times New Roman" w:eastAsia="仿宋_GB2312" w:cs="仿宋_GB2312"/>
          <w:color w:val="auto"/>
          <w:sz w:val="32"/>
          <w:szCs w:val="32"/>
          <w:highlight w:val="none"/>
          <w:lang w:val="en-US" w:eastAsia="zh-CN"/>
        </w:rPr>
        <w:t>2.79</w:t>
      </w:r>
      <w:r>
        <w:rPr>
          <w:rFonts w:hint="eastAsia" w:ascii="Times New Roman" w:hAnsi="Times New Roman" w:eastAsia="仿宋_GB2312" w:cs="仿宋_GB2312"/>
          <w:color w:val="auto"/>
          <w:sz w:val="32"/>
          <w:szCs w:val="32"/>
          <w:highlight w:val="none"/>
        </w:rPr>
        <w:t>亿元用于落实就业优先战略，大力支持城镇新增就业、高校毕业生就业及自主创业等。</w:t>
      </w:r>
      <w:r>
        <w:rPr>
          <w:rFonts w:hint="eastAsia" w:ascii="Times New Roman" w:hAnsi="Times New Roman" w:eastAsia="仿宋_GB2312" w:cs="仿宋_GB2312"/>
          <w:b/>
          <w:bCs/>
          <w:color w:val="auto"/>
          <w:sz w:val="32"/>
          <w:szCs w:val="32"/>
          <w:highlight w:val="none"/>
        </w:rPr>
        <w:t>推进学有所教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color w:val="auto"/>
          <w:sz w:val="32"/>
          <w:szCs w:val="32"/>
          <w:highlight w:val="none"/>
        </w:rPr>
        <w:t>安排资金127.46亿元用于支持教育发展，落实义务教育经费保障机制，推动基本公共教育服务优质均衡发展。加快</w:t>
      </w:r>
      <w:r>
        <w:rPr>
          <w:rFonts w:hint="eastAsia" w:ascii="Times New Roman" w:hAnsi="Times New Roman" w:eastAsia="仿宋_GB2312" w:cs="仿宋_GB2312"/>
          <w:color w:val="auto"/>
          <w:sz w:val="32"/>
          <w:szCs w:val="32"/>
          <w:highlight w:val="none"/>
          <w:lang w:eastAsia="zh-CN"/>
        </w:rPr>
        <w:t>实施</w:t>
      </w:r>
      <w:r>
        <w:rPr>
          <w:rFonts w:hint="eastAsia" w:ascii="Times New Roman" w:hAnsi="Times New Roman" w:eastAsia="仿宋_GB2312" w:cs="仿宋_GB2312"/>
          <w:color w:val="auto"/>
          <w:sz w:val="32"/>
          <w:szCs w:val="32"/>
          <w:highlight w:val="none"/>
        </w:rPr>
        <w:t>职业教育，促进继续教育创新，支持高等教育发展，</w:t>
      </w:r>
      <w:r>
        <w:rPr>
          <w:rFonts w:hint="eastAsia" w:ascii="Times New Roman" w:hAnsi="Times New Roman" w:eastAsia="仿宋_GB2312" w:cs="仿宋_GB2312"/>
          <w:color w:val="auto"/>
          <w:sz w:val="32"/>
          <w:szCs w:val="32"/>
          <w:highlight w:val="none"/>
          <w:lang w:eastAsia="zh-CN"/>
        </w:rPr>
        <w:t>努力</w:t>
      </w:r>
      <w:r>
        <w:rPr>
          <w:rFonts w:hint="eastAsia" w:ascii="Times New Roman" w:hAnsi="Times New Roman" w:eastAsia="仿宋_GB2312" w:cs="仿宋_GB2312"/>
          <w:color w:val="auto"/>
          <w:sz w:val="32"/>
          <w:szCs w:val="32"/>
          <w:highlight w:val="none"/>
        </w:rPr>
        <w:t>推动办好人民满意的教育</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eastAsia="zh-CN"/>
        </w:rPr>
        <w:t>加大科文投入。</w:t>
      </w:r>
      <w:r>
        <w:rPr>
          <w:rFonts w:hint="eastAsia" w:ascii="Times New Roman" w:hAnsi="Times New Roman" w:eastAsia="仿宋_GB2312" w:cs="仿宋_GB2312"/>
          <w:b w:val="0"/>
          <w:bCs w:val="0"/>
          <w:color w:val="auto"/>
          <w:sz w:val="32"/>
          <w:szCs w:val="32"/>
          <w:highlight w:val="none"/>
          <w:lang w:eastAsia="zh-CN"/>
        </w:rPr>
        <w:t>全面实施文化润疆、科技创新，安排文化旅游体育与传媒支出</w:t>
      </w:r>
      <w:r>
        <w:rPr>
          <w:rFonts w:hint="eastAsia" w:ascii="Times New Roman" w:hAnsi="Times New Roman" w:eastAsia="仿宋_GB2312" w:cs="仿宋_GB2312"/>
          <w:b w:val="0"/>
          <w:bCs w:val="0"/>
          <w:color w:val="auto"/>
          <w:sz w:val="32"/>
          <w:szCs w:val="32"/>
          <w:highlight w:val="none"/>
          <w:lang w:val="en-US" w:eastAsia="zh-CN"/>
        </w:rPr>
        <w:t>4.4亿元、科学技术支出0.82亿元，有力推</w:t>
      </w:r>
      <w:r>
        <w:rPr>
          <w:rFonts w:hint="eastAsia" w:ascii="Times New Roman" w:hAnsi="Times New Roman" w:eastAsia="仿宋_GB2312" w:cs="仿宋_GB2312"/>
          <w:color w:val="auto"/>
          <w:sz w:val="32"/>
          <w:szCs w:val="32"/>
          <w:highlight w:val="none"/>
          <w:lang w:val="en-US" w:eastAsia="zh-CN"/>
        </w:rPr>
        <w:t>动全地区</w:t>
      </w:r>
      <w:r>
        <w:rPr>
          <w:rFonts w:hint="eastAsia" w:ascii="Times New Roman" w:hAnsi="Times New Roman" w:eastAsia="仿宋_GB2312" w:cs="仿宋_GB2312"/>
          <w:color w:val="auto"/>
          <w:sz w:val="32"/>
          <w:szCs w:val="32"/>
          <w:highlight w:val="none"/>
          <w:lang w:eastAsia="zh-CN"/>
        </w:rPr>
        <w:t>文化旅游体育和科技事业稳步发展。</w:t>
      </w:r>
      <w:r>
        <w:rPr>
          <w:rFonts w:hint="eastAsia" w:ascii="Times New Roman" w:hAnsi="Times New Roman" w:eastAsia="仿宋_GB2312" w:cs="仿宋_GB2312"/>
          <w:b/>
          <w:bCs/>
          <w:color w:val="auto"/>
          <w:sz w:val="32"/>
          <w:szCs w:val="32"/>
          <w:highlight w:val="none"/>
        </w:rPr>
        <w:t>促进医疗普惠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color w:val="auto"/>
          <w:sz w:val="32"/>
          <w:szCs w:val="32"/>
          <w:highlight w:val="none"/>
          <w:u w:val="none"/>
        </w:rPr>
        <w:t>坚持生命至上，</w:t>
      </w:r>
      <w:r>
        <w:rPr>
          <w:rFonts w:hint="eastAsia" w:ascii="Times New Roman" w:hAnsi="Times New Roman" w:eastAsia="仿宋_GB2312" w:cs="仿宋_GB2312"/>
          <w:color w:val="auto"/>
          <w:sz w:val="32"/>
          <w:szCs w:val="32"/>
          <w:highlight w:val="none"/>
          <w:u w:val="none"/>
          <w:lang w:eastAsia="zh-CN"/>
        </w:rPr>
        <w:t>统筹</w:t>
      </w:r>
      <w:r>
        <w:rPr>
          <w:rFonts w:hint="eastAsia" w:ascii="Times New Roman" w:hAnsi="Times New Roman" w:eastAsia="仿宋_GB2312" w:cs="仿宋_GB2312"/>
          <w:color w:val="auto"/>
          <w:sz w:val="32"/>
          <w:szCs w:val="32"/>
          <w:highlight w:val="none"/>
          <w:u w:val="none"/>
        </w:rPr>
        <w:t>资金</w:t>
      </w:r>
      <w:r>
        <w:rPr>
          <w:rFonts w:hint="eastAsia" w:ascii="Times New Roman" w:hAnsi="Times New Roman" w:eastAsia="仿宋_GB2312" w:cs="仿宋_GB2312"/>
          <w:color w:val="auto"/>
          <w:sz w:val="32"/>
          <w:szCs w:val="32"/>
          <w:highlight w:val="none"/>
          <w:u w:val="none"/>
          <w:lang w:val="en-US" w:eastAsia="zh-CN"/>
        </w:rPr>
        <w:t>44.66</w:t>
      </w:r>
      <w:r>
        <w:rPr>
          <w:rFonts w:hint="eastAsia" w:ascii="Times New Roman" w:hAnsi="Times New Roman" w:eastAsia="仿宋_GB2312" w:cs="仿宋_GB2312"/>
          <w:color w:val="auto"/>
          <w:sz w:val="32"/>
          <w:szCs w:val="32"/>
          <w:highlight w:val="none"/>
          <w:u w:val="none"/>
        </w:rPr>
        <w:t>亿元</w:t>
      </w:r>
      <w:r>
        <w:rPr>
          <w:rFonts w:hint="eastAsia" w:ascii="Times New Roman" w:hAnsi="Times New Roman" w:eastAsia="仿宋_GB2312" w:cs="仿宋_GB2312"/>
          <w:color w:val="auto"/>
          <w:sz w:val="32"/>
          <w:szCs w:val="32"/>
          <w:highlight w:val="none"/>
          <w:u w:val="none"/>
          <w:lang w:eastAsia="zh-CN"/>
        </w:rPr>
        <w:t>用于卫生健康支出，</w:t>
      </w:r>
      <w:r>
        <w:rPr>
          <w:rFonts w:hint="eastAsia" w:ascii="Times New Roman" w:hAnsi="Times New Roman" w:eastAsia="仿宋_GB2312" w:cs="仿宋_GB2312"/>
          <w:color w:val="auto"/>
          <w:sz w:val="32"/>
          <w:szCs w:val="32"/>
          <w:highlight w:val="none"/>
        </w:rPr>
        <w:t>支持实施公共卫生服务项目，促进医疗卫生事业</w:t>
      </w:r>
      <w:r>
        <w:rPr>
          <w:rFonts w:hint="eastAsia" w:ascii="Times New Roman" w:hAnsi="Times New Roman" w:eastAsia="仿宋_GB2312" w:cs="仿宋_GB2312"/>
          <w:color w:val="auto"/>
          <w:sz w:val="32"/>
          <w:szCs w:val="32"/>
          <w:highlight w:val="none"/>
          <w:lang w:eastAsia="zh-CN"/>
        </w:rPr>
        <w:t>不断</w:t>
      </w:r>
      <w:r>
        <w:rPr>
          <w:rFonts w:hint="eastAsia" w:ascii="Times New Roman" w:hAnsi="Times New Roman" w:eastAsia="仿宋_GB2312" w:cs="仿宋_GB2312"/>
          <w:color w:val="auto"/>
          <w:sz w:val="32"/>
          <w:szCs w:val="32"/>
          <w:highlight w:val="none"/>
        </w:rPr>
        <w:t>发展</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完善保障体系</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color w:val="auto"/>
          <w:sz w:val="32"/>
          <w:szCs w:val="32"/>
          <w:highlight w:val="none"/>
        </w:rPr>
        <w:t>安排资金</w:t>
      </w:r>
      <w:r>
        <w:rPr>
          <w:rFonts w:hint="eastAsia" w:ascii="Times New Roman" w:hAnsi="Times New Roman" w:eastAsia="仿宋_GB2312" w:cs="仿宋_GB2312"/>
          <w:color w:val="auto"/>
          <w:sz w:val="32"/>
          <w:szCs w:val="32"/>
          <w:highlight w:val="none"/>
          <w:lang w:val="en-US" w:eastAsia="zh-CN"/>
        </w:rPr>
        <w:t>43.13</w:t>
      </w:r>
      <w:r>
        <w:rPr>
          <w:rFonts w:hint="eastAsia" w:ascii="Times New Roman" w:hAnsi="Times New Roman" w:eastAsia="仿宋_GB2312" w:cs="仿宋_GB2312"/>
          <w:color w:val="auto"/>
          <w:sz w:val="32"/>
          <w:szCs w:val="32"/>
          <w:highlight w:val="none"/>
        </w:rPr>
        <w:t>亿元用于落实社会保障托底政策</w:t>
      </w:r>
      <w:r>
        <w:rPr>
          <w:rFonts w:hint="eastAsia"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b/>
          <w:bCs/>
          <w:color w:val="auto"/>
          <w:sz w:val="32"/>
          <w:highlight w:val="none"/>
          <w:lang w:val="en-US" w:eastAsia="zh-CN"/>
        </w:rPr>
        <w:t>巩固乡村振兴成果。</w:t>
      </w:r>
      <w:r>
        <w:rPr>
          <w:rFonts w:hint="eastAsia" w:ascii="Times New Roman" w:hAnsi="Times New Roman" w:eastAsia="仿宋_GB2312" w:cs="仿宋_GB2312"/>
          <w:color w:val="auto"/>
          <w:sz w:val="32"/>
          <w:highlight w:val="none"/>
          <w:lang w:val="en-US" w:eastAsia="zh-CN"/>
        </w:rPr>
        <w:t>安排农林水支出101.92亿元，</w:t>
      </w:r>
      <w:r>
        <w:rPr>
          <w:rFonts w:hint="eastAsia" w:ascii="Times New Roman" w:hAnsi="Times New Roman" w:eastAsia="仿宋_GB2312" w:cs="仿宋_GB2312"/>
          <w:color w:val="auto"/>
          <w:sz w:val="32"/>
          <w:szCs w:val="32"/>
          <w:highlight w:val="none"/>
          <w:u w:val="none"/>
          <w:lang w:val="en-US" w:eastAsia="zh-CN"/>
        </w:rPr>
        <w:t>支持农业农村优先发展</w:t>
      </w:r>
      <w:r>
        <w:rPr>
          <w:rFonts w:hint="eastAsia" w:eastAsia="仿宋_GB2312" w:cs="仿宋_GB2312"/>
          <w:color w:val="auto"/>
          <w:sz w:val="32"/>
          <w:szCs w:val="32"/>
          <w:highlight w:val="none"/>
          <w:u w:val="none"/>
          <w:lang w:val="en-US" w:eastAsia="zh-CN"/>
        </w:rPr>
        <w:t>。</w:t>
      </w:r>
      <w:r>
        <w:rPr>
          <w:rFonts w:hint="eastAsia" w:ascii="Times New Roman" w:hAnsi="Times New Roman" w:eastAsia="仿宋_GB2312" w:cs="仿宋_GB2312"/>
          <w:color w:val="auto"/>
          <w:sz w:val="32"/>
          <w:szCs w:val="32"/>
          <w:highlight w:val="none"/>
        </w:rPr>
        <w:t>不断巩固脱贫攻坚成果，全面推进乡村振兴。</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val="0"/>
        <w:topLinePunct w:val="0"/>
        <w:autoSpaceDE/>
        <w:autoSpaceDN/>
        <w:bidi w:val="0"/>
        <w:adjustRightInd/>
        <w:snapToGrid/>
        <w:spacing w:line="560" w:lineRule="exact"/>
        <w:ind w:left="0" w:leftChars="0" w:right="0" w:rightChars="0" w:firstLine="642" w:firstLineChars="200"/>
        <w:textAlignment w:val="top"/>
        <w:outlineLvl w:val="9"/>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楷体_GB2312" w:cs="楷体_GB2312"/>
          <w:b/>
          <w:bCs/>
          <w:color w:val="auto"/>
          <w:sz w:val="32"/>
          <w:szCs w:val="32"/>
          <w:highlight w:val="none"/>
          <w:lang w:val="en-US" w:eastAsia="zh-CN"/>
        </w:rPr>
        <w:t>（四）强化风险意识，牢守安全发展底线。</w:t>
      </w:r>
      <w:r>
        <w:rPr>
          <w:rFonts w:hint="eastAsia" w:ascii="Times New Roman" w:hAnsi="Times New Roman" w:eastAsia="仿宋_GB2312" w:cs="仿宋_GB2312"/>
          <w:b/>
          <w:bCs/>
          <w:color w:val="auto"/>
          <w:sz w:val="32"/>
          <w:szCs w:val="32"/>
          <w:highlight w:val="none"/>
          <w:lang w:val="en-US" w:eastAsia="zh-CN"/>
        </w:rPr>
        <w:t>严格政府债务管控。</w:t>
      </w:r>
      <w:r>
        <w:rPr>
          <w:rFonts w:hint="eastAsia" w:ascii="Times New Roman" w:hAnsi="Times New Roman" w:eastAsia="仿宋_GB2312" w:cs="仿宋_GB2312"/>
          <w:color w:val="auto"/>
          <w:sz w:val="32"/>
          <w:szCs w:val="32"/>
          <w:highlight w:val="none"/>
          <w:lang w:val="en-US" w:eastAsia="zh-CN"/>
        </w:rPr>
        <w:t>坚持“开前门、堵后门，化存量、遏增量”，平衡好促发展和防风险，统筹考虑债务风险、财政承受能力及经济社会发展实际，合理申请债券额度，科学精准确定项目安排。严格落实“借、用、还、管”相统一的政府债务管理机制，坚决制止违法违规举债行为，确保政府债务风险安全可控</w:t>
      </w:r>
      <w:r>
        <w:rPr>
          <w:rFonts w:hint="eastAsia" w:ascii="Times New Roman" w:hAnsi="Times New Roman" w:eastAsia="仿宋_GB2312" w:cs="仿宋_GB2312"/>
          <w:b w:val="0"/>
          <w:bCs w:val="0"/>
          <w:color w:val="auto"/>
          <w:kern w:val="2"/>
          <w:sz w:val="32"/>
          <w:szCs w:val="32"/>
          <w:highlight w:val="none"/>
          <w:u w:val="none"/>
          <w:lang w:val="en-US" w:eastAsia="zh-CN" w:bidi="ar-SA"/>
        </w:rPr>
        <w:t>。</w:t>
      </w:r>
      <w:r>
        <w:rPr>
          <w:rFonts w:hint="eastAsia" w:ascii="Times New Roman" w:hAnsi="Times New Roman" w:eastAsia="仿宋_GB2312" w:cs="仿宋_GB2312"/>
          <w:b/>
          <w:bCs/>
          <w:color w:val="auto"/>
          <w:sz w:val="32"/>
          <w:szCs w:val="32"/>
          <w:highlight w:val="none"/>
          <w:lang w:val="en-US" w:eastAsia="zh-CN"/>
        </w:rPr>
        <w:t>防范基层运行风险。</w:t>
      </w:r>
      <w:r>
        <w:rPr>
          <w:rFonts w:hint="eastAsia" w:ascii="Times New Roman" w:hAnsi="Times New Roman" w:eastAsia="仿宋_GB2312" w:cs="仿宋_GB2312"/>
          <w:color w:val="auto"/>
          <w:sz w:val="32"/>
          <w:szCs w:val="32"/>
          <w:highlight w:val="none"/>
          <w:lang w:val="en-US" w:eastAsia="zh-CN"/>
        </w:rPr>
        <w:t>统筹中央自治区转移支付资金，进一步下沉财力，强化基层“三保”支出预算管理，确保“三保”预算有保障、执行有监控、风险有预案，强化基层财政运行风险研判，严格落实“三保”保障责任，坚持“三保”支出优先顺序。</w:t>
      </w:r>
      <w:r>
        <w:rPr>
          <w:rFonts w:hint="eastAsia" w:ascii="Times New Roman" w:hAnsi="Times New Roman" w:eastAsia="仿宋_GB2312" w:cs="仿宋_GB2312"/>
          <w:b/>
          <w:bCs/>
          <w:color w:val="auto"/>
          <w:sz w:val="32"/>
          <w:szCs w:val="32"/>
          <w:highlight w:val="none"/>
          <w:lang w:val="en-US" w:eastAsia="zh-CN"/>
        </w:rPr>
        <w:t>贯彻全过程预算绩效管理。</w:t>
      </w:r>
      <w:r>
        <w:rPr>
          <w:rFonts w:hint="eastAsia" w:ascii="Times New Roman" w:hAnsi="Times New Roman" w:eastAsia="仿宋_GB2312" w:cs="仿宋_GB2312"/>
          <w:b w:val="0"/>
          <w:bCs w:val="0"/>
          <w:color w:val="auto"/>
          <w:sz w:val="32"/>
          <w:szCs w:val="32"/>
          <w:highlight w:val="none"/>
          <w:lang w:val="en-US" w:eastAsia="zh-CN"/>
        </w:rPr>
        <w:t>按照“花钱必问效、无效必问责”要求，</w:t>
      </w:r>
      <w:r>
        <w:rPr>
          <w:rFonts w:hint="eastAsia" w:ascii="Times New Roman" w:hAnsi="Times New Roman" w:eastAsia="仿宋_GB2312" w:cs="仿宋_GB2312"/>
          <w:b w:val="0"/>
          <w:bCs w:val="0"/>
          <w:color w:val="auto"/>
          <w:kern w:val="2"/>
          <w:sz w:val="32"/>
          <w:szCs w:val="32"/>
          <w:highlight w:val="none"/>
          <w:lang w:val="en-US" w:eastAsia="zh-CN" w:bidi="ar-SA"/>
        </w:rPr>
        <w:t>健全完善全方位、全过程、全覆盖的预算绩效管理机制，实施预算执行进度、绩效目标完成情况“双监控”，进一步优化绩效评价结果与预算安排政策调整挂钩机制，促进财政资金量质齐升。</w:t>
      </w:r>
      <w:r>
        <w:rPr>
          <w:rFonts w:hint="eastAsia" w:ascii="Times New Roman" w:hAnsi="Times New Roman" w:eastAsia="仿宋_GB2312" w:cs="仿宋_GB2312"/>
          <w:b/>
          <w:bCs/>
          <w:color w:val="auto"/>
          <w:kern w:val="2"/>
          <w:sz w:val="32"/>
          <w:szCs w:val="32"/>
          <w:highlight w:val="none"/>
          <w:lang w:val="en-US" w:eastAsia="zh-CN" w:bidi="ar-SA"/>
        </w:rPr>
        <w:t>强化财会监督。</w:t>
      </w:r>
      <w:r>
        <w:rPr>
          <w:rFonts w:hint="eastAsia" w:ascii="Times New Roman" w:hAnsi="Times New Roman" w:eastAsia="仿宋_GB2312" w:cs="仿宋_GB2312"/>
          <w:b w:val="0"/>
          <w:bCs w:val="0"/>
          <w:color w:val="auto"/>
          <w:kern w:val="2"/>
          <w:sz w:val="32"/>
          <w:szCs w:val="32"/>
          <w:highlight w:val="none"/>
          <w:lang w:val="en-US" w:eastAsia="zh-CN" w:bidi="ar-SA"/>
        </w:rPr>
        <w:t>围绕中小学校园食品和膳食经费管理、惠民惠农财政补贴补助资金发放、殡葬等重点领域专项整治工作，严肃财经纪律，规范财经秩序。积极开展财政专项资金监督检查，切实履行财会监督职责，促进财政资金使用管理规范有序。</w:t>
      </w:r>
      <w:r>
        <w:rPr>
          <w:rFonts w:hint="eastAsia" w:ascii="Times New Roman" w:hAnsi="Times New Roman" w:eastAsia="仿宋_GB2312" w:cs="仿宋_GB2312"/>
          <w:b/>
          <w:bCs/>
          <w:color w:val="auto"/>
          <w:sz w:val="32"/>
          <w:szCs w:val="32"/>
          <w:highlight w:val="none"/>
          <w:lang w:eastAsia="zh-CN"/>
        </w:rPr>
        <w:t>依法接受人大监督。</w:t>
      </w:r>
      <w:r>
        <w:rPr>
          <w:rFonts w:hint="eastAsia" w:ascii="Times New Roman" w:hAnsi="Times New Roman" w:eastAsia="仿宋_GB2312" w:cs="仿宋_GB2312"/>
          <w:color w:val="auto"/>
          <w:sz w:val="32"/>
          <w:szCs w:val="32"/>
          <w:highlight w:val="none"/>
          <w:lang w:eastAsia="zh-CN"/>
        </w:rPr>
        <w:t>认真落实人大相关决议，依法向人大报告预算执行、决算、地方政府债务管理等情况，</w:t>
      </w:r>
      <w:r>
        <w:rPr>
          <w:rFonts w:hint="eastAsia" w:ascii="Times New Roman" w:hAnsi="Times New Roman" w:eastAsia="仿宋_GB2312" w:cs="仿宋_GB2312"/>
          <w:color w:val="auto"/>
          <w:sz w:val="32"/>
          <w:szCs w:val="32"/>
          <w:highlight w:val="none"/>
          <w:lang w:val="en-US" w:eastAsia="zh-CN"/>
        </w:rPr>
        <w:t>及时回应人大代表关切、认真倾听代表意见。</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tabs>
          <w:tab w:val="left" w:pos="1440"/>
        </w:tabs>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2024年，地区本级</w:t>
      </w:r>
      <w:r>
        <w:rPr>
          <w:rFonts w:hint="eastAsia" w:ascii="Times New Roman" w:hAnsi="Times New Roman" w:eastAsia="仿宋_GB2312" w:cs="仿宋_GB2312"/>
          <w:color w:val="auto"/>
          <w:sz w:val="32"/>
          <w:szCs w:val="32"/>
          <w:highlight w:val="none"/>
        </w:rPr>
        <w:t>决算情况总体较好，</w:t>
      </w:r>
      <w:r>
        <w:rPr>
          <w:rFonts w:hint="eastAsia" w:ascii="Times New Roman" w:hAnsi="Times New Roman" w:eastAsia="仿宋_GB2312" w:cs="仿宋_GB2312"/>
          <w:color w:val="auto"/>
          <w:sz w:val="32"/>
          <w:szCs w:val="32"/>
          <w:highlight w:val="none"/>
          <w:lang w:val="en" w:eastAsia="zh-CN"/>
        </w:rPr>
        <w:t>地委、行署安排交办的各项工作任务全面完成，</w:t>
      </w:r>
      <w:r>
        <w:rPr>
          <w:rFonts w:hint="eastAsia" w:ascii="Times New Roman" w:hAnsi="Times New Roman" w:eastAsia="仿宋_GB2312" w:cs="仿宋_GB2312"/>
          <w:color w:val="auto"/>
          <w:sz w:val="32"/>
          <w:szCs w:val="32"/>
          <w:highlight w:val="none"/>
          <w:u w:val="none"/>
          <w:lang w:val="en" w:eastAsia="zh-CN"/>
        </w:rPr>
        <w:t>人大</w:t>
      </w:r>
      <w:r>
        <w:rPr>
          <w:rFonts w:hint="eastAsia" w:ascii="Times New Roman" w:hAnsi="Times New Roman" w:eastAsia="仿宋_GB2312" w:cs="仿宋_GB2312"/>
          <w:color w:val="auto"/>
          <w:sz w:val="32"/>
          <w:szCs w:val="32"/>
          <w:highlight w:val="none"/>
          <w:lang w:val="en" w:eastAsia="zh-CN"/>
        </w:rPr>
        <w:t>相关决议及意见有序执行。但是当前财政运行还面临一些问题，主要体现在：</w:t>
      </w:r>
      <w:r>
        <w:rPr>
          <w:rFonts w:hint="eastAsia" w:ascii="Times New Roman" w:hAnsi="Times New Roman" w:eastAsia="仿宋_GB2312" w:cs="仿宋_GB2312"/>
          <w:color w:val="auto"/>
          <w:spacing w:val="0"/>
          <w:sz w:val="32"/>
          <w:szCs w:val="32"/>
          <w:highlight w:val="none"/>
          <w:lang w:val="en-US" w:eastAsia="zh-CN"/>
        </w:rPr>
        <w:t>财政收入整体规模体量较小、收入结构相对单一、后续税源税基不强；</w:t>
      </w:r>
      <w:r>
        <w:rPr>
          <w:rFonts w:hint="eastAsia" w:ascii="Times New Roman" w:hAnsi="Times New Roman" w:eastAsia="仿宋_GB2312" w:cs="仿宋_GB2312"/>
          <w:color w:val="auto"/>
          <w:sz w:val="32"/>
          <w:szCs w:val="32"/>
          <w:highlight w:val="none"/>
          <w:lang w:val="en-US" w:eastAsia="zh-CN"/>
        </w:rPr>
        <w:t>基层“三保”、临聘人员等个人部分保障、债务还本付息等各类</w:t>
      </w:r>
      <w:r>
        <w:rPr>
          <w:rFonts w:hint="eastAsia" w:ascii="Times New Roman" w:hAnsi="Times New Roman" w:eastAsia="仿宋_GB2312" w:cs="仿宋_GB2312"/>
          <w:color w:val="auto"/>
          <w:spacing w:val="0"/>
          <w:sz w:val="32"/>
          <w:szCs w:val="32"/>
          <w:highlight w:val="none"/>
          <w:lang w:val="en-US" w:eastAsia="zh-CN"/>
        </w:rPr>
        <w:t>刚性支出等压力较大，财政收支矛盾仍然突出，这些都对财政保障能力提出了更高的要求。</w:t>
      </w:r>
      <w:r>
        <w:rPr>
          <w:rFonts w:hint="eastAsia" w:ascii="Times New Roman" w:hAnsi="Times New Roman" w:eastAsia="仿宋_GB2312" w:cs="仿宋_GB2312"/>
          <w:color w:val="auto"/>
          <w:sz w:val="32"/>
          <w:szCs w:val="32"/>
          <w:highlight w:val="none"/>
        </w:rPr>
        <w:t>对此，我们将高度重视，</w:t>
      </w:r>
      <w:r>
        <w:rPr>
          <w:rFonts w:hint="eastAsia" w:ascii="Times New Roman" w:hAnsi="Times New Roman" w:eastAsia="仿宋_GB2312" w:cs="仿宋_GB2312"/>
          <w:color w:val="auto"/>
          <w:spacing w:val="0"/>
          <w:sz w:val="32"/>
          <w:szCs w:val="32"/>
          <w:highlight w:val="none"/>
          <w:lang w:val="en-US" w:eastAsia="zh-CN"/>
        </w:rPr>
        <w:t>坚定信心，正视困难问题，强化管理和风险意识，</w:t>
      </w:r>
      <w:r>
        <w:rPr>
          <w:rFonts w:hint="eastAsia" w:ascii="Times New Roman" w:hAnsi="Times New Roman" w:eastAsia="仿宋_GB2312" w:cs="仿宋_GB2312"/>
          <w:color w:val="auto"/>
          <w:sz w:val="32"/>
          <w:szCs w:val="32"/>
          <w:highlight w:val="none"/>
          <w:lang w:eastAsia="zh-CN"/>
        </w:rPr>
        <w:t>切实</w:t>
      </w:r>
      <w:r>
        <w:rPr>
          <w:rFonts w:hint="eastAsia" w:ascii="Times New Roman" w:hAnsi="Times New Roman" w:eastAsia="仿宋_GB2312" w:cs="仿宋_GB2312"/>
          <w:color w:val="auto"/>
          <w:sz w:val="32"/>
          <w:szCs w:val="32"/>
          <w:highlight w:val="none"/>
        </w:rPr>
        <w:t>采取有力措施，努力加以解决</w:t>
      </w:r>
      <w:r>
        <w:rPr>
          <w:rFonts w:hint="eastAsia" w:ascii="Times New Roman" w:hAnsi="Times New Roman" w:eastAsia="仿宋_GB2312" w:cs="仿宋_GB2312"/>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topLinePunct w:val="0"/>
        <w:autoSpaceDE/>
        <w:autoSpaceDN/>
        <w:bidi w:val="0"/>
        <w:spacing w:line="560" w:lineRule="exact"/>
        <w:ind w:left="0" w:leftChars="0" w:right="0" w:rightChars="0" w:firstLine="640" w:firstLineChars="200"/>
        <w:outlineLvl w:val="9"/>
        <w:rPr>
          <w:rFonts w:hint="eastAsia" w:ascii="Times New Roman" w:hAnsi="Times New Roman" w:eastAsia="仿宋_GB2312" w:cs="仿宋_GB2312"/>
          <w:color w:val="auto"/>
          <w:sz w:val="32"/>
          <w:szCs w:val="32"/>
          <w:highlight w:val="none"/>
          <w:lang w:val="en" w:eastAsia="zh-CN"/>
        </w:rPr>
      </w:pPr>
      <w:r>
        <w:rPr>
          <w:rFonts w:hint="eastAsia" w:ascii="Times New Roman" w:hAnsi="Times New Roman" w:eastAsia="仿宋_GB2312" w:cs="仿宋_GB2312"/>
          <w:b w:val="0"/>
          <w:bCs w:val="0"/>
          <w:color w:val="auto"/>
          <w:sz w:val="32"/>
          <w:szCs w:val="32"/>
          <w:highlight w:val="none"/>
          <w:lang w:eastAsia="zh-CN"/>
        </w:rPr>
        <w:t>下一步，</w:t>
      </w:r>
      <w:r>
        <w:rPr>
          <w:rFonts w:hint="eastAsia" w:ascii="Times New Roman" w:hAnsi="Times New Roman" w:eastAsia="仿宋_GB2312" w:cs="仿宋_GB2312"/>
          <w:color w:val="auto"/>
          <w:sz w:val="32"/>
          <w:szCs w:val="32"/>
          <w:highlight w:val="none"/>
          <w:lang w:val="zh-CN"/>
        </w:rPr>
        <w:t>我们将坚决贯彻落实地委、行署的决策部署，按照</w:t>
      </w:r>
      <w:r>
        <w:rPr>
          <w:rFonts w:hint="eastAsia" w:ascii="Times New Roman" w:hAnsi="Times New Roman" w:eastAsia="仿宋_GB2312" w:cs="仿宋_GB2312"/>
          <w:color w:val="auto"/>
          <w:sz w:val="32"/>
          <w:szCs w:val="32"/>
          <w:highlight w:val="none"/>
          <w:lang w:val="en" w:eastAsia="zh-CN"/>
        </w:rPr>
        <w:t>自治区第十四届人大常委会和田地区工作委员会</w:t>
      </w:r>
      <w:r>
        <w:rPr>
          <w:rFonts w:hint="eastAsia" w:ascii="Times New Roman" w:hAnsi="Times New Roman" w:eastAsia="仿宋_GB2312" w:cs="仿宋_GB2312"/>
          <w:color w:val="auto"/>
          <w:sz w:val="32"/>
          <w:szCs w:val="32"/>
          <w:highlight w:val="none"/>
          <w:lang w:val="en-US" w:eastAsia="zh-CN"/>
        </w:rPr>
        <w:t>有关决议以及本次会议要求，</w:t>
      </w:r>
      <w:r>
        <w:rPr>
          <w:rFonts w:hint="eastAsia" w:ascii="Times New Roman" w:hAnsi="Times New Roman" w:eastAsia="仿宋_GB2312" w:cs="仿宋_GB2312"/>
          <w:color w:val="auto"/>
          <w:sz w:val="32"/>
          <w:szCs w:val="32"/>
          <w:highlight w:val="none"/>
          <w:lang w:val="en" w:eastAsia="zh-CN"/>
        </w:rPr>
        <w:t>认真研究谋划财政工作，不断强化地县财政“止血、输血、造血”功能，全力扩财源、优收支、防风险、兜底线，为助力和田经济社会高质量发展做出新的更大贡献。</w:t>
      </w:r>
    </w:p>
    <w:p>
      <w:pPr>
        <w:pStyle w:val="7"/>
        <w:rPr>
          <w:rFonts w:hint="eastAsia" w:ascii="Times New Roman" w:hAnsi="Times New Roman" w:eastAsia="仿宋_GB2312" w:cs="仿宋_GB2312"/>
          <w:color w:val="auto"/>
          <w:sz w:val="32"/>
          <w:szCs w:val="32"/>
          <w:highlight w:val="none"/>
          <w:lang w:val="en" w:eastAsia="zh-CN"/>
        </w:rPr>
      </w:pPr>
      <w:r>
        <w:rPr>
          <w:rFonts w:hint="eastAsia" w:ascii="Times New Roman" w:hAnsi="Times New Roman" w:eastAsia="仿宋_GB2312" w:cs="仿宋_GB2312"/>
          <w:color w:val="auto"/>
          <w:sz w:val="32"/>
          <w:szCs w:val="32"/>
          <w:highlight w:val="none"/>
          <w:lang w:val="en" w:eastAsia="zh-CN"/>
        </w:rPr>
        <w:t>以上报告，请予审议。</w:t>
      </w:r>
    </w:p>
    <w:p>
      <w:pPr>
        <w:pStyle w:val="8"/>
        <w:rPr>
          <w:rFonts w:hint="eastAsia" w:ascii="Times New Roman" w:hAnsi="Times New Roman" w:eastAsia="仿宋_GB2312" w:cs="仿宋_GB2312"/>
          <w:color w:val="auto"/>
          <w:sz w:val="32"/>
          <w:szCs w:val="32"/>
          <w:highlight w:val="none"/>
          <w:lang w:val="en"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p>
    <w:p>
      <w:pPr>
        <w:pStyle w:val="4"/>
        <w:numPr>
          <w:ilvl w:val="0"/>
          <w:numId w:val="2"/>
        </w:numPr>
        <w:bidi w:val="0"/>
        <w:rPr>
          <w:color w:val="auto"/>
          <w:lang w:eastAsia="zh-Hans"/>
        </w:rPr>
      </w:pPr>
      <w:bookmarkStart w:id="4" w:name="_Toc32690"/>
      <w:r>
        <w:rPr>
          <w:color w:val="auto"/>
          <w:lang w:eastAsia="zh-Hans"/>
        </w:rPr>
        <w:t>一般公共预算</w:t>
      </w:r>
      <w:r>
        <w:rPr>
          <w:rFonts w:hint="eastAsia"/>
          <w:color w:val="auto"/>
          <w:lang w:eastAsia="zh-Hans"/>
        </w:rPr>
        <w:t>税收返还和转移支付</w:t>
      </w:r>
      <w:r>
        <w:rPr>
          <w:color w:val="auto"/>
          <w:lang w:eastAsia="zh-Hans"/>
        </w:rPr>
        <w:t>表</w:t>
      </w:r>
      <w:bookmarkEnd w:id="4"/>
    </w:p>
    <w:tbl>
      <w:tblPr>
        <w:tblStyle w:val="15"/>
        <w:tblW w:w="6354" w:type="pct"/>
        <w:tblInd w:w="-111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0"/>
        <w:gridCol w:w="1457"/>
        <w:gridCol w:w="1002"/>
        <w:gridCol w:w="1002"/>
        <w:gridCol w:w="1002"/>
        <w:gridCol w:w="1002"/>
        <w:gridCol w:w="1002"/>
        <w:gridCol w:w="1002"/>
        <w:gridCol w:w="1002"/>
        <w:gridCol w:w="10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Header/>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32"/>
                <w:szCs w:val="32"/>
                <w:u w:val="none"/>
              </w:rPr>
            </w:pPr>
            <w:r>
              <w:rPr>
                <w:rFonts w:hint="eastAsia" w:ascii="仿宋_GB2312" w:hAnsi="仿宋_GB2312" w:eastAsia="仿宋_GB2312" w:cs="仿宋_GB2312"/>
                <w:b w:val="0"/>
                <w:bCs w:val="0"/>
                <w:i w:val="0"/>
                <w:iCs w:val="0"/>
                <w:color w:val="auto"/>
                <w:kern w:val="0"/>
                <w:sz w:val="32"/>
                <w:szCs w:val="32"/>
                <w:u w:val="none"/>
                <w:lang w:val="en-US" w:eastAsia="zh-CN" w:bidi="ar"/>
              </w:rPr>
              <w:t>2024年度和田地区一般公共预算税收返还转移支付表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blHeader/>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项目</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合计决算数</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皮山县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墨玉县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洛浦县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策勒县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于田县</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民丰县</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转移支付合计</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3136542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409318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692497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443598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380544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279595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416476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127331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387184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  返还性支出</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15448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1537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3630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1838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1415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1052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1401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1762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206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119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4349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436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711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963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363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269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875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增值税“五五分享”税收返还</w:t>
            </w:r>
          </w:p>
        </w:tc>
        <w:tc>
          <w:tcPr>
            <w:tcW w:w="67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7000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623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1075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735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845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378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661 </w:t>
            </w:r>
          </w:p>
        </w:tc>
        <w:tc>
          <w:tcPr>
            <w:tcW w:w="46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496 </w:t>
            </w:r>
          </w:p>
        </w:tc>
        <w:tc>
          <w:tcPr>
            <w:tcW w:w="465"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  一般性转移支付支出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2963416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386420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663155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424993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356085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259747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405356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105160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362499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28874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2155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2021年自治区农业转移人口市民化奖励资金（第二批）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关于下达2021年农业转移人口市民化奖励资金的通知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关于下达2021年农业转移人口市民化奖励资金的通知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42856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292689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37831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64499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40868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33891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28159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43374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13056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31011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关于下达2021年农业转移人口市民化奖励资金的通知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关于提前下达2021年县级基本财力保障机制奖补资金的通知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13695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关于提前下达2021年县级基本财力保障机制奖补资金的通知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168767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38938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14650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20122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7265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关于提前下达2021年县级基本财力保障机制奖补资金的通知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52477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1490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自治区驻村工作经费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自治区驻村工作经费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12765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产粮大县奖励资金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关于调整下达2024年度中央产粮大县奖励资金预算的通知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关于提前下达2021年重点生态功能区转移支付的通知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14402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1562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关于提前下达2021年重点生态功能区转移支付的通知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90806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8030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固定数额－调整工资转移支付[综合司]</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固定数额－调整工资转移支付[综合司]</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关于下达2021年农业转移人口市民化奖励资金的通知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961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604179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72018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129491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80125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76878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53631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77903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26800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87334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自治区提高公务员绩效奖励资金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41149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和田地区财力补助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9335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和田地区财力补助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中央财政衔接推进乡村振兴补助资金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345217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47531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87472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51028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44179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30226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42015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8934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33832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中央财政衔接推进乡村振兴补助资金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39322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2024年自治区衔接资金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48340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1828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自治区财政衔接推进乡村振兴补助资金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2024年自治区衔接资金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42621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1199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中央财政衔接推进乡村振兴补助资金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特定项目KJW007</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固定数额－农产品成本调查经费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基层人大补助经费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特定目标xzzfc014</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自治区基层政协补助经费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特定目标xzzfc015</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新财行[2023]401号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新财行[2023]405号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2022年乡村振兴专项审计费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妇女儿童工作经费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2021年解决特殊疑难信访问题补助资金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新疆人才发展基金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新财行[2023]402号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新财行[2023]403号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统计专项业务费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2021年度下派选调生到村工作中央财政补助资金预算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统计专项业务费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新财行[2023]402号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基层组织建设资金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2021年食品药品监管补助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2021年度下派选调生到村工作中央财政补助资金预算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新财行[2024]370号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增值税“五五分享”税收返还</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 教育部关于提前下达2021年支持学前教育发展资金预算的通知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2021年“三区”人才计划教师专项工作补助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2021年义务教育薄弱环节改善与能力提升补助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中小学幼儿园教师国家级培训计划资金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2021年改善普通高中学校办学条件补助资金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关于提前下达2021年特殊教育补助专项资金预算的通知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关于提前下达2021年新疆西藏等地区教育特殊补助资金预算的通知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关于提前下达2021年新疆西藏等地区教育特殊补助资金预算的通知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12674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2023年教育非直达项目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现代职业教育质量提升计划资金预算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关于提前下达2021年新疆西藏等地区教育特殊补助资金预算的通知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关于提前下达2021年特殊教育补助专项资金预算的通知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2021年“三区”人才计划教师专项工作补助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2021年义务教育薄弱环节改善与能力提升补助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自治区义务教育薄弱环节改善与能力提升项目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自治区义务教育农村校舍安全保障长效机制项目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现代职业教育质量提升计划资金预算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南疆四地州乡村教师补助资金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29322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55169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15197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35634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2021年学生资助补助直达资金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2021年城乡义务教育项目直达资金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2023年学生资助补助项目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2023年城乡义务教育补助项目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2023年城乡义务教育补助项目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2023年城乡义务教育补助项目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2023年城乡义务教育补助项目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2023年城乡义务教育补助项目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2021年“三区”科技人才专项资金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2021年基层科普行动计划资金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体制结算－公共体育场馆向社会免费或低收费开放补助资金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自治区广播电视节目无线覆盖运行维护经费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文物保护野外看护人员补助费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自治区美术馆、公共图书馆文化馆免费开放补助资金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“村村通”工程聘用运行维护人员经费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自治区旅游发展专项资金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体制结算－美术馆、公共图书馆、文化馆[站]免费开放补助资金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自治区非物质文化遗产保护经费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非物质文化遗产保护资金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体制结算－博物馆纪念馆逐步免费开放补助资金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自治区文艺扶持激励项目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体制结算－美术馆、公共图书馆、文化馆[站]免费开放补助资金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非物质文化遗产保护资金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自治区旅游发展专项资金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提前下达自治区南疆四地州22个深度贫困县农村幸福大院运行补助资金（往后年度以此框架为准）</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提前下达自治区民办养老机构补助资金（往后年度以此框架为准）</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困难残疾人生活补贴和重度残疾人护理补贴项目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自治区社保经办机构业务经费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中央2021年三支一扶补助资金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特定项目SBC666</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增值税“五五分享”税收返还</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体制结算—困难群众一次性生活补助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中央2021年三支一扶补助资金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固定数额－优抚事业单位补助经费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固定数额－优抚事业单位补助经费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特定项目SBC666</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自治区财政城乡居民基本养老保险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关于提前下达2021年中央财政困难群众救助补助资金预算的通知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中央2021年就业补助资金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2021年中央财政城乡居民基本养老保险补助资金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16304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关于提前下达2021年中央财政困难群众救助补助资金预算的通知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143474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18408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41187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16543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19249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关于提前下达2021年中央财政残疾人事业发展补助资金预算的通知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中央2021年就业补助资金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关于提前下达2021年中央财政困难群众救助补助资金预算的通知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34732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关于提前下达2021年中央财政残疾人事业发展补助资金预算的通知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2021年中央财政城乡居民基本养老保险补助资金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2021年中央财政优抚对象补助经费（第一批）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2021年中央财政城乡居民基本养老保险补助资金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自治区优抚对象补助资金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提前下达自治区残疾人事业发展补助资金一般公共预算（往后年度以此框架为准）</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提前下达自治区困难群众救助补助资金（往后年度以此框架为准）</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自治区财政城乡居民基本养老保险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15306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自治区就业培训补助资金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自治区医疗服务与保障能力提升补助资金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自治区医疗服务与保障能力提升补助资金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提前下达2024年自治区财政全民参保及医疗服务经费补助资金预算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下达2024年医疗服务与保障能力提升（卫生健康人才培养）</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体制结算－各项结算补助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2021年优抚对象医疗经费预算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基本公共卫生服务补助资金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14774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基本药物制度补助资金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基本药物制度补助资金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基本公共卫生服务补助资金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中央财政医疗服务与保障能力提升补助资金预算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2021年优抚对象医疗经费预算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基本公共卫生服务补助资金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2024年基本公共卫生服务补助资金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自治区地方公共卫生服务补助资金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特定项目SBC003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自治区基本公共卫生服务补助资金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特定项目SBC003</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提前下达2021年中央林业草原生态保护恢复资金预算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提前下达2021年中央林业草原生态保护恢复资金预算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关于拨付2023年新疆煤改电二期工程补助资金的通知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提前下达2021年中央林业草原生态保护恢复资金预算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提前下达2021年中央林业草原生态保护恢复资金预算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提前下达2021年中央林业草原生态保护恢复资金预算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关于下达2024年城乡抗震安居工程建设民生实事资金预算的通知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关于下达2024年城乡抗震安居工程建设民生实事资金预算的通知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关于下达2024年城乡抗震安居工程建设民生实事资金预算的通知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农业经营主体能力提升资金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自治区动物防疫等补助资金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自治区动物防疫等补助经费（追加强制扑杀）</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自治区动物防疫等补助经费[追加强制扑杀]</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耕地建设与利用资金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34775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2178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耕地建设与利用资金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自治区农业生产发展资金（耕地地力保护补贴）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自治区农业生产发展资金（耕地地力保护补贴）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耕地建设与利用资金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自治区农业生产发展资金（耕地地力保护补贴）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自治区农业生产发展资金（耕地地力保护补贴）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粮油生产保障资金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农业产业发展资金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财政扶持农机化发展专项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自治区畜牧业生产发展资金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农业产业发展资金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自治区农机购置累加补贴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自治区畜牧业生产发展</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自治区畜牧业生产发展资金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关于下达2021年农业转移人口市民化奖励资金的通知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果畜项目</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农业经营主体能力提升资金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农业经营主体能力提升资金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农业经营主体能力提升资金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农业生态资源保护资金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12229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2616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农业生态资源保护资金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固定数额－成品油价格调整对渔业补助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耕地建设与利用资金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耕地建设与利用资金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自治区农田建设补助资金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新财农[2024]47号</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自治区农田建设补助资金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2024年自治区林草专项-林长制激励资金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草原植被恢复费支出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提前下达2021年中央林业改革发展资金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森林植被恢复费支出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自治区林业发展补助资金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中央水利发展资金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自治区水利发展资金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382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中央水利发展资金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以海河、松花江流域等北方地区为重点的骨干防洪治理工程</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农业防灾减灾和水利救灾资金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农业保险保费补贴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1367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2024-农业保险保费补贴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自治区农业保险保费补贴资金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农业保险保费补贴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1163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2024年财政衔接推进乡村振兴 补助资金地区本级预算41万元</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2022年政府还贷二级公路取消收费后补助资金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车辆购置税收入补助地方资金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15461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车辆购置税收入补助地方资金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837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2022年政府还贷二级公路取消收费后补助资金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关于提前下达农村客运等行业成品油价格改革财政补贴资金的通知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2024年中央对地方成品油税费对各地农村公路日常养护支出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关于预拨2024年第一批纺织服装专项资金的通知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关于预拨2024第二批自治区纺织服装专项资金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关于拨付2021年中央财政民族贸易和民族特许商品生产企业贷款贴息引导支持资金的通知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2021年中央财政农村危房改造补助资金预算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2021年中央财政农村危房改造补助资金预算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2024年防震减灾“三网一员”工作经费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中央自然灾害救灾资金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中央自然灾害救灾资金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中央自然灾害救灾资金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2024年自治区对各地自治区对各地固定补助基数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  专项性转移支付支出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157679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21361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25712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16766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23043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20770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2024年第一批自治区预算内投资</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2021年食品药品监管补助</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关于下达2024年第五批自治区预算内投资预算的通知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自治区预算内基建及重大项目前期费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自治区预算内基建及重大项目前期费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5743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2021自治区创新环境建设专项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自治区科技成果转化示范专项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提前下达2021年重大传染病防控经费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1821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提前下达2021年重大传染病防控经费</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重大传染病防控经费（重大公共卫生服务补助资金）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三北工程补助资金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2995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873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三北工程补助资金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2356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5775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18180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中央农村综合改革转移支付</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自治区农村综合改革转移支付资金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483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中央土地指标跨省域调剂收入安排的支出预算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327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土地指标跨省域调剂收入安排的支出预算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-2585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1949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1961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关于下达自治区2022年跨省域调剂城乡建设用地增减挂钩节余指标第二批调剂资金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544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2024年第三批自治区预算内投资预算</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7931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3527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中央农村综合改革转移支付</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115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跨省域调剂增减挂钩节余指标调剂资金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4665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2228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中央农村综合改革转移支付</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自治区农村综合改革转移支付资金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普惠金融发展专项资金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5832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普惠金融发展专项资金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-4394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自治区普惠金融发展专项资金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412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2024-普惠金融发展专项资金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1979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跨省域调剂增减挂钩节余指标调剂资金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4674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2232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641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2024年第一批自治区预算内投资</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2024年农牧区投递员补贴</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关于下达2024年第二批超长期特别国债支持地方消费品以旧换新自治区配套资金的通知</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中央中小企业发展专项资金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自治区中小企业发展专项资金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6790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5280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服务业发展资金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服务业发展资金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外经贸专项资金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外经贸专项资金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服务业发展资金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189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服务业发展资金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服务业发展资金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个体工商户小额信贷贴息资金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基建支出</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2548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546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124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r>
    </w:tbl>
    <w:p>
      <w:pPr>
        <w:pStyle w:val="5"/>
        <w:numPr>
          <w:ilvl w:val="0"/>
          <w:numId w:val="0"/>
        </w:numPr>
        <w:spacing w:before="156" w:beforeLines="50" w:after="156" w:afterLines="50"/>
        <w:rPr>
          <w:rFonts w:hint="default"/>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4"/>
        <w:numPr>
          <w:ilvl w:val="0"/>
          <w:numId w:val="2"/>
        </w:numPr>
        <w:bidi w:val="0"/>
        <w:rPr>
          <w:rFonts w:hint="eastAsia"/>
          <w:color w:val="auto"/>
          <w:lang w:eastAsia="zh-Hans"/>
        </w:rPr>
      </w:pPr>
      <w:bookmarkStart w:id="5" w:name="_Toc30954"/>
      <w:r>
        <w:rPr>
          <w:rFonts w:hint="eastAsia"/>
          <w:color w:val="auto"/>
          <w:lang w:eastAsia="zh-Hans"/>
        </w:rPr>
        <w:t>政府性基金</w:t>
      </w:r>
      <w:r>
        <w:rPr>
          <w:rFonts w:hint="eastAsia"/>
          <w:color w:val="auto"/>
          <w:highlight w:val="none"/>
        </w:rPr>
        <w:t>预算</w:t>
      </w:r>
      <w:r>
        <w:rPr>
          <w:rFonts w:hint="eastAsia"/>
          <w:color w:val="auto"/>
          <w:lang w:eastAsia="zh-Hans"/>
        </w:rPr>
        <w:t>转移支付表</w:t>
      </w:r>
      <w:bookmarkEnd w:id="5"/>
    </w:p>
    <w:p>
      <w:pPr>
        <w:rPr>
          <w:rFonts w:hint="default"/>
          <w:color w:val="auto"/>
          <w:lang w:val="en-US" w:eastAsia="zh-CN"/>
        </w:rPr>
      </w:pPr>
    </w:p>
    <w:tbl>
      <w:tblPr>
        <w:tblStyle w:val="15"/>
        <w:tblW w:w="6345" w:type="pct"/>
        <w:tblInd w:w="-10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34"/>
        <w:gridCol w:w="1456"/>
        <w:gridCol w:w="1003"/>
        <w:gridCol w:w="1003"/>
        <w:gridCol w:w="1003"/>
        <w:gridCol w:w="1003"/>
        <w:gridCol w:w="1003"/>
        <w:gridCol w:w="1003"/>
        <w:gridCol w:w="1003"/>
        <w:gridCol w:w="10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Header/>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32"/>
                <w:szCs w:val="32"/>
                <w:u w:val="none"/>
              </w:rPr>
            </w:pPr>
            <w:r>
              <w:rPr>
                <w:rFonts w:hint="eastAsia" w:ascii="仿宋_GB2312" w:hAnsi="仿宋_GB2312" w:eastAsia="仿宋_GB2312" w:cs="仿宋_GB2312"/>
                <w:b w:val="0"/>
                <w:bCs w:val="0"/>
                <w:i w:val="0"/>
                <w:iCs w:val="0"/>
                <w:color w:val="auto"/>
                <w:kern w:val="0"/>
                <w:sz w:val="32"/>
                <w:szCs w:val="32"/>
                <w:u w:val="none"/>
                <w:lang w:val="en-US" w:eastAsia="zh-CN" w:bidi="ar"/>
              </w:rPr>
              <w:t>2024年度和田地区政府性基金预算转移支付表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blHeader/>
        </w:trPr>
        <w:tc>
          <w:tcPr>
            <w:tcW w:w="5000" w:type="pct"/>
            <w:gridSpan w:val="10"/>
            <w:tcBorders>
              <w:top w:val="nil"/>
              <w:left w:val="nil"/>
              <w:bottom w:val="nil"/>
              <w:right w:val="nil"/>
            </w:tcBorders>
            <w:shd w:val="clear" w:color="auto" w:fill="FFFFFF" w:themeFill="background1"/>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blHeader/>
        </w:trPr>
        <w:tc>
          <w:tcPr>
            <w:tcW w:w="616"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项目</w:t>
            </w:r>
          </w:p>
        </w:tc>
        <w:tc>
          <w:tcPr>
            <w:tcW w:w="67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合计决算数</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皮山县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墨玉县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洛浦县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策勒县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于田县</w:t>
            </w:r>
          </w:p>
        </w:tc>
        <w:tc>
          <w:tcPr>
            <w:tcW w:w="46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民丰县</w:t>
            </w:r>
          </w:p>
        </w:tc>
        <w:tc>
          <w:tcPr>
            <w:tcW w:w="4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和田市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基金转移支付</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45613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778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2031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1437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33260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1066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1619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旅游发展基金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中央水库移民扶持基金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中央彩票公益金用于支持社会福利事业专项资金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自治区社会福利补助资金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特殊困难老年人家庭适老化改造项目</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提前下达自治区80周岁以上老年人生活补助和免费体检自治区补助资金（往后年度以此框架为准）</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914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自治区社会福利补助资金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自治区民政标准化建设项目</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提前下达自治区孤残儿童护理补贴项目资金（往后年度以此框架为准）</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486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政府购买社会救助服务项目</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提前下达自治区残疾人事业发展补助资金彩票公益金部分（往后年度以此框架为准）</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中央专项彩票公益金支持残疾人事业发展补助资金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财建〔2024〕274号</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33200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32000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1200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推动大规模设备更新和消费品以旧换新</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推动大规模设备更新和消费品以旧换新</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推动大规模设备更新和消费品以旧换新</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3040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474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中央专项彩票公益金支持乡村学校少年宫资金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2024年彩票公益金支持特殊教育学校（特教班）生活补助经费</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中央集中彩票公益金支持体育事业专项资金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491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自治区公共体育场馆向社会免费或低收费开放补助资金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财政部关于下达中央专项彩票公益金支持地方社会公益事业发展资金预算的通知</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中央专项彩票公益金支持残疾人事业发展补助资金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345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19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73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中央集中彩票公益金支持体育事业专项资金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292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自治区彩票公益金支持体育事业专项资金</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950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110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160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140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5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200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70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30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val="0"/>
                <w:bCs w:val="0"/>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_GB2312" w:hAnsi="仿宋_GB2312" w:eastAsia="仿宋_GB2312" w:cs="仿宋_GB2312"/>
                <w:b w:val="0"/>
                <w:bCs w:val="0"/>
                <w:i w:val="0"/>
                <w:iCs w:val="0"/>
                <w:color w:val="auto"/>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251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31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18 </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 </w:t>
            </w: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61 </w:t>
            </w:r>
          </w:p>
        </w:tc>
      </w:tr>
    </w:tbl>
    <w:p>
      <w:pPr>
        <w:pStyle w:val="7"/>
        <w:rPr>
          <w:rFonts w:hint="default"/>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4"/>
        <w:numPr>
          <w:ilvl w:val="0"/>
          <w:numId w:val="2"/>
        </w:numPr>
        <w:bidi w:val="0"/>
        <w:rPr>
          <w:color w:val="auto"/>
          <w:lang w:eastAsia="zh-Hans"/>
        </w:rPr>
      </w:pPr>
      <w:bookmarkStart w:id="6" w:name="_Toc13431"/>
      <w:r>
        <w:rPr>
          <w:color w:val="auto"/>
          <w:lang w:eastAsia="zh-Hans"/>
        </w:rPr>
        <w:t>国有资本经营预算转移</w:t>
      </w:r>
      <w:r>
        <w:rPr>
          <w:rFonts w:hint="eastAsia"/>
          <w:color w:val="auto"/>
          <w:lang w:eastAsia="zh-Hans"/>
        </w:rPr>
        <w:t>支付</w:t>
      </w:r>
      <w:r>
        <w:rPr>
          <w:color w:val="auto"/>
          <w:lang w:eastAsia="zh-Hans"/>
        </w:rPr>
        <w:t>表</w:t>
      </w:r>
      <w:bookmarkEnd w:id="6"/>
    </w:p>
    <w:tbl>
      <w:tblPr>
        <w:tblStyle w:val="15"/>
        <w:tblpPr w:leftFromText="180" w:rightFromText="180" w:vertAnchor="text" w:horzAnchor="page" w:tblpX="700" w:tblpY="201"/>
        <w:tblOverlap w:val="never"/>
        <w:tblW w:w="108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5"/>
        <w:gridCol w:w="1425"/>
        <w:gridCol w:w="1005"/>
        <w:gridCol w:w="1005"/>
        <w:gridCol w:w="1005"/>
        <w:gridCol w:w="1005"/>
        <w:gridCol w:w="1005"/>
        <w:gridCol w:w="1005"/>
        <w:gridCol w:w="1005"/>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89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32"/>
                <w:szCs w:val="32"/>
                <w:u w:val="none"/>
              </w:rPr>
            </w:pPr>
            <w:r>
              <w:rPr>
                <w:rFonts w:hint="eastAsia" w:ascii="仿宋_GB2312" w:hAnsi="仿宋_GB2312" w:eastAsia="仿宋_GB2312" w:cs="仿宋_GB2312"/>
                <w:i w:val="0"/>
                <w:iCs w:val="0"/>
                <w:color w:val="auto"/>
                <w:kern w:val="0"/>
                <w:sz w:val="32"/>
                <w:szCs w:val="32"/>
                <w:u w:val="none"/>
                <w:lang w:val="en-US" w:eastAsia="zh-CN" w:bidi="ar"/>
              </w:rPr>
              <w:t>2024年度和田地区国有资本经营预算转移支付表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90" w:type="dxa"/>
            <w:gridSpan w:val="10"/>
            <w:tcBorders>
              <w:top w:val="nil"/>
              <w:left w:val="nil"/>
              <w:bottom w:val="single" w:color="auto" w:sz="4" w:space="0"/>
              <w:right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项目名称</w:t>
            </w:r>
          </w:p>
        </w:tc>
        <w:tc>
          <w:tcPr>
            <w:tcW w:w="14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合计</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皮山县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墨玉县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和田县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洛浦县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策勒县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于田县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民丰县</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u w:val="none"/>
              </w:rPr>
            </w:pPr>
            <w:r>
              <w:rPr>
                <w:rFonts w:hint="eastAsia" w:ascii="仿宋_GB2312" w:hAnsi="仿宋_GB2312" w:eastAsia="仿宋_GB2312" w:cs="仿宋_GB2312"/>
                <w:b/>
                <w:bCs/>
                <w:i w:val="0"/>
                <w:iCs w:val="0"/>
                <w:color w:val="auto"/>
                <w:kern w:val="0"/>
                <w:sz w:val="22"/>
                <w:szCs w:val="22"/>
                <w:u w:val="none"/>
                <w:lang w:val="en-US" w:eastAsia="zh-CN" w:bidi="ar"/>
              </w:rPr>
              <w:t>和田市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i w:val="0"/>
                <w:iCs w:val="0"/>
                <w:color w:val="auto"/>
                <w:sz w:val="20"/>
                <w:szCs w:val="20"/>
                <w:u w:val="none"/>
              </w:rPr>
            </w:pPr>
            <w:r>
              <w:rPr>
                <w:rFonts w:hint="eastAsia" w:ascii="仿宋_GB2312" w:hAnsi="仿宋_GB2312" w:eastAsia="仿宋_GB2312" w:cs="仿宋_GB2312"/>
                <w:b w:val="0"/>
                <w:bCs w:val="0"/>
                <w:i w:val="0"/>
                <w:iCs w:val="0"/>
                <w:color w:val="auto"/>
                <w:kern w:val="0"/>
                <w:sz w:val="20"/>
                <w:szCs w:val="20"/>
                <w:u w:val="none"/>
                <w:lang w:val="en-US" w:eastAsia="zh-CN" w:bidi="ar"/>
              </w:rPr>
              <w:t>国有资本经营预算支出</w:t>
            </w:r>
          </w:p>
        </w:tc>
        <w:tc>
          <w:tcPr>
            <w:tcW w:w="142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24.18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1.39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2.19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0.41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1.23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1.25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1.77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0.68 </w:t>
            </w:r>
          </w:p>
        </w:tc>
        <w:tc>
          <w:tcPr>
            <w:tcW w:w="10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2"/>
                <w:szCs w:val="22"/>
                <w:u w:val="none"/>
              </w:rPr>
            </w:pPr>
            <w:r>
              <w:rPr>
                <w:rFonts w:hint="eastAsia" w:ascii="仿宋_GB2312" w:hAnsi="仿宋_GB2312" w:eastAsia="仿宋_GB2312" w:cs="仿宋_GB2312"/>
                <w:b w:val="0"/>
                <w:bCs w:val="0"/>
                <w:i w:val="0"/>
                <w:iCs w:val="0"/>
                <w:color w:val="auto"/>
                <w:kern w:val="0"/>
                <w:sz w:val="22"/>
                <w:szCs w:val="22"/>
                <w:u w:val="none"/>
                <w:lang w:val="en-US" w:eastAsia="zh-CN" w:bidi="ar"/>
              </w:rPr>
              <w:t xml:space="preserve">15.26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25" w:type="dxa"/>
            <w:tcBorders>
              <w:top w:val="single" w:color="auto" w:sz="4" w:space="0"/>
              <w:left w:val="single" w:color="auto" w:sz="4" w:space="0"/>
              <w:bottom w:val="single" w:color="auto" w:sz="4" w:space="0"/>
              <w:right w:val="single" w:color="auto" w:sz="4" w:space="0"/>
            </w:tcBorders>
            <w:shd w:val="clear" w:color="auto" w:fill="EDEDED"/>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提前下达中央财政2021年国有企业退休人员社会化管理补助资金</w:t>
            </w:r>
          </w:p>
        </w:tc>
        <w:tc>
          <w:tcPr>
            <w:tcW w:w="1425" w:type="dxa"/>
            <w:tcBorders>
              <w:top w:val="single" w:color="auto" w:sz="4" w:space="0"/>
              <w:left w:val="single" w:color="auto" w:sz="4" w:space="0"/>
              <w:bottom w:val="single" w:color="auto" w:sz="4" w:space="0"/>
              <w:right w:val="single" w:color="auto" w:sz="4" w:space="0"/>
            </w:tcBorders>
            <w:shd w:val="clear" w:color="auto" w:fill="EDEDED"/>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24.18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1.39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2.19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0.41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1.23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1.25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1.77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0.68 </w:t>
            </w:r>
          </w:p>
        </w:tc>
        <w:tc>
          <w:tcPr>
            <w:tcW w:w="1005" w:type="dxa"/>
            <w:tcBorders>
              <w:top w:val="single" w:color="auto" w:sz="4" w:space="0"/>
              <w:left w:val="single" w:color="auto" w:sz="4" w:space="0"/>
              <w:bottom w:val="single" w:color="auto" w:sz="4" w:space="0"/>
              <w:right w:val="single" w:color="auto" w:sz="4" w:space="0"/>
            </w:tcBorders>
            <w:shd w:val="clear" w:color="auto" w:fill="EDEDED"/>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15.26 </w:t>
            </w:r>
          </w:p>
        </w:tc>
      </w:tr>
    </w:tbl>
    <w:p>
      <w:pPr>
        <w:rPr>
          <w:color w:val="auto"/>
          <w:lang w:eastAsia="zh-Hans"/>
        </w:rPr>
      </w:pPr>
    </w:p>
    <w:p>
      <w:pPr>
        <w:pStyle w:val="7"/>
        <w:rPr>
          <w:rFonts w:hint="default"/>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firstLine="642" w:firstLineChars="200"/>
        <w:rPr>
          <w:color w:val="auto"/>
          <w:lang w:eastAsia="zh-Hans"/>
        </w:rPr>
      </w:pPr>
      <w:bookmarkStart w:id="7" w:name="_Toc5542"/>
      <w:r>
        <w:rPr>
          <w:rFonts w:hint="eastAsia"/>
          <w:color w:val="auto"/>
        </w:rPr>
        <w:t>五</w:t>
      </w:r>
      <w:r>
        <w:rPr>
          <w:rFonts w:hint="eastAsia"/>
          <w:color w:val="auto"/>
          <w:lang w:eastAsia="zh-Hans"/>
        </w:rPr>
        <w:t>、转移支付执行情况说明</w:t>
      </w:r>
      <w:bookmarkEnd w:id="7"/>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202</w:t>
      </w:r>
      <w:r>
        <w:rPr>
          <w:rFonts w:hint="eastAsia"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年度</w:t>
      </w:r>
      <w:r>
        <w:rPr>
          <w:rFonts w:hint="default" w:ascii="Times New Roman" w:hAnsi="Times New Roman" w:eastAsia="仿宋_GB2312" w:cs="Times New Roman"/>
          <w:color w:val="auto"/>
          <w:kern w:val="0"/>
          <w:sz w:val="32"/>
          <w:szCs w:val="32"/>
          <w:lang w:eastAsia="zh-CN"/>
        </w:rPr>
        <w:t>自治区补助和田地区</w:t>
      </w:r>
      <w:r>
        <w:rPr>
          <w:rFonts w:hint="default" w:ascii="Times New Roman" w:hAnsi="Times New Roman" w:eastAsia="仿宋_GB2312" w:cs="Times New Roman"/>
          <w:color w:val="auto"/>
          <w:kern w:val="0"/>
          <w:sz w:val="32"/>
          <w:szCs w:val="32"/>
        </w:rPr>
        <w:t>转移性</w:t>
      </w:r>
      <w:r>
        <w:rPr>
          <w:rFonts w:hint="eastAsia" w:ascii="Times New Roman" w:hAnsi="Times New Roman" w:eastAsia="仿宋_GB2312" w:cs="Times New Roman"/>
          <w:color w:val="auto"/>
          <w:kern w:val="0"/>
          <w:sz w:val="32"/>
          <w:szCs w:val="32"/>
          <w:lang w:eastAsia="zh-CN"/>
        </w:rPr>
        <w:t>支出</w:t>
      </w:r>
      <w:r>
        <w:rPr>
          <w:rFonts w:hint="default" w:ascii="Times New Roman" w:hAnsi="Times New Roman" w:eastAsia="仿宋_GB2312" w:cs="Times New Roman"/>
          <w:color w:val="auto"/>
          <w:kern w:val="0"/>
          <w:sz w:val="32"/>
          <w:szCs w:val="32"/>
        </w:rPr>
        <w:t>共计</w:t>
      </w:r>
      <w:r>
        <w:rPr>
          <w:rFonts w:hint="eastAsia" w:ascii="Times New Roman" w:hAnsi="Times New Roman" w:eastAsia="仿宋_GB2312" w:cs="Times New Roman"/>
          <w:color w:val="auto"/>
          <w:kern w:val="0"/>
          <w:sz w:val="32"/>
          <w:szCs w:val="32"/>
          <w:lang w:val="en-US" w:eastAsia="zh-CN"/>
        </w:rPr>
        <w:t>3860063</w:t>
      </w:r>
      <w:r>
        <w:rPr>
          <w:rFonts w:hint="default" w:ascii="Times New Roman" w:hAnsi="Times New Roman" w:eastAsia="仿宋_GB2312" w:cs="Times New Roman"/>
          <w:color w:val="auto"/>
          <w:kern w:val="0"/>
          <w:sz w:val="32"/>
          <w:szCs w:val="32"/>
        </w:rPr>
        <w:t>万元，其中：返还性</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15473</w:t>
      </w:r>
      <w:r>
        <w:rPr>
          <w:rFonts w:hint="default" w:ascii="Times New Roman" w:hAnsi="Times New Roman" w:eastAsia="仿宋_GB2312" w:cs="Times New Roman"/>
          <w:color w:val="auto"/>
          <w:kern w:val="0"/>
          <w:sz w:val="32"/>
          <w:szCs w:val="32"/>
        </w:rPr>
        <w:t>万元、一般性转移支付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3601285</w:t>
      </w:r>
      <w:r>
        <w:rPr>
          <w:rFonts w:hint="default" w:ascii="Times New Roman" w:hAnsi="Times New Roman" w:eastAsia="仿宋_GB2312" w:cs="Times New Roman"/>
          <w:color w:val="auto"/>
          <w:kern w:val="0"/>
          <w:sz w:val="32"/>
          <w:szCs w:val="32"/>
        </w:rPr>
        <w:t>万元、专项转移支付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243305</w:t>
      </w:r>
      <w:r>
        <w:rPr>
          <w:rFonts w:hint="default" w:ascii="Times New Roman" w:hAnsi="Times New Roman" w:eastAsia="仿宋_GB2312" w:cs="Times New Roman"/>
          <w:color w:val="auto"/>
          <w:kern w:val="0"/>
          <w:sz w:val="32"/>
          <w:szCs w:val="32"/>
        </w:rPr>
        <w:t>万元。</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afterAutospacing="0" w:line="560" w:lineRule="exact"/>
        <w:ind w:firstLine="642" w:firstLineChars="200"/>
        <w:jc w:val="left"/>
        <w:textAlignment w:val="auto"/>
        <w:rPr>
          <w:rFonts w:hint="eastAsia" w:ascii="Times New Roman" w:hAnsi="Times New Roman" w:eastAsia="仿宋_GB2312" w:cs="Times New Roman"/>
          <w:b/>
          <w:bCs/>
          <w:color w:val="auto"/>
          <w:kern w:val="0"/>
          <w:sz w:val="32"/>
          <w:szCs w:val="32"/>
          <w:lang w:eastAsia="zh-CN"/>
        </w:rPr>
      </w:pPr>
      <w:r>
        <w:rPr>
          <w:rFonts w:hint="eastAsia" w:ascii="Times New Roman" w:hAnsi="Times New Roman" w:eastAsia="仿宋_GB2312" w:cs="Times New Roman"/>
          <w:b/>
          <w:bCs/>
          <w:color w:val="auto"/>
          <w:kern w:val="0"/>
          <w:sz w:val="32"/>
          <w:szCs w:val="32"/>
          <w:lang w:eastAsia="zh-CN"/>
        </w:rPr>
        <w:t>返还性支出</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Autospacing="0" w:line="560" w:lineRule="exact"/>
        <w:jc w:val="left"/>
        <w:textAlignment w:val="auto"/>
        <w:rPr>
          <w:rFonts w:hint="default"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　　返还性支出15743万元，其中：</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jc w:val="left"/>
        <w:textAlignment w:val="auto"/>
        <w:rPr>
          <w:rFonts w:hint="default" w:ascii="Times New Roman" w:hAnsi="Times New Roman" w:eastAsia="仿宋_GB2312" w:cs="Times New Roman"/>
          <w:b w:val="0"/>
          <w:bCs w:val="0"/>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　　</w:t>
      </w:r>
      <w:r>
        <w:rPr>
          <w:rFonts w:hint="default" w:ascii="Times New Roman" w:hAnsi="Times New Roman" w:eastAsia="仿宋_GB2312" w:cs="Times New Roman"/>
          <w:b w:val="0"/>
          <w:bCs w:val="0"/>
          <w:color w:val="auto"/>
          <w:kern w:val="0"/>
          <w:sz w:val="32"/>
          <w:szCs w:val="32"/>
          <w:lang w:val="en-US" w:eastAsia="zh-CN"/>
        </w:rPr>
        <w:t>1.所得税基数返还</w:t>
      </w:r>
      <w:r>
        <w:rPr>
          <w:rFonts w:hint="eastAsia" w:ascii="Times New Roman" w:hAnsi="Times New Roman" w:eastAsia="仿宋_GB2312" w:cs="Times New Roman"/>
          <w:b w:val="0"/>
          <w:bCs w:val="0"/>
          <w:color w:val="auto"/>
          <w:kern w:val="0"/>
          <w:sz w:val="32"/>
          <w:szCs w:val="32"/>
          <w:lang w:val="en-US" w:eastAsia="zh-CN"/>
        </w:rPr>
        <w:t>支出</w:t>
      </w:r>
      <w:r>
        <w:rPr>
          <w:rFonts w:hint="default" w:ascii="Times New Roman" w:hAnsi="Times New Roman" w:eastAsia="仿宋_GB2312" w:cs="Times New Roman"/>
          <w:b w:val="0"/>
          <w:bCs w:val="0"/>
          <w:color w:val="auto"/>
          <w:kern w:val="0"/>
          <w:sz w:val="32"/>
          <w:szCs w:val="32"/>
          <w:lang w:val="en-US" w:eastAsia="zh-CN"/>
        </w:rPr>
        <w:t>1787万元；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2.增值税税收返还</w:t>
      </w:r>
      <w:r>
        <w:rPr>
          <w:rFonts w:hint="eastAsia" w:ascii="Times New Roman" w:hAnsi="Times New Roman" w:eastAsia="仿宋_GB2312" w:cs="Times New Roman"/>
          <w:b w:val="0"/>
          <w:bCs w:val="0"/>
          <w:color w:val="auto"/>
          <w:kern w:val="0"/>
          <w:sz w:val="32"/>
          <w:szCs w:val="32"/>
          <w:lang w:val="en-US" w:eastAsia="zh-CN"/>
        </w:rPr>
        <w:t>支出</w:t>
      </w:r>
      <w:r>
        <w:rPr>
          <w:rFonts w:hint="default" w:ascii="Times New Roman" w:hAnsi="Times New Roman" w:eastAsia="仿宋_GB2312" w:cs="Times New Roman"/>
          <w:b w:val="0"/>
          <w:bCs w:val="0"/>
          <w:color w:val="auto"/>
          <w:kern w:val="0"/>
          <w:sz w:val="32"/>
          <w:szCs w:val="32"/>
          <w:lang w:val="en-US" w:eastAsia="zh-CN"/>
        </w:rPr>
        <w:t>4349万元；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3.消费税税收返还</w:t>
      </w:r>
      <w:r>
        <w:rPr>
          <w:rFonts w:hint="eastAsia" w:ascii="Times New Roman" w:hAnsi="Times New Roman" w:eastAsia="仿宋_GB2312" w:cs="Times New Roman"/>
          <w:b w:val="0"/>
          <w:bCs w:val="0"/>
          <w:color w:val="auto"/>
          <w:kern w:val="0"/>
          <w:sz w:val="32"/>
          <w:szCs w:val="32"/>
          <w:lang w:val="en-US" w:eastAsia="zh-CN"/>
        </w:rPr>
        <w:t>支出</w:t>
      </w:r>
      <w:r>
        <w:rPr>
          <w:rFonts w:hint="default" w:ascii="Times New Roman" w:hAnsi="Times New Roman" w:eastAsia="仿宋_GB2312" w:cs="Times New Roman"/>
          <w:b w:val="0"/>
          <w:bCs w:val="0"/>
          <w:color w:val="auto"/>
          <w:kern w:val="0"/>
          <w:sz w:val="32"/>
          <w:szCs w:val="32"/>
          <w:lang w:val="en-US" w:eastAsia="zh-CN"/>
        </w:rPr>
        <w:t>410万元；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4.增值税“五五分享”税收返还</w:t>
      </w:r>
      <w:r>
        <w:rPr>
          <w:rFonts w:hint="eastAsia" w:ascii="Times New Roman" w:hAnsi="Times New Roman" w:eastAsia="仿宋_GB2312" w:cs="Times New Roman"/>
          <w:b w:val="0"/>
          <w:bCs w:val="0"/>
          <w:color w:val="auto"/>
          <w:kern w:val="0"/>
          <w:sz w:val="32"/>
          <w:szCs w:val="32"/>
          <w:lang w:val="en-US" w:eastAsia="zh-CN"/>
        </w:rPr>
        <w:t>支出</w:t>
      </w:r>
      <w:r>
        <w:rPr>
          <w:rFonts w:hint="default" w:ascii="Times New Roman" w:hAnsi="Times New Roman" w:eastAsia="仿宋_GB2312" w:cs="Times New Roman"/>
          <w:b w:val="0"/>
          <w:bCs w:val="0"/>
          <w:color w:val="auto"/>
          <w:kern w:val="0"/>
          <w:sz w:val="32"/>
          <w:szCs w:val="32"/>
          <w:lang w:val="en-US" w:eastAsia="zh-CN"/>
        </w:rPr>
        <w:t>7000万元；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2" w:firstLineChars="200"/>
        <w:jc w:val="left"/>
        <w:textAlignment w:val="auto"/>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5.</w:t>
      </w:r>
      <w:r>
        <w:rPr>
          <w:rFonts w:hint="default" w:ascii="Times New Roman" w:hAnsi="Times New Roman" w:eastAsia="仿宋_GB2312" w:cs="Times New Roman"/>
          <w:b w:val="0"/>
          <w:bCs w:val="0"/>
          <w:color w:val="auto"/>
          <w:kern w:val="0"/>
          <w:sz w:val="32"/>
          <w:szCs w:val="32"/>
          <w:lang w:val="en-US" w:eastAsia="zh-CN"/>
        </w:rPr>
        <w:t>其他返还性</w:t>
      </w:r>
      <w:r>
        <w:rPr>
          <w:rFonts w:hint="eastAsia" w:ascii="Times New Roman" w:hAnsi="Times New Roman" w:eastAsia="仿宋_GB2312" w:cs="Times New Roman"/>
          <w:b w:val="0"/>
          <w:bCs w:val="0"/>
          <w:color w:val="auto"/>
          <w:kern w:val="0"/>
          <w:sz w:val="32"/>
          <w:szCs w:val="32"/>
          <w:lang w:val="en-US" w:eastAsia="zh-CN"/>
        </w:rPr>
        <w:t>支出1927</w:t>
      </w:r>
      <w:r>
        <w:rPr>
          <w:rFonts w:hint="default" w:ascii="Times New Roman" w:hAnsi="Times New Roman" w:eastAsia="仿宋_GB2312" w:cs="Times New Roman"/>
          <w:b w:val="0"/>
          <w:bCs w:val="0"/>
          <w:color w:val="auto"/>
          <w:kern w:val="0"/>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2" w:firstLineChars="200"/>
        <w:jc w:val="left"/>
        <w:textAlignment w:val="auto"/>
        <w:rPr>
          <w:rFonts w:hint="eastAsia" w:ascii="Times New Roman" w:hAnsi="Times New Roman" w:eastAsia="仿宋_GB2312" w:cs="Times New Roman"/>
          <w:b/>
          <w:bCs/>
          <w:color w:val="auto"/>
          <w:kern w:val="0"/>
          <w:sz w:val="32"/>
          <w:szCs w:val="32"/>
          <w:lang w:eastAsia="zh-CN"/>
        </w:rPr>
      </w:pPr>
      <w:r>
        <w:rPr>
          <w:rFonts w:hint="eastAsia" w:ascii="Times New Roman" w:hAnsi="Times New Roman" w:eastAsia="仿宋_GB2312" w:cs="Times New Roman"/>
          <w:b/>
          <w:bCs/>
          <w:color w:val="auto"/>
          <w:kern w:val="0"/>
          <w:sz w:val="32"/>
          <w:szCs w:val="32"/>
          <w:lang w:eastAsia="zh-CN"/>
        </w:rPr>
        <w:t>二、</w:t>
      </w:r>
      <w:r>
        <w:rPr>
          <w:rFonts w:hint="default" w:ascii="Times New Roman" w:hAnsi="Times New Roman" w:eastAsia="仿宋_GB2312" w:cs="Times New Roman"/>
          <w:b/>
          <w:bCs/>
          <w:color w:val="auto"/>
          <w:kern w:val="0"/>
          <w:sz w:val="32"/>
          <w:szCs w:val="32"/>
        </w:rPr>
        <w:t>一般性转移支付</w:t>
      </w:r>
      <w:r>
        <w:rPr>
          <w:rFonts w:hint="eastAsia" w:ascii="Times New Roman" w:hAnsi="Times New Roman" w:eastAsia="仿宋_GB2312" w:cs="Times New Roman"/>
          <w:b/>
          <w:bCs/>
          <w:color w:val="auto"/>
          <w:kern w:val="0"/>
          <w:sz w:val="32"/>
          <w:szCs w:val="32"/>
          <w:lang w:eastAsia="zh-CN"/>
        </w:rPr>
        <w:t>支出</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一般性转移支付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3601285</w:t>
      </w:r>
      <w:r>
        <w:rPr>
          <w:rFonts w:hint="default" w:ascii="Times New Roman" w:hAnsi="Times New Roman" w:eastAsia="仿宋_GB2312" w:cs="Times New Roman"/>
          <w:color w:val="auto"/>
          <w:kern w:val="0"/>
          <w:sz w:val="32"/>
          <w:szCs w:val="32"/>
        </w:rPr>
        <w:t>万元，其中：</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体制补助</w:t>
      </w:r>
      <w:r>
        <w:rPr>
          <w:rFonts w:hint="eastAsia" w:ascii="Times New Roman" w:hAnsi="Times New Roman" w:eastAsia="仿宋_GB2312" w:cs="Times New Roman"/>
          <w:color w:val="auto"/>
          <w:kern w:val="0"/>
          <w:sz w:val="32"/>
          <w:szCs w:val="32"/>
          <w:lang w:val="en-US" w:eastAsia="zh-CN"/>
        </w:rPr>
        <w:t>37188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均衡性转移支付</w:t>
      </w:r>
      <w:r>
        <w:rPr>
          <w:rFonts w:hint="eastAsia" w:ascii="Times New Roman" w:hAnsi="Times New Roman" w:eastAsia="仿宋_GB2312" w:cs="Times New Roman"/>
          <w:color w:val="auto"/>
          <w:kern w:val="0"/>
          <w:sz w:val="32"/>
          <w:szCs w:val="32"/>
          <w:lang w:val="en-US" w:eastAsia="zh-CN"/>
        </w:rPr>
        <w:t>424002</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县级基本财力保障机制奖补资金</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263846</w:t>
      </w:r>
      <w:r>
        <w:rPr>
          <w:rFonts w:hint="default" w:ascii="Times New Roman" w:hAnsi="Times New Roman" w:eastAsia="仿宋_GB2312" w:cs="Times New Roman"/>
          <w:color w:val="auto"/>
          <w:kern w:val="0"/>
          <w:sz w:val="32"/>
          <w:szCs w:val="32"/>
        </w:rPr>
        <w:t>万</w:t>
      </w:r>
      <w:r>
        <w:rPr>
          <w:rFonts w:hint="default" w:ascii="Times New Roman" w:hAnsi="Times New Roman" w:eastAsia="仿宋_GB2312" w:cs="Times New Roman"/>
          <w:color w:val="auto"/>
          <w:kern w:val="0"/>
          <w:sz w:val="32"/>
          <w:szCs w:val="32"/>
          <w:lang w:eastAsia="zh-CN"/>
        </w:rPr>
        <w:t>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结算补助</w:t>
      </w:r>
      <w:r>
        <w:rPr>
          <w:rFonts w:hint="eastAsia" w:ascii="Times New Roman" w:hAnsi="Times New Roman" w:eastAsia="仿宋_GB2312" w:cs="Times New Roman"/>
          <w:color w:val="auto"/>
          <w:kern w:val="0"/>
          <w:sz w:val="32"/>
          <w:szCs w:val="32"/>
          <w:lang w:val="en-US" w:eastAsia="zh-CN"/>
        </w:rPr>
        <w:t>59629</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产粮（油）大县奖励资金</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812</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重点生态功能区转移支付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105408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固定数额补助</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771245</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一般公共服务共同财政事权转移支付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51078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教育共同财政事权转移支付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327508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科学技术共同财政事权转移支付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340</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文化旅游体育与传媒共同财政事权转移支付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10042</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社会保障和就业共同财政事权转移支付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264486</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医疗卫生共同财政事权转移支付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264348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节能环保共同财政事权转移支付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27465</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农林水共同财政事权转移支付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184155</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交通运输共同财政事权转移支付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167347</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商业服务业等共同财政事权转移支付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3321</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rPr>
        <w:t>自然资源海洋气象等共同财政事权转移支付支出</w:t>
      </w:r>
      <w:r>
        <w:rPr>
          <w:rFonts w:hint="eastAsia" w:ascii="Times New Roman" w:hAnsi="Times New Roman" w:eastAsia="仿宋_GB2312" w:cs="Times New Roman"/>
          <w:color w:val="auto"/>
          <w:kern w:val="0"/>
          <w:sz w:val="32"/>
          <w:szCs w:val="32"/>
          <w:lang w:val="en-US" w:eastAsia="zh-CN"/>
        </w:rPr>
        <w:t>30万元；</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住房保障共同财政事权转移支付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445</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灾害防治及应急管理共同财政事权转移支付支出</w:t>
      </w:r>
      <w:r>
        <w:rPr>
          <w:rFonts w:hint="eastAsia" w:ascii="Times New Roman" w:hAnsi="Times New Roman" w:eastAsia="仿宋_GB2312" w:cs="Times New Roman"/>
          <w:color w:val="auto"/>
          <w:kern w:val="0"/>
          <w:sz w:val="32"/>
          <w:szCs w:val="32"/>
          <w:lang w:val="en-US" w:eastAsia="zh-CN"/>
        </w:rPr>
        <w:t>-64万元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其他一般性转移支付</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1246</w:t>
      </w:r>
      <w:r>
        <w:rPr>
          <w:rFonts w:hint="default" w:ascii="Times New Roman" w:hAnsi="Times New Roman" w:eastAsia="仿宋_GB2312" w:cs="Times New Roman"/>
          <w:color w:val="auto"/>
          <w:kern w:val="0"/>
          <w:sz w:val="32"/>
          <w:szCs w:val="32"/>
        </w:rPr>
        <w:t>万元。</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firstLine="642" w:firstLineChars="200"/>
        <w:jc w:val="left"/>
        <w:textAlignment w:val="auto"/>
        <w:rPr>
          <w:rFonts w:hint="eastAsia" w:ascii="Times New Roman" w:hAnsi="Times New Roman" w:eastAsia="仿宋_GB2312" w:cs="Times New Roman"/>
          <w:b/>
          <w:bCs/>
          <w:color w:val="auto"/>
          <w:kern w:val="0"/>
          <w:sz w:val="32"/>
          <w:szCs w:val="32"/>
          <w:lang w:eastAsia="zh-CN"/>
        </w:rPr>
      </w:pPr>
      <w:r>
        <w:rPr>
          <w:rFonts w:hint="default" w:ascii="Times New Roman" w:hAnsi="Times New Roman" w:eastAsia="仿宋_GB2312" w:cs="Times New Roman"/>
          <w:b/>
          <w:bCs/>
          <w:color w:val="auto"/>
          <w:kern w:val="0"/>
          <w:sz w:val="32"/>
          <w:szCs w:val="32"/>
        </w:rPr>
        <w:t>二、专项转移支付</w:t>
      </w:r>
      <w:r>
        <w:rPr>
          <w:rFonts w:hint="eastAsia" w:ascii="Times New Roman" w:hAnsi="Times New Roman" w:eastAsia="仿宋_GB2312" w:cs="Times New Roman"/>
          <w:b/>
          <w:bCs/>
          <w:color w:val="auto"/>
          <w:kern w:val="0"/>
          <w:sz w:val="32"/>
          <w:szCs w:val="32"/>
          <w:lang w:eastAsia="zh-CN"/>
        </w:rPr>
        <w:t>支出</w:t>
      </w:r>
    </w:p>
    <w:p>
      <w:pPr>
        <w:keepNext w:val="0"/>
        <w:keepLines w:val="0"/>
        <w:pageBreakBefore w:val="0"/>
        <w:widowControl/>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专项转移补助</w:t>
      </w:r>
      <w:r>
        <w:rPr>
          <w:rFonts w:hint="eastAsia" w:ascii="Times New Roman" w:hAnsi="Times New Roman" w:eastAsia="仿宋_GB2312" w:cs="Times New Roman"/>
          <w:color w:val="auto"/>
          <w:kern w:val="0"/>
          <w:sz w:val="32"/>
          <w:szCs w:val="32"/>
          <w:lang w:eastAsia="zh-CN"/>
        </w:rPr>
        <w:t>支出</w:t>
      </w:r>
      <w:r>
        <w:rPr>
          <w:rFonts w:hint="eastAsia" w:ascii="Times New Roman" w:hAnsi="Times New Roman" w:eastAsia="仿宋_GB2312" w:cs="Times New Roman"/>
          <w:color w:val="auto"/>
          <w:kern w:val="0"/>
          <w:sz w:val="32"/>
          <w:szCs w:val="32"/>
          <w:lang w:val="en-US" w:eastAsia="zh-CN"/>
        </w:rPr>
        <w:t>243305</w:t>
      </w:r>
      <w:r>
        <w:rPr>
          <w:rFonts w:hint="default" w:ascii="Times New Roman" w:hAnsi="Times New Roman" w:eastAsia="仿宋_GB2312" w:cs="Times New Roman"/>
          <w:color w:val="auto"/>
          <w:kern w:val="0"/>
          <w:sz w:val="32"/>
          <w:szCs w:val="32"/>
        </w:rPr>
        <w:t>万元，其中：</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一般公共服务</w:t>
      </w:r>
      <w:r>
        <w:rPr>
          <w:rFonts w:hint="eastAsia" w:ascii="Times New Roman" w:hAnsi="Times New Roman" w:eastAsia="仿宋_GB2312" w:cs="Times New Roman"/>
          <w:color w:val="auto"/>
          <w:kern w:val="0"/>
          <w:sz w:val="32"/>
          <w:szCs w:val="32"/>
          <w:lang w:val="en-US" w:eastAsia="zh-CN"/>
        </w:rPr>
        <w:t>5950</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教育</w:t>
      </w:r>
      <w:r>
        <w:rPr>
          <w:rFonts w:hint="eastAsia" w:ascii="Times New Roman" w:hAnsi="Times New Roman" w:eastAsia="仿宋_GB2312" w:cs="Times New Roman"/>
          <w:color w:val="auto"/>
          <w:kern w:val="0"/>
          <w:sz w:val="32"/>
          <w:szCs w:val="32"/>
          <w:lang w:val="en-US" w:eastAsia="zh-CN"/>
        </w:rPr>
        <w:t>3450</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科学技术</w:t>
      </w:r>
      <w:r>
        <w:rPr>
          <w:rFonts w:hint="eastAsia" w:ascii="Times New Roman" w:hAnsi="Times New Roman" w:eastAsia="仿宋_GB2312" w:cs="Times New Roman"/>
          <w:color w:val="auto"/>
          <w:kern w:val="0"/>
          <w:sz w:val="32"/>
          <w:szCs w:val="32"/>
          <w:lang w:val="en-US" w:eastAsia="zh-CN"/>
        </w:rPr>
        <w:t>97</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文化旅游体育与传媒</w:t>
      </w:r>
      <w:r>
        <w:rPr>
          <w:rFonts w:hint="eastAsia" w:ascii="Times New Roman" w:hAnsi="Times New Roman" w:eastAsia="仿宋_GB2312" w:cs="Times New Roman"/>
          <w:color w:val="auto"/>
          <w:kern w:val="0"/>
          <w:sz w:val="32"/>
          <w:szCs w:val="32"/>
          <w:lang w:val="en-US" w:eastAsia="zh-CN"/>
        </w:rPr>
        <w:t>6200</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社会保障和就业</w:t>
      </w:r>
      <w:r>
        <w:rPr>
          <w:rFonts w:hint="eastAsia" w:ascii="Times New Roman" w:hAnsi="Times New Roman" w:eastAsia="仿宋_GB2312" w:cs="Times New Roman"/>
          <w:color w:val="auto"/>
          <w:kern w:val="0"/>
          <w:sz w:val="32"/>
          <w:szCs w:val="32"/>
          <w:lang w:val="en-US" w:eastAsia="zh-CN"/>
        </w:rPr>
        <w:t>6800</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卫生健康</w:t>
      </w:r>
      <w:r>
        <w:rPr>
          <w:rFonts w:hint="eastAsia" w:ascii="Times New Roman" w:hAnsi="Times New Roman" w:eastAsia="仿宋_GB2312" w:cs="Times New Roman"/>
          <w:color w:val="auto"/>
          <w:kern w:val="0"/>
          <w:sz w:val="32"/>
          <w:szCs w:val="32"/>
          <w:lang w:val="en-US" w:eastAsia="zh-CN"/>
        </w:rPr>
        <w:t>3546</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节能环保</w:t>
      </w:r>
      <w:r>
        <w:rPr>
          <w:rFonts w:hint="eastAsia" w:ascii="Times New Roman" w:hAnsi="Times New Roman" w:eastAsia="仿宋_GB2312" w:cs="Times New Roman"/>
          <w:color w:val="auto"/>
          <w:kern w:val="0"/>
          <w:sz w:val="32"/>
          <w:szCs w:val="32"/>
          <w:lang w:val="en-US" w:eastAsia="zh-CN"/>
        </w:rPr>
        <w:t>19904</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城乡社区</w:t>
      </w:r>
      <w:r>
        <w:rPr>
          <w:rFonts w:hint="eastAsia" w:ascii="Times New Roman" w:hAnsi="Times New Roman" w:eastAsia="仿宋_GB2312" w:cs="Times New Roman"/>
          <w:color w:val="auto"/>
          <w:kern w:val="0"/>
          <w:sz w:val="32"/>
          <w:szCs w:val="32"/>
          <w:lang w:val="en-US" w:eastAsia="zh-CN"/>
        </w:rPr>
        <w:t>44138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农林水</w:t>
      </w:r>
      <w:r>
        <w:rPr>
          <w:rFonts w:hint="eastAsia" w:ascii="Times New Roman" w:hAnsi="Times New Roman" w:eastAsia="仿宋_GB2312" w:cs="Times New Roman"/>
          <w:color w:val="auto"/>
          <w:kern w:val="0"/>
          <w:sz w:val="32"/>
          <w:szCs w:val="32"/>
          <w:lang w:val="en-US" w:eastAsia="zh-CN"/>
        </w:rPr>
        <w:t>115126</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交通运输</w:t>
      </w:r>
      <w:r>
        <w:rPr>
          <w:rFonts w:hint="eastAsia" w:ascii="Times New Roman" w:hAnsi="Times New Roman" w:eastAsia="仿宋_GB2312" w:cs="Times New Roman"/>
          <w:color w:val="auto"/>
          <w:kern w:val="0"/>
          <w:sz w:val="32"/>
          <w:szCs w:val="32"/>
          <w:lang w:val="en-US" w:eastAsia="zh-CN"/>
        </w:rPr>
        <w:t>538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资源勘探信息等</w:t>
      </w:r>
      <w:r>
        <w:rPr>
          <w:rFonts w:hint="eastAsia" w:ascii="Times New Roman" w:hAnsi="Times New Roman" w:eastAsia="仿宋_GB2312" w:cs="Times New Roman"/>
          <w:color w:val="auto"/>
          <w:kern w:val="0"/>
          <w:sz w:val="32"/>
          <w:szCs w:val="32"/>
          <w:lang w:val="en-US" w:eastAsia="zh-CN"/>
        </w:rPr>
        <w:t>13895</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rPr>
        <w:t>商业服务业等</w:t>
      </w:r>
      <w:r>
        <w:rPr>
          <w:rFonts w:hint="eastAsia" w:ascii="Times New Roman" w:hAnsi="Times New Roman" w:eastAsia="仿宋_GB2312" w:cs="Times New Roman"/>
          <w:color w:val="auto"/>
          <w:kern w:val="0"/>
          <w:sz w:val="32"/>
          <w:szCs w:val="32"/>
          <w:lang w:val="en-US" w:eastAsia="zh-CN"/>
        </w:rPr>
        <w:t>1143</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eastAsia" w:ascii="Times New Roman" w:hAnsi="Times New Roman" w:eastAsia="仿宋_GB2312" w:cs="Times New Roman"/>
          <w:color w:val="auto"/>
          <w:kern w:val="0"/>
          <w:sz w:val="32"/>
          <w:szCs w:val="32"/>
          <w:lang w:eastAsia="zh-CN"/>
        </w:rPr>
      </w:pPr>
      <w:r>
        <w:rPr>
          <w:rFonts w:hint="eastAsia" w:ascii="Times New Roman" w:hAnsi="Times New Roman" w:eastAsia="仿宋_GB2312" w:cs="Times New Roman"/>
          <w:color w:val="auto"/>
          <w:kern w:val="0"/>
          <w:sz w:val="32"/>
          <w:szCs w:val="32"/>
          <w:lang w:val="en-US" w:eastAsia="zh-CN"/>
        </w:rPr>
        <w:t>金融62万元；</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afterAutospacing="0" w:line="560" w:lineRule="exact"/>
        <w:ind w:left="0" w:leftChars="0" w:firstLine="640" w:firstLineChars="200"/>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rPr>
        <w:t>住房保障</w:t>
      </w:r>
      <w:r>
        <w:rPr>
          <w:rFonts w:hint="eastAsia" w:ascii="Times New Roman" w:hAnsi="Times New Roman" w:eastAsia="仿宋_GB2312" w:cs="Times New Roman"/>
          <w:color w:val="auto"/>
          <w:kern w:val="0"/>
          <w:sz w:val="32"/>
          <w:szCs w:val="32"/>
          <w:lang w:val="en-US" w:eastAsia="zh-CN"/>
        </w:rPr>
        <w:t>2548</w:t>
      </w:r>
      <w:r>
        <w:rPr>
          <w:rFonts w:hint="default" w:ascii="Times New Roman" w:hAnsi="Times New Roman" w:eastAsia="仿宋_GB2312" w:cs="Times New Roman"/>
          <w:color w:val="auto"/>
          <w:kern w:val="0"/>
          <w:sz w:val="32"/>
          <w:szCs w:val="32"/>
        </w:rPr>
        <w:t>万元</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1</w:t>
      </w:r>
      <w:r>
        <w:rPr>
          <w:rFonts w:hint="eastAsia" w:eastAsia="仿宋_GB2312" w:cs="Times New Roman"/>
          <w:color w:val="auto"/>
          <w:kern w:val="0"/>
          <w:sz w:val="32"/>
          <w:szCs w:val="32"/>
          <w:lang w:val="en-US" w:eastAsia="zh-CN"/>
        </w:rPr>
        <w:t>5</w:t>
      </w:r>
      <w:r>
        <w:rPr>
          <w:rFonts w:hint="eastAsia" w:ascii="Times New Roman" w:hAnsi="Times New Roman" w:eastAsia="仿宋_GB2312" w:cs="Times New Roman"/>
          <w:color w:val="auto"/>
          <w:kern w:val="0"/>
          <w:sz w:val="32"/>
          <w:szCs w:val="32"/>
          <w:lang w:val="en-US" w:eastAsia="zh-CN"/>
        </w:rPr>
        <w:t>.灾害防治及应急管理9251</w:t>
      </w:r>
      <w:r>
        <w:rPr>
          <w:rFonts w:hint="default" w:ascii="Times New Roman" w:hAnsi="Times New Roman" w:eastAsia="仿宋_GB2312" w:cs="Times New Roman"/>
          <w:color w:val="auto"/>
          <w:kern w:val="0"/>
          <w:sz w:val="32"/>
          <w:szCs w:val="32"/>
          <w:lang w:val="en-US" w:eastAsia="zh-CN"/>
        </w:rPr>
        <w:t>万元。</w:t>
      </w:r>
    </w:p>
    <w:p>
      <w:pPr>
        <w:pStyle w:val="7"/>
        <w:rPr>
          <w:rFonts w:hint="default" w:ascii="Times New Roman" w:hAnsi="Times New Roman" w:eastAsia="仿宋_GB2312" w:cs="Times New Roman"/>
          <w:color w:val="auto"/>
          <w:kern w:val="0"/>
          <w:sz w:val="32"/>
          <w:szCs w:val="32"/>
          <w:lang w:val="en-US" w:eastAsia="zh-CN"/>
        </w:rPr>
      </w:pPr>
    </w:p>
    <w:p>
      <w:pPr>
        <w:pStyle w:val="8"/>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sectPr>
          <w:pgSz w:w="11906" w:h="16838"/>
          <w:pgMar w:top="1440" w:right="1800" w:bottom="1440" w:left="1800" w:header="851" w:footer="992" w:gutter="0"/>
          <w:pgNumType w:fmt="decimal"/>
          <w:cols w:space="720" w:num="1"/>
          <w:docGrid w:type="lines" w:linePitch="312" w:charSpace="0"/>
        </w:sectPr>
      </w:pPr>
    </w:p>
    <w:p>
      <w:pPr>
        <w:pStyle w:val="3"/>
        <w:spacing w:before="156" w:beforeLines="50" w:after="156" w:afterLines="50"/>
        <w:rPr>
          <w:rFonts w:hint="default" w:ascii="Times New Roman" w:hAnsi="Times New Roman" w:eastAsia="仿宋_GB2312" w:cs="Times New Roman"/>
          <w:color w:val="auto"/>
          <w:kern w:val="0"/>
          <w:sz w:val="32"/>
          <w:szCs w:val="32"/>
          <w:lang w:val="en-US" w:eastAsia="zh-CN"/>
        </w:rPr>
      </w:pPr>
      <w:bookmarkStart w:id="8" w:name="_Toc23113"/>
      <w:r>
        <w:rPr>
          <w:b/>
          <w:bCs/>
          <w:color w:val="auto"/>
          <w:lang w:eastAsia="zh-Hans"/>
        </w:rPr>
        <w:t>第</w:t>
      </w:r>
      <w:r>
        <w:rPr>
          <w:rFonts w:hint="eastAsia"/>
          <w:b/>
          <w:bCs/>
          <w:color w:val="auto"/>
        </w:rPr>
        <w:t>二</w:t>
      </w:r>
      <w:r>
        <w:rPr>
          <w:b/>
          <w:bCs/>
          <w:color w:val="auto"/>
          <w:lang w:eastAsia="zh-Hans"/>
        </w:rPr>
        <w:t>部分</w:t>
      </w:r>
      <w:r>
        <w:rPr>
          <w:rFonts w:hint="eastAsia"/>
          <w:b/>
          <w:bCs/>
          <w:color w:val="auto"/>
          <w:lang w:eastAsia="zh-Hans"/>
        </w:rPr>
        <w:t>：一般公共预算决算情况</w:t>
      </w:r>
      <w:bookmarkEnd w:id="8"/>
    </w:p>
    <w:p>
      <w:pPr>
        <w:pStyle w:val="5"/>
        <w:numPr>
          <w:ilvl w:val="0"/>
          <w:numId w:val="6"/>
        </w:numPr>
        <w:spacing w:before="156" w:beforeLines="50" w:after="156" w:afterLines="50"/>
        <w:ind w:firstLine="642" w:firstLineChars="200"/>
        <w:rPr>
          <w:color w:val="auto"/>
          <w:lang w:eastAsia="zh-Hans"/>
        </w:rPr>
      </w:pPr>
      <w:bookmarkStart w:id="9" w:name="_Toc10429"/>
      <w:r>
        <w:rPr>
          <w:color w:val="auto"/>
          <w:lang w:eastAsia="zh-Hans"/>
        </w:rPr>
        <w:t>一般公</w:t>
      </w:r>
      <w:r>
        <w:rPr>
          <w:rFonts w:hint="eastAsia"/>
          <w:color w:val="auto"/>
          <w:lang w:eastAsia="zh-Hans"/>
        </w:rPr>
        <w:t>共预</w:t>
      </w:r>
      <w:r>
        <w:rPr>
          <w:color w:val="auto"/>
          <w:lang w:eastAsia="zh-Hans"/>
        </w:rPr>
        <w:t>算收入</w:t>
      </w:r>
      <w:r>
        <w:rPr>
          <w:rFonts w:hint="eastAsia"/>
          <w:color w:val="auto"/>
          <w:lang w:eastAsia="zh-Hans"/>
        </w:rPr>
        <w:t>决算</w:t>
      </w:r>
      <w:r>
        <w:rPr>
          <w:color w:val="auto"/>
          <w:lang w:eastAsia="zh-Hans"/>
        </w:rPr>
        <w:t>表</w:t>
      </w:r>
      <w:bookmarkEnd w:id="9"/>
    </w:p>
    <w:tbl>
      <w:tblPr>
        <w:tblStyle w:val="15"/>
        <w:tblW w:w="5430" w:type="pct"/>
        <w:tblInd w:w="-44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53"/>
        <w:gridCol w:w="2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2024年度和田地区一般公共预算收入决算表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auto"/>
                <w:sz w:val="24"/>
                <w:szCs w:val="24"/>
                <w:u w:val="none"/>
              </w:rPr>
            </w:pPr>
            <w:r>
              <w:rPr>
                <w:rFonts w:hint="eastAsia" w:ascii="仿宋_GB2312" w:hAnsi="宋体" w:eastAsia="仿宋_GB2312" w:cs="仿宋_GB2312"/>
                <w:b/>
                <w:bCs/>
                <w:i w:val="0"/>
                <w:iCs w:val="0"/>
                <w:color w:val="auto"/>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3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科目名称</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税收收入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265,366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109,297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109,297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中国国家铁路集团有限公司改征增值税待分配收入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中国国家铁路集团有限公司改征增值税收入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残疾人就业增值税退税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软件增值税退税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宣传文化单位增值税退税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核电站增值税退税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资源综合利用增值税退税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黄金增值税退税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光伏发电增值税退税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风力发电增值税退税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管道运输增值税退税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融资租赁增值税退税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增值税留抵退税省级调库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增值税留抵退税省级以下调库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其他增值税退税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免抵调增增值税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成品油价格和税费改革增值税划出</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成品油价格和税费改革增值税划入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跨省管道运输企业增值税待分配收入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进口货物退增值税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出口业务退增值税(项)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出口业务退增值税(目)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免抵调减增值税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消费税税款滞纳金、罚款收入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成品油消费税退税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其他消费税退税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进口消费品消费税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进口成品油消费税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进口其他消费品消费税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进口消费品消费税税款滞纳金、罚款收入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进口成品油消费税退税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进口其他消费品退消费税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出口消费品退消费税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国有冶金工业所得税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国有有色金属工业所得税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国有煤炭工业所得税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国有电力工业所得税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国有石油和化学工业所得税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国有机械工业所得税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国有汽车工业所得税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国有核工业所得税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国有航空工业所得税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国有航天工业所得税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国有电子工业所得税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国有兵器工业所得税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国有船舶工业所得税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国有建筑材料工业所得税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国有烟草企业所得税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国有纺织企业所得税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国有铁道企业所得税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其他国有铁道企业所得税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国有交通企业所得税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国有邮政企业所得税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国有民航企业所得税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国有海洋石油天然气企业所得税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国有外贸企业所得税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国有银行所得税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中国进出口银行所得税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中国农业发展银行所得税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其他国有银行所得税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国有非银行金融企业所得税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中国建银投资有限责任公司所得税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中国投资有限责任公司所得税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中投公司所属其他公司所得税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其他国有非银行金融企业所得税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国有保险企业所得税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国有文教企业所得税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国有电影企业所得税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国有出版企业所得税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其他国有文教企业所得税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国有水产企业所得税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国有森林工业企业所得税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国有电信企业所得税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国有农垦企业所得税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18,211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股份制海洋石油天然气企业所得税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中国石油天然气股份有限公司所得税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中国石油化工股份有限公司所得税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中国工商银行股份有限公司所得税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中国建设银行股份有限公司所得税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长江电力股份有限公司所得税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国家开发银行股份有限公司所得税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中国邮政储蓄银行股份有限公司所得税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中国信达资产管理股份有限公司所得税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跨省合资铁路企业所得税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中国华融资产管理股份有限公司所得税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中国长城资产管理公司所得税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中国东方资产管理公司所得税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其他股份制企业所得税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18,211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港澳台和外商投资海上石油天然气企业所得税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其他港澳台和外商投资企业所得税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其他企业总机构预缴所得税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省以下企业所得税待分配收入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其他企业分支机构汇算清缴所得税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内资企业所得税税款滞纳金、罚款、加收利息收入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中央企业所得税税款滞纳金、罚款、加收利息收入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跨省管道运输企业所得税待分配收入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国有冶金工业所得税退税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国有有色金属工业所得税退税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国有煤炭工业所得税退税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国有电力工业所得税退税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国有石油和化学工业所得税退税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国有机械工业所得税退税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国有汽车工业所得税退税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国有核工业所得税退税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国有航空工业所得税退税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国有航天工业所得税退税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国有电子工业所得税退税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国有兵器工业所得税退税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国有船舶工业所得税退税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国有建筑材料工业所得税退税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国有烟草企业所得税退税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国有纺织企业所得税退税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国有铁道企业所得税退税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国有交通企业所得税退税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国有邮政企业所得税退税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国有民航企业所得税退税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海洋石油天然气企业所得税退税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国有外贸企业所得税退税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国有银行所得税退税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中国进出口银行所得税退税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中国农业发展银行所得税退税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其他国有银行所得税退税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国有非银行金融企业所得税退税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中国投资有限责任公司所得税退税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其他国有非银行金融企业所得税退税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国有保险企业所得税退税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国有文教企业所得税退税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国有电影企业所得税退税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国有出版企业所得税退税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其他国有文教企业所得税退税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国有水产企业所得税退税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国有森林工业企业所得税退税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国有电信企业所得税退税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中国工商银行股份有限公司所得税退税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中国建设银行股份有限公司所得税退税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国家开发银行股份有限公司所得税退税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中国邮政储蓄银行股份有限公司所得税退税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中国信达资产管理股份有限公司所得税退税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中国华融资产管理股份有限公司所得税退税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中国长城资产管理公司所得税退税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中国东方资产管理公司所得税退税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其他股份制企业所得税退税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跨省市总分机构企业所得税退税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国有跨省市总分机构企业所得税退税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股份制跨省市总分机构企业所得税退税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港澳台和外商投资跨省市总分机构企业所得税退税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其他跨省市总分机构企业所得税退税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国有跨市县总分机构企业所得税退税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股份制跨市县总分机构企业所得税退税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港澳台和外商投资跨市县总分机构企业所得税退税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其他跨市县总分机构企业所得税退税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19,803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储蓄存款利息所得税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其他个人所得税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19,803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个人所得税综合所得汇算清缴退税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个人所得税代扣代缴手续费退库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14,977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海洋石油资源税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其他资源税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中国国家铁路集团有限公司集中缴纳的铁路运输企业城市维护建设税待分配收入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城市维护建设税税款滞纳金、罚款收入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成品油价格和税费改革城市维护建设税划出</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成品油价格和税费改革城市维护建设税划入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跨省管道运输企业城市维护建设税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跨省管道运输企业城市维护建设税待分配收入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其他房产税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房产税税款滞纳金、罚款收入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印花税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其他印花税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印花税税款滞纳金、罚款、加收利息收入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其他城镇土地使用税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城镇土地使用税税款滞纳金、罚款收入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其他土地增值税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土地增值税税款滞纳金、罚款收入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15,706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进口关税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出口关税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进境物品进口税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特别关税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反倾销税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反补贴税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保障措施关税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报复性关税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关税和特别关税税款滞纳金、罚款收入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耕地占用税退税</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其他税收收入税款滞纳金、罚款收入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非税收入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304,856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成品油价格和税费改革教育费附加收入划出</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成品油价格和税费改革教育费附加收入划入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中国国家铁路集团有限公司集中缴纳的铁路运输企业教育费附加</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中国国家铁路集团有限公司集中缴纳的铁路运输企业教育费附加待分配收入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跨省管道运输企业教育费附加收入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跨省管道运输企业教育费附加待分配收入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铀产品出售收入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三峡库区移民专项收入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场外核应急准备收入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地方教育附加滞纳金、罚款收入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文化事业建设费收入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残疾人就业保障金收入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教育资金收入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农田水利建设资金收入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森林植被恢复费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水利建设专项收入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油价调控风险准备金收入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专项收益上缴收入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湿地恢复费收入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其他专项收入(项)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广告收入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其他专项收入(目)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28,847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公安行政事业性收费收入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外国人签证费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外国人证件费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公民出入境证件费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中国国籍申请手续费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户籍管理证件工本费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居民身份证工本费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机动车号牌工本费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机动车行驶证工本费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机动车登记证书工本费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驾驶证工本费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驾驶许可考试费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临时入境机动车号牌和行驶证工本费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临时机动车驾驶证工本费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保安员资格考试费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其他缴入国库的公安行政事业性收费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法院行政事业性收费收入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诉讼费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其他缴入国库的法院行政事业性收费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司法行政事业性收费收入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法律职业资格考试考务费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其他缴入国库的司法行政事业性收费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外交行政事业性收费收入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认证费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签证费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驻外使领馆收费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其他缴入国库的外交行政事业性收费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商贸行政事业性收费收入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其他缴入国库的商贸行政事业性收费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其他缴入国库的财政行政事业性收费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缴入国库的税务行政事业性收费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海关行政事业性收费收入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缴入国库的海关行政事业性收费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其他缴入国库的审计行政事业性收费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国管局行政事业性收费收入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工人技术等级鉴定考核费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其他缴入国库的国管局行政事业性收费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其他缴入国库的科技行政事业性收费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保密行政事业性收费收入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其他缴入国库的保密行政事业性收费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客运索道运营审查检验和定期检验费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压力管道安装审查检验和定期检验费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压力管道元件制造审查检验费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特种劳动防护用品检验费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一般劳动防护用品检验费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锅炉、压力容器检验费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滞纳金</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特种设备检验检测费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其他缴入国库的市场监管行政事业性收费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其他缴入国库的广播电视行政事业性收费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应急管理行政事业性收费收入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消防行业特有工种职业技能鉴定考试考务费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特种作业人员安全技术考试考务费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缴入国库的应急管理行政事业性收费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档案行政事业性收费收入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其他缴入国库的档案行政事业性收费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港澳办行政事业性收费收入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缴入国库的港澳办行政事业性收费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贸促会行政事业性收费收入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其他缴入国库的贸促会行政事业性收费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中直管理局行政事业性收费收入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工人培训考核费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住宿费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其他缴入国库的中直管理局行政事业性收费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导游人员资格考试费和等级考核费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其他缴入国库的文化和旅游行政事业性收费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普通话水平测试费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其他缴入国库的教育行政事业性收费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公办幼儿园保教费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公办幼儿园住宿费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体育特殊专业招生考务费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外国团体来华登山注册费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其他缴入国库的体育行政事业性收费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发展与改革(物价)行政事业性收费收入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其他缴入国库的发展与改革(物价)行政事业性收费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统计专业技术资格考试考务费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其他缴入国库的统计行政事业性收费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土地复垦费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土地闲置费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耕地开垦费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不动产登记费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其他缴入国库的自然资源行政事业性收费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建设行政事业性收费收入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城市道路占用挖掘修复费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生活垃圾处理费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其他缴入国库的建设行政事业性收费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知识产权行政事业性收费收入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专利收费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专利代理师资格考试考务费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集成电路布图设计保护收费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商标注册收费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其他缴入国库的知识产权行政事业性收费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海洋废弃物收费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其他缴入国库的生态环境行政事业性收费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其他缴入国库的铁路行政事业性收费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交通运输行政事业性收费收入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航空业务权补偿费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适航审查费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长江口航道维护费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长江干线船舶引航收费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其他缴入国库的交通运输行政事业性收费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电信网码号资源占用费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无线电频率占用费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其他缴入国库的工业和信息产业行政事业性收费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农业农村行政事业性收费收入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渔业资源增殖保护费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海洋渔业船舶船员考试费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工人技术等级考核或职业技能鉴定费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农药实验费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执业兽医资格考试考务费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其他缴入国库的农业农村行政事业性收费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林业草原行政事业性收费收入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草原植被恢复费收入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其他缴入国库的林业草原行政事业性收费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水土保持补偿费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其他缴入国库的水利行政事业性收费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卫生健康行政事业性收费收入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预防接种服务费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医疗事故鉴定费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预防接种异常反应鉴定费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造血干细胞配型费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职业病诊断鉴定费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非免疫规划疫苗储存运输费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其他缴入国库的卫生健康行政事业性收费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药品监管行政事业性收费收入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药品注册费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医疗器械产品注册费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其他缴入国库的药品监管行政事业性收费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民政行政事业性收费收入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住宿费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殡葬收费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其他缴入国库的民政行政事业性收费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人力资源和社会保障行政事业性收费收入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职业技能鉴定考试考务费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专业技术人员职业资格考试考务费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其他缴入国库的人力资源和社会保障行政事业性收费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证监会行政事业性收费收入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证券市场监管费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期货市场监管费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证券、期货、基金从业人员资格报名考试费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其他缴入国库的证监会行政事业性收费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金融监管行政事业性收费收入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机构监管费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业务监管费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其他缴入国库的金融监管行政事业性收费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仲裁委行政事业性收费收入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仲裁收费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其他缴入国库的仲裁委行政事业性收费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编办行政事业性收费收入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缴入国库的编办行政事业性收费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党校行政事业性收费收入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缴入国库的党校行政事业性收费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监察行政事业性收费收入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缴入国库的监察行政事业性收费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外文局行政事业性收费收入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翻译专业资格(水平)考试考务费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其他缴入国库的外文局行政事业性收费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国资委行政事业性收费收入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其他缴入国库的国资委行政事业性收费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其他行政事业性收费收入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政府信息公开信息处理费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其他缴入国库的行政事业性收费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新闻出版罚没收入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税务部门罚没收入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海关罚没收入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药品监督罚没收入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检验检疫罚没收入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证监会罚没收入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金融监管罚没收入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交通罚没收入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铁道罚没收入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渔政罚没收入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民航罚没收入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电力监管罚没收入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交强险罚没收入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物价罚没收入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市场监管罚没收入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监察罚没收入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海警罚没收入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住房和城乡建设罚没收入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应急管理罚没收入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烟草罚没收入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其他一般罚没收入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缉私罚没收入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公安缉私罚没收入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市场缉私罚没收入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海关缉私罚没收入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其他部门缉私罚没收入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缉毒罚没收入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罚没收入退库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国有资本经营收入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利润收入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中国人民银行上缴收入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金融企业利润收入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其他企业利润收入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股利、股息收入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金融业公司股利、股息收入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其他股利、股息收入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产权转让收入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其他产权转让收入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清算收入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其他清算收入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国有资本经营收入退库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国有企业计划亏损补贴</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工业企业计划亏损补贴</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农业企业计划亏损补贴</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其他国有企业计划亏损补贴</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烟草企业上缴专项收入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国有资源(资产)有偿使用收入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163,335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海域使用金收入(项)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海域使用金收入(目)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场地和矿区使用费收入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陆上石油矿区使用费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海上石油矿区使用费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中央合资合作企业场地使用费收入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中央和地方合资合作企业场地使用费收入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地方合资合作企业场地使用费收入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港澳台和外商独资企业场地使用费收入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特种矿产品出售收入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专项储备物资销售收入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国库存款利息收入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财政专户存款利息收入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有价证券利息收入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其他利息收入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非经营性国有资产收入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行政单位国有资产出租、出借收入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行政单位国有资产处置收入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82,884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事业单位国有资产处置收入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事业单位国有资产出租出借收入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其他非经营性国有资产收入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出租车经营权有偿出让和转让收入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无居民海岛使用金收入(项)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无居民海岛使用金收入(目)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转让政府还贷道路收费权收入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石油特别收益金专项收入(项)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石油特别收益金专项收入(目)</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石油特别收益金退库</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动用国家储备物资上缴财政收入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铁路资产变现收入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电力改革预留资产变现收入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排污权出让收入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航班时刻拍卖和使用费收入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农村集体经营性建设用地土地增值收益调节金收入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新增建设用地土地有偿使用费收入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三峡电站水资源费收入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其他水资源费收入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国家留成油上缴收入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市政公共资源有偿使用收入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停车泊位及公共停车场等有偿使用收入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公共空间广告设置权等有偿使用收入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其他市政公共资源有偿使用收入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其他国有资源(资产)有偿使用收入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捐赠收入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国外捐赠收入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国内捐赠收入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政府住房基金收入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上缴管理费用</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计提公共租赁住房资金</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公共租赁住房租金收入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10,563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配建商业设施租售收入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其他政府住房基金收入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其他收入(款)</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主管部门集中收入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免税商品特许经营费收入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基本建设收入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差别电价收入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债务管理收入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南水北调工程基金收入</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生态环境损害赔偿资金</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其他收入(项)</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kern w:val="2"/>
                <w:sz w:val="20"/>
                <w:szCs w:val="20"/>
                <w:u w:val="none"/>
                <w:lang w:val="en-US" w:eastAsia="zh-CN" w:bidi="ar-SA"/>
              </w:rPr>
            </w:pPr>
            <w:r>
              <w:rPr>
                <w:rFonts w:hint="eastAsia" w:ascii="仿宋_GB2312" w:hAnsi="仿宋_GB2312" w:eastAsia="仿宋_GB2312" w:cs="仿宋_GB2312"/>
                <w:b/>
                <w:bCs/>
                <w:i w:val="0"/>
                <w:iCs w:val="0"/>
                <w:color w:val="auto"/>
                <w:kern w:val="0"/>
                <w:sz w:val="20"/>
                <w:szCs w:val="20"/>
                <w:u w:val="none"/>
                <w:lang w:val="en-US" w:eastAsia="zh-CN" w:bidi="ar"/>
              </w:rPr>
              <w:t>本 年 收 入 合 计</w:t>
            </w:r>
          </w:p>
        </w:tc>
        <w:tc>
          <w:tcPr>
            <w:tcW w:w="1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lang w:val="en-US" w:eastAsia="zh-CN"/>
              </w:rPr>
            </w:pPr>
            <w:r>
              <w:rPr>
                <w:rFonts w:hint="eastAsia" w:ascii="仿宋_GB2312" w:hAnsi="仿宋_GB2312" w:eastAsia="仿宋_GB2312" w:cs="仿宋_GB2312"/>
                <w:b/>
                <w:bCs/>
                <w:i w:val="0"/>
                <w:iCs w:val="0"/>
                <w:color w:val="auto"/>
                <w:kern w:val="0"/>
                <w:sz w:val="20"/>
                <w:szCs w:val="20"/>
                <w:u w:val="none"/>
                <w:lang w:val="en-US" w:eastAsia="zh-CN" w:bidi="ar"/>
              </w:rPr>
              <w:t>570222</w:t>
            </w:r>
          </w:p>
        </w:tc>
      </w:tr>
    </w:tbl>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sectPr>
          <w:pgSz w:w="11906" w:h="16838"/>
          <w:pgMar w:top="1440" w:right="1800" w:bottom="1440" w:left="1800" w:header="851" w:footer="992" w:gutter="0"/>
          <w:pgNumType w:fmt="decimal"/>
          <w:cols w:space="720" w:num="1"/>
          <w:docGrid w:type="lines" w:linePitch="312" w:charSpace="0"/>
        </w:sectPr>
      </w:pPr>
    </w:p>
    <w:p>
      <w:pPr>
        <w:pStyle w:val="5"/>
        <w:numPr>
          <w:ilvl w:val="0"/>
          <w:numId w:val="6"/>
        </w:numPr>
        <w:spacing w:before="156" w:beforeLines="50" w:after="156" w:afterLines="50"/>
        <w:ind w:left="0" w:leftChars="0" w:firstLine="642" w:firstLineChars="200"/>
        <w:rPr>
          <w:rFonts w:hint="eastAsia"/>
          <w:color w:val="auto"/>
          <w:lang w:eastAsia="zh-Hans"/>
        </w:rPr>
      </w:pPr>
      <w:bookmarkStart w:id="10" w:name="_Toc10614"/>
      <w:r>
        <w:rPr>
          <w:rFonts w:hint="eastAsia"/>
          <w:color w:val="auto"/>
          <w:lang w:eastAsia="zh-Hans"/>
        </w:rPr>
        <w:t>一般公共预算支出决算表</w:t>
      </w:r>
      <w:bookmarkEnd w:id="10"/>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tbl>
      <w:tblPr>
        <w:tblStyle w:val="15"/>
        <w:tblW w:w="5570" w:type="pct"/>
        <w:tblInd w:w="-5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29"/>
        <w:gridCol w:w="3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2024年度和田地区一般公共预算支出决算表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auto"/>
                <w:sz w:val="24"/>
                <w:szCs w:val="24"/>
                <w:u w:val="none"/>
              </w:rPr>
            </w:pPr>
            <w:r>
              <w:rPr>
                <w:rFonts w:hint="eastAsia" w:ascii="仿宋_GB2312" w:hAnsi="宋体" w:eastAsia="仿宋_GB2312" w:cs="仿宋_GB2312"/>
                <w:b/>
                <w:bCs/>
                <w:i w:val="0"/>
                <w:iCs w:val="0"/>
                <w:color w:val="auto"/>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科目名称</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一般公共服务支出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464,660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发展与改革事务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战略规划与实施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日常经济运行调节</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社会事业发展规划</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经济体制改革研究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物价管理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其他发展与改革事务支出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统计信息事务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专项统计业务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专项普查活动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统计抽样调查</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其他统计信息事务支出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预算改革业务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财政国库业务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财政监察</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财政委托业务支出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其他财政事务支出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税收事务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税收业务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其他审计事务支出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商贸事务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对外贸易管理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国际经济合作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外资管理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国内贸易管理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招商引资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其他商贸事务支出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信息安全事务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其他网信事务支出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市场监督管理事务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市场主体管理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市场秩序执法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质量基础</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医疗器械事务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化妆品事务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质量安全监管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食品安全监管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其他市场监督管理事务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社会工作事务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其他社会工作事务支出</w:t>
            </w:r>
          </w:p>
        </w:tc>
        <w:tc>
          <w:tcPr>
            <w:tcW w:w="166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信访事务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信访业务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其他信访事务支出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其他一般公共服务支出(款)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国家赔偿费用支出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其他一般公共服务支出(项)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外交支出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外交管理事务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专项业务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其他外交管理事务支出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1,274,564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普通教育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1,184,755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学前教育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178,347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小学教育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549,255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初中教育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300,453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高中教育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高等教育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其他普通教育支出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初等职业教育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中等职业教育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技校教育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高等职业教育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其他职业教育支出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成人初等教育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成人中等教育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成人高等教育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成人广播电视教育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其他成人教育支出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广播电视学校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教育电视台</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其他广播电视教育支出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留学教育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出国留学教育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来华留学教育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其他留学教育支出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特殊教育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特殊学校教育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工读学校教育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其他特殊教育支出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进修及培训</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教师进修</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干部教育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培训支出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退役士兵能力提升</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其他进修及培训</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教育费附加安排的支出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农村中小学校舍建设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农村中小学教学设施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城市中小学校舍建设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城市中小学教学设施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中等职业学校教学设施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其他教育费附加安排的支出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科学技术支出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科学技术管理事务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基础研究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自然科学基金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实验室及相关设施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重大科学工程</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专项基础科研</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专项技术基础</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科技人才队伍建设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其他基础研究支出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应用研究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社会公益研究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高技术研究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专项科研试制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其他应用研究支出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技术研究与开发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科技成果转化与扩散</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共性技术研究与开发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其他技术研究与开发支出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科技条件与服务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技术创新服务体系</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科技条件专项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其他科技条件与服务支出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社会科学研究机构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社会科学研究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社科基金支出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其他社会科学支出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科学技术普及</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科普活动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青少年科技活动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学术交流活动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科技馆站</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其他科学技术普及支出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科技交流与合作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国际交流与合作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重大科技合作项目</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其他科技交流与合作支出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科技重大项目</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科技重大专项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重点研发计划</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其他科技重大项目</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科技奖励</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核应急</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转制科研机构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文化旅游体育与传媒支出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图书馆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文化展示及纪念机构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艺术表演场所</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艺术表演团体</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文化活动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群众文化</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文化和旅游交流与合作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文化创作与保护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文化和旅游市场管理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旅游宣传</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其他文化和旅游支出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文物保护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博物馆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历史名城与古迹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运动项目管理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体育竞赛</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体育训练</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体育场馆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群众体育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体育交流与合作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其他体育支出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新闻出版电影</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新闻通讯</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出版发行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版权管理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电影</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其他新闻出版电影支出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监测监管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传输发射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其他广播电视支出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其他文化旅游体育与传媒支出(款)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宣传文化发展专项支出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文化产业发展专项支出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其他文化旅游体育与传媒支出(项)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社会保障和就业支出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431,267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人力资源和社会保障管理事务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11,906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综合业务管理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劳动保障监察</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就业管理事务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社会保险业务管理事务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社会保险经办机构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劳动关系和维权</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公共就业服务和职业技能鉴定机构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劳动人事争议调解仲裁</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政府特殊津贴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资助留学回国人员</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博士后日常经费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引进人才费用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其他人力资源和社会保障管理事务支出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社会组织管理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行政区划和地名管理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基层政权建设和社区治理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其他民政管理事务支出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补充全国社会保障基金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用一般公共预算补充基金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行政事业单位养老支出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123,239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离退休人员管理机构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机关事业单位基本养老保险缴费支出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机关事业单位职业年金缴费支出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对机关事业单位基本养老保险基金的补助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对机关事业单位职业年金的补助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其他行政事业单位养老支出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企业改革补助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其他企业改革发展补助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就业补助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27,890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就业创业服务补贴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职业培训补贴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社会保险补贴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公益性岗位补贴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职业技能鉴定补贴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就业见习补贴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高技能人才培养补助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促进创业补贴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其他就业补助支出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红十字事业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其他红十字事业支出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卫生健康支出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446,649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卫生健康管理事务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15,841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其他卫生健康管理事务支出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公立医院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综合医院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中医医院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传染病医院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职业病防治医院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精神病医院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妇幼保健医院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儿童医院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其他专科医院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处理医疗欠费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康复医院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优抚医院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其他公立医院支出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基层医疗卫生机构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47,460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城市社区卫生机构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乡镇卫生院</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其他基层医疗卫生机构支出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公共卫生</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疾病预防控制机构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卫生监督机构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妇幼保健机构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精神卫生机构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应急救治机构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采供血机构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其他专业公共卫生机构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基本公共卫生服务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重大公共卫生服务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突发公共卫生事件应急处置</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11,984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其他公共卫生支出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医疗救助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51,889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城乡医疗救助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49,439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疾病应急救助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其他医疗救助支出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优抚对象医疗</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优抚对象医疗补助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其他优抚对象医疗支出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医疗保障政策管理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医疗保障经办事务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其他医疗保障管理事务支出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节能环保支出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3,496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其他环境保护管理事务支出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环境监测与监察</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其他环境监测与监察支出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自然生态保护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农村环境保护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生物及物种资源保护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草原生态修复治理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自然保护地</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其他自然生态保护支出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森林保护修复</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森林管护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社会保险补助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政策性社会性支出补助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天然林保护工程建设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停伐补助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其他森林保护修复支出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风沙荒漠治理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京津风沙源治理工程建设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其他风沙荒漠治理支出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退牧还草</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退牧还草工程建设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其他退牧还草支出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已垦草原退耕还草(款)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已垦草原退耕还草(项)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能源节约利用(款)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能源节约利用(项)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能源科技装备</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能源行业管理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能源管理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农村电网建设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其他能源管理事务支出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其他节能环保支出(款)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其他节能环保支出(项)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城乡社区支出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79,389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12,304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城管执法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工程建设标准规范编制与监管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工程建设管理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市政公用行业市场监管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住宅建设与房地产市场监管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执业资格注册、资质审查</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其他城乡社区管理事务支出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城乡社区规划与管理(款)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城乡社区规划与管理(项)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城乡社区公共设施</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30,678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小城镇基础设施建设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其他城乡社区公共设施支出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城乡社区环境卫生(款)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城乡社区环境卫生(项)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建设市场管理与监督(款)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建设市场管理与监督(项)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农林水支出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1,019,170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农业农村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农垦运行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科技转化与推广服务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病虫害控制</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农产品质量安全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执法监管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统计监测与信息服务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行业业务管理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对外交流与合作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防灾救灾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稳定农民收入补贴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农业结构调整补贴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农业生产发展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农村合作经济</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农产品加工与促销</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农村社会事业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农业生态资源保护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乡村道路建设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渔业发展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对高校毕业生到基层任职补助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耕地建设与利用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其他农业农村支出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林业和草原</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森林资源培育</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技术推广与转化</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森林资源管理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森林生态效益补偿</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动植物保护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湿地保护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执法与监督</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防沙治沙</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对外合作与交流</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产业化管理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林区公共支出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贷款贴息</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林业草原防灾减灾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行业业务管理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退耕还林还草</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其他林业和草原支出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296,087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水利行业业务管理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水利工程建设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239,200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水利工程运行与维护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长江黄河等流域管理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水利前期工作</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水利执法监督</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水土保持</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水资源节约管理与保护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水质监测</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水文测报</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防汛</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抗旱</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农村水利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水利技术推广</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国际河流治理与管理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江河湖库水系综合整治</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大中型水库移民后期扶持专项支出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水利安全监督</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水利建设征地及移民支出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农村供水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南水北调工程建设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南水北调工程管理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其他水利支出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农村综合改革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对村级公益事业建设的补助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国有农场办社会职能改革补助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对村民委员会和村党支部的补助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对村集体经济组织的补助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农村综合改革示范试点补助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其他农村综合改革支出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普惠金融发展支出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16,541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支持农村金融机构</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农业保险保费补贴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其他普惠金融发展支出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其他农林水支出(款)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化解其他公益性乡村债务支出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其他农林水支出(项)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交通运输支出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192,730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公路水路运输</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公路建设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149,263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公路养护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其他公路水路运输支出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铁路运输</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铁路路网建设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铁路还贷专项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铁路安全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铁路专项运输</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其他铁路运输支出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邮政业支出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邮政普遍服务与特殊服务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其他邮政业支出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其他交通运输支出(款)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公共交通运营补助</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其他交通运输支出(项)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7,743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资源勘探工业信息等支出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资源勘探开发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15,571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医药制造业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非金属矿物制品业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通信设备、计算机及其他电子设备制造业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交通运输设备制造业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电气机械及器材制造业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工艺品及其他制造业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石油加工、炼焦及核燃料加工业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化学原料及化学制品制造业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黑色金属冶炼及压延加工业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有色金属冶炼及压延加工业</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其他制造业支出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战备应急</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专用通信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无线电及信息通信监管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工程建设及运行维护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产业发展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其他工业和信息产业监管支出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国有资产监管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国有企业监事会专项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中央企业专项管理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其他国有资产监管支出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支持中小企业发展和管理支出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科技型中小企业技术创新基金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中小企业发展专项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减免房租补贴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其他支持中小企业发展和管理支出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商业服务业等支出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商业流通事务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食品流通安全补贴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市场监测及信息管理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民贸企业补贴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民贸民品贷款贴息</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其他商业流通事务支出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涉外发展服务支出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外商投资环境建设补助资金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其他涉外发展服务支出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其他商业服务业等支出(款)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服务业基础设施建设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其他商业服务业等支出(项)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自然资源海洋气象等支出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3,774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自然资源规划及管理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自然资源利用与保护</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气象服务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其他气象事务支出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其他自然资源海洋气象等支出(款)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其他自然资源海洋气象等支出(项)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住房保障支出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115,329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保障性安居工程支出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廉租住房</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沉陷区治理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农村危房改造</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公共租赁住房</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8,879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保障性住房租金补贴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老旧小区改造</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住房租赁市场发展</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保障性租赁住房</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其他保障性安居工程支出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住房改革支出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住房公积金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提租补贴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购房补贴</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城乡社区住宅</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公有住房建设和维修改造支出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住房公积金管理</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其他城乡社区住宅支出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粮油物资储备支出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粮油物资事务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粮食风险基金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粮油市场调控专项资金</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设施建设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设施安全</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物资保管保养</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其他粮油物资事务支出</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其他支出(类)</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其他支出(款)</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其他支出(项)</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66,987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kern w:val="2"/>
                <w:sz w:val="20"/>
                <w:szCs w:val="20"/>
                <w:u w:val="none"/>
                <w:lang w:val="en-US" w:eastAsia="zh-CN" w:bidi="ar-SA"/>
              </w:rPr>
            </w:pPr>
            <w:r>
              <w:rPr>
                <w:rFonts w:hint="eastAsia" w:ascii="仿宋_GB2312" w:hAnsi="仿宋_GB2312" w:eastAsia="仿宋_GB2312" w:cs="仿宋_GB2312"/>
                <w:b/>
                <w:bCs/>
                <w:i w:val="0"/>
                <w:iCs w:val="0"/>
                <w:color w:val="auto"/>
                <w:kern w:val="0"/>
                <w:sz w:val="20"/>
                <w:szCs w:val="20"/>
                <w:u w:val="none"/>
                <w:lang w:val="en-US" w:eastAsia="zh-CN" w:bidi="ar"/>
              </w:rPr>
              <w:t>本 年 支 出 合 计</w:t>
            </w:r>
          </w:p>
        </w:tc>
        <w:tc>
          <w:tcPr>
            <w:tcW w:w="16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auto"/>
                <w:kern w:val="2"/>
                <w:sz w:val="20"/>
                <w:szCs w:val="20"/>
                <w:u w:val="none"/>
                <w:lang w:val="en-US" w:eastAsia="zh-CN" w:bidi="ar-SA"/>
              </w:rPr>
            </w:pPr>
            <w:r>
              <w:rPr>
                <w:rFonts w:hint="eastAsia" w:ascii="仿宋_GB2312" w:hAnsi="仿宋_GB2312" w:eastAsia="仿宋_GB2312" w:cs="仿宋_GB2312"/>
                <w:b/>
                <w:bCs/>
                <w:i w:val="0"/>
                <w:iCs w:val="0"/>
                <w:color w:val="auto"/>
                <w:kern w:val="0"/>
                <w:sz w:val="20"/>
                <w:szCs w:val="20"/>
                <w:u w:val="none"/>
                <w:lang w:val="en-US" w:eastAsia="zh-CN" w:bidi="ar"/>
              </w:rPr>
              <w:t>4606238</w:t>
            </w:r>
          </w:p>
        </w:tc>
      </w:tr>
    </w:tbl>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pPr>
    </w:p>
    <w:p>
      <w:pPr>
        <w:pStyle w:val="9"/>
        <w:widowControl w:val="0"/>
        <w:numPr>
          <w:ilvl w:val="0"/>
          <w:numId w:val="0"/>
        </w:numPr>
        <w:jc w:val="both"/>
        <w:rPr>
          <w:rFonts w:hint="default" w:ascii="Times New Roman" w:hAnsi="Times New Roman" w:eastAsia="仿宋_GB2312" w:cs="Times New Roman"/>
          <w:color w:val="auto"/>
          <w:kern w:val="0"/>
          <w:sz w:val="32"/>
          <w:szCs w:val="32"/>
          <w:lang w:val="en-US" w:eastAsia="zh-CN"/>
        </w:rPr>
        <w:sectPr>
          <w:pgSz w:w="11906" w:h="16838"/>
          <w:pgMar w:top="1440" w:right="1800" w:bottom="1440" w:left="1800" w:header="851" w:footer="992" w:gutter="0"/>
          <w:pgNumType w:fmt="decimal"/>
          <w:cols w:space="720" w:num="1"/>
          <w:docGrid w:type="lines" w:linePitch="312" w:charSpace="0"/>
        </w:sectPr>
      </w:pPr>
    </w:p>
    <w:p>
      <w:pPr>
        <w:pStyle w:val="5"/>
        <w:numPr>
          <w:ilvl w:val="0"/>
          <w:numId w:val="6"/>
        </w:numPr>
        <w:spacing w:before="156" w:beforeLines="50" w:after="156" w:afterLines="50"/>
        <w:ind w:left="0" w:leftChars="0" w:firstLine="642" w:firstLineChars="200"/>
        <w:rPr>
          <w:color w:val="auto"/>
          <w:lang w:eastAsia="zh-Hans"/>
        </w:rPr>
      </w:pPr>
      <w:bookmarkStart w:id="11" w:name="_Toc24447"/>
      <w:r>
        <w:rPr>
          <w:color w:val="auto"/>
          <w:lang w:eastAsia="zh-Hans"/>
        </w:rPr>
        <w:t>一般公共预算</w:t>
      </w:r>
      <w:r>
        <w:rPr>
          <w:rFonts w:hint="eastAsia"/>
          <w:color w:val="auto"/>
          <w:lang w:eastAsia="zh-Hans"/>
        </w:rPr>
        <w:t>（</w:t>
      </w:r>
      <w:r>
        <w:rPr>
          <w:color w:val="auto"/>
          <w:lang w:eastAsia="zh-Hans"/>
        </w:rPr>
        <w:t>本级</w:t>
      </w:r>
      <w:r>
        <w:rPr>
          <w:rFonts w:hint="eastAsia"/>
          <w:color w:val="auto"/>
          <w:lang w:eastAsia="zh-Hans"/>
        </w:rPr>
        <w:t>）收入决算</w:t>
      </w:r>
      <w:r>
        <w:rPr>
          <w:color w:val="auto"/>
          <w:lang w:eastAsia="zh-Hans"/>
        </w:rPr>
        <w:t>表</w:t>
      </w:r>
      <w:bookmarkEnd w:id="11"/>
    </w:p>
    <w:p>
      <w:pPr>
        <w:rPr>
          <w:color w:val="auto"/>
          <w:lang w:eastAsia="zh-Hans"/>
        </w:rPr>
      </w:pPr>
    </w:p>
    <w:tbl>
      <w:tblPr>
        <w:tblStyle w:val="15"/>
        <w:tblW w:w="5782" w:type="pct"/>
        <w:tblInd w:w="-6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43"/>
        <w:gridCol w:w="30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0"/>
                <w:szCs w:val="30"/>
                <w:u w:val="none"/>
              </w:rPr>
            </w:pPr>
            <w:r>
              <w:rPr>
                <w:rFonts w:hint="eastAsia" w:ascii="仿宋_GB2312" w:hAnsi="宋体" w:eastAsia="仿宋_GB2312" w:cs="仿宋_GB2312"/>
                <w:b/>
                <w:bCs/>
                <w:i w:val="0"/>
                <w:iCs w:val="0"/>
                <w:color w:val="auto"/>
                <w:kern w:val="0"/>
                <w:sz w:val="30"/>
                <w:szCs w:val="30"/>
                <w:u w:val="none"/>
                <w:lang w:val="en-US" w:eastAsia="zh-CN" w:bidi="ar"/>
              </w:rPr>
              <w:t>2024年度</w:t>
            </w:r>
            <w:r>
              <w:rPr>
                <w:rStyle w:val="18"/>
                <w:rFonts w:hAnsi="宋体"/>
                <w:color w:val="auto"/>
                <w:lang w:val="en-US" w:eastAsia="zh-CN" w:bidi="ar"/>
              </w:rPr>
              <w:t>和田地区一般公共预算（本级）收入决算表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科目名称</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税收收入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中国国家铁路集团有限公司改征增值税待分配收入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中国国家铁路集团有限公司改征增值税收入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残疾人就业增值税退税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软件增值税退税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宣传文化单位增值税退税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核电站增值税退税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资源综合利用增值税退税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黄金增值税退税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光伏发电增值税退税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风力发电增值税退税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管道运输增值税退税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融资租赁增值税退税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增值税留抵退税省级调库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增值税留抵退税省级以下调库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其他增值税退税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免抵调增增值税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成品油价格和税费改革增值税划出</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成品油价格和税费改革增值税划入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跨省管道运输企业增值税待分配收入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进口货物增值税税款滞纳金、罚款收入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进口货物退增值税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出口业务退增值税(项)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出口业务退增值税(目)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免抵调减增值税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消费税税款滞纳金、罚款收入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成品油消费税退税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其他消费税退税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进口消费品消费税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进口成品油消费税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进口其他消费品消费税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进口消费品消费税税款滞纳金、罚款收入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进口成品油消费税退税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进口其他消费品退消费税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出口消费品退消费税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国有冶金工业所得税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国有有色金属工业所得税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国有煤炭工业所得税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国有电力工业所得税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国有石油和化学工业所得税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国有机械工业所得税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国有汽车工业所得税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国有核工业所得税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国有航空工业所得税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国有航天工业所得税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国有电子工业所得税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国有兵器工业所得税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国有船舶工业所得税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国有建筑材料工业所得税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国有烟草企业所得税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国有纺织企业所得税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国有铁道企业所得税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其他国有铁道企业所得税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国有交通企业所得税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国有邮政企业所得税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国有民航企业所得税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国有海洋石油天然气企业所得税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国有外贸企业所得税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国有银行所得税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中国进出口银行所得税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中国农业发展银行所得税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其他国有银行所得税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国有非银行金融企业所得税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中国建银投资有限责任公司所得税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中国投资有限责任公司所得税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中投公司所属其他公司所得税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其他国有非银行金融企业所得税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国有保险企业所得税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国有文教企业所得税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国有电影企业所得税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国有出版企业所得税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其他国有文教企业所得税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国有水产企业所得税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国有森林工业企业所得税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国有电信企业所得税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国有农垦企业所得税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股份制海洋石油天然气企业所得税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中国石油天然气股份有限公司所得税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中国石油化工股份有限公司所得税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中国工商银行股份有限公司所得税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中国建设银行股份有限公司所得税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长江电力股份有限公司所得税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国家开发银行股份有限公司所得税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中国邮政储蓄银行股份有限公司所得税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中国信达资产管理股份有限公司所得税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跨省合资铁路企业所得税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中国华融资产管理股份有限公司所得税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中国长城资产管理公司所得税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中国东方资产管理公司所得税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其他股份制企业所得税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港澳台和外商投资海上石油天然气企业所得税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其他港澳台和外商投资企业所得税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其他企业总机构预缴所得税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其他企业总机构汇算清缴所得税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省以下企业所得税待分配收入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其他企业分支机构汇算清缴所得税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内资企业所得税税款滞纳金、罚款、加收利息收入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港澳台和外商投资企业所得税税款滞纳金、罚款、加收利息收入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中央企业所得税税款滞纳金、罚款、加收利息收入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跨省管道运输企业所得税待分配收入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国有冶金工业所得税退税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国有有色金属工业所得税退税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国有煤炭工业所得税退税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国有电力工业所得税退税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国有石油和化学工业所得税退税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国有机械工业所得税退税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国有汽车工业所得税退税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国有核工业所得税退税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国有航空工业所得税退税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国有航天工业所得税退税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国有电子工业所得税退税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国有兵器工业所得税退税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国有船舶工业所得税退税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国有建筑材料工业所得税退税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国有烟草企业所得税退税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国有纺织企业所得税退税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国有铁道企业所得税退税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国有交通企业所得税退税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国有邮政企业所得税退税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国有民航企业所得税退税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海洋石油天然气企业所得税退税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国有外贸企业所得税退税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国有银行所得税退税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中国进出口银行所得税退税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中国农业发展银行所得税退税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其他国有银行所得税退税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国有非银行金融企业所得税退税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中国投资有限责任公司所得税退税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其他国有非银行金融企业所得税退税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国有保险企业所得税退税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国有文教企业所得税退税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国有电影企业所得税退税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国有出版企业所得税退税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其他国有文教企业所得税退税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国有水产企业所得税退税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国有森林工业企业所得税退税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国有电信企业所得税退税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中国工商银行股份有限公司所得税退税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中国建设银行股份有限公司所得税退税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中国农业银行股份有限公司所得税退税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国家开发银行股份有限公司所得税退税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中国邮政储蓄银行股份有限公司所得税退税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中国信达资产管理股份有限公司所得税退税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中国华融资产管理股份有限公司所得税退税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中国长城资产管理公司所得税退税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中国东方资产管理公司所得税退税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其他股份制企业所得税退税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跨省市总分机构企业所得税退税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国有跨省市总分机构企业所得税退税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股份制跨省市总分机构企业所得税退税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港澳台和外商投资跨省市总分机构企业所得税退税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其他跨省市总分机构企业所得税退税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跨市县总分机构企业所得税退税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国有跨市县总分机构企业所得税退税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股份制跨市县总分机构企业所得税退税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港澳台和外商投资跨市县总分机构企业所得税退税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其他跨市县总分机构企业所得税退税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其他企业所得税退税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储蓄存款利息所得税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其他个人所得税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个人所得税综合所得汇算清缴退税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个人所得税代扣代缴手续费退库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个人所得税税款滞纳金、罚款、加收利息收入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海洋石油资源税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其他资源税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中国国家铁路集团有限公司集中缴纳的铁路运输企业城市维护建设税待分配收入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城市维护建设税税款滞纳金、罚款收入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成品油价格和税费改革城市维护建设税划出</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成品油价格和税费改革城市维护建设税划入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跨省管道运输企业城市维护建设税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跨省管道运输企业城市维护建设税待分配收入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其他房产税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房产税税款滞纳金、罚款收入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印花税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证券交易印花税退税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其他印花税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印花税税款滞纳金、罚款、加收利息收入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其他城镇土地使用税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城镇土地使用税税款滞纳金、罚款收入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集体企业土地增值税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股份制企业土地增值税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联营企业土地增值税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港澳台和外商投资企业土地增值税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私营企业土地增值税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其他土地增值税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土地增值税税款滞纳金、罚款收入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车船税税款滞纳金、罚款收入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船舶吨税税款滞纳金、罚款收入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车辆购置税税款滞纳金、罚款收入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进口关税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出口关税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进境物品进口税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特别关税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反倾销税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反补贴税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保障措施关税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报复性关税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关税和特别关税税款滞纳金、罚款收入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关税退税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耕地占用税退税</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耕地占用税税款滞纳金、罚款收入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契税税款滞纳金、罚款收入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烟叶税税款滞纳金、罚款收入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环境保护税税款滞纳金、罚款收入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其他税收收入税款滞纳金、罚款收入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非税收入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72,753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成品油价格和税费改革教育费附加收入划出</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成品油价格和税费改革教育费附加收入划入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中国国家铁路集团有限公司集中缴纳的铁路运输企业教育费附加</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中国国家铁路集团有限公司集中缴纳的铁路运输企业教育费附加待分配收入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跨省管道运输企业教育费附加收入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跨省管道运输企业教育费附加待分配收入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铀产品出售收入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三峡库区移民专项收入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场外核应急准备收入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地方教育附加滞纳金、罚款收入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文化事业建设费收入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残疾人就业保障金收入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教育资金收入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农田水利建设资金收入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森林植被恢复费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水利建设专项收入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油价调控风险准备金收入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专项收益上缴收入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湿地恢复费收入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其他专项收入(项)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广告收入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其他专项收入(目)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商贸行政事业性收费收入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其他缴入国库的商贸行政事业性收费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其他缴入国库的财政行政事业性收费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缴入国库的税务行政事业性收费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海关行政事业性收费收入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缴入国库的海关行政事业性收费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其他缴入国库的审计行政事业性收费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国管局行政事业性收费收入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工人技术等级鉴定考核费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其他缴入国库的国管局行政事业性收费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其他缴入国库的科技行政事业性收费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保密行政事业性收费收入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其他缴入国库的保密行政事业性收费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客运索道运营审查检验和定期检验费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压力管道安装审查检验和定期检验费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压力管道元件制造审查检验费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特种劳动防护用品检验费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一般劳动防护用品检验费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锅炉、压力容器检验费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滞纳金</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特种设备检验检测费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其他缴入国库的市场监管行政事业性收费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其他缴入国库的广播电视行政事业性收费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应急管理行政事业性收费收入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消防行业特有工种职业技能鉴定考试考务费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特种作业人员安全技术考试考务费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缴入国库的应急管理行政事业性收费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档案行政事业性收费收入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其他缴入国库的档案行政事业性收费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港澳办行政事业性收费收入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缴入国库的港澳办行政事业性收费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贸促会行政事业性收费收入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其他缴入国库的贸促会行政事业性收费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人防办行政事业性收费收入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防空地下室易地建设费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其他缴入国库的人防办行政事业性收费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中直管理局行政事业性收费收入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工人培训考核费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住宿费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其他缴入国库的中直管理局行政事业性收费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导游人员资格考试费和等级考核费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其他缴入国库的文化和旅游行政事业性收费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普通话水平测试费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其他缴入国库的教育行政事业性收费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公办幼儿园保教费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公办幼儿园住宿费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体育特殊专业招生考务费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外国团体来华登山注册费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其他缴入国库的体育行政事业性收费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发展与改革(物价)行政事业性收费收入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其他缴入国库的发展与改革(物价)行政事业性收费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统计专业技术资格考试考务费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其他缴入国库的统计行政事业性收费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土地复垦费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土地闲置费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耕地开垦费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不动产登记费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其他缴入国库的自然资源行政事业性收费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建设行政事业性收费收入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城市道路占用挖掘修复费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生活垃圾处理费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其他缴入国库的建设行政事业性收费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知识产权行政事业性收费收入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专利收费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专利代理师资格考试考务费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集成电路布图设计保护收费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商标注册收费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其他缴入国库的知识产权行政事业性收费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海洋废弃物收费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其他缴入国库的生态环境行政事业性收费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其他缴入国库的铁路行政事业性收费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交通运输行政事业性收费收入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航空业务权补偿费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适航审查费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长江口航道维护费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长江干线船舶引航收费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其他缴入国库的交通运输行政事业性收费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电信网码号资源占用费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无线电频率占用费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其他缴入国库的工业和信息产业行政事业性收费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农业农村行政事业性收费收入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渔业资源增殖保护费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海洋渔业船舶船员考试费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工人技术等级考核或职业技能鉴定费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农药实验费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执业兽医资格考试考务费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其他缴入国库的农业农村行政事业性收费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林业草原行政事业性收费收入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草原植被恢复费收入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其他缴入国库的林业草原行政事业性收费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水土保持补偿费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其他缴入国库的水利行政事业性收费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卫生健康行政事业性收费收入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预防接种服务费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医疗事故鉴定费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预防接种异常反应鉴定费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造血干细胞配型费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职业病诊断鉴定费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非免疫规划疫苗储存运输费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其他缴入国库的卫生健康行政事业性收费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药品监管行政事业性收费收入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药品注册费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医疗器械产品注册费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其他缴入国库的药品监管行政事业性收费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民政行政事业性收费收入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住宿费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殡葬收费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其他缴入国库的民政行政事业性收费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人力资源和社会保障行政事业性收费收入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职业技能鉴定考试考务费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专业技术人员职业资格考试考务费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其他缴入国库的人力资源和社会保障行政事业性收费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证监会行政事业性收费收入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证券市场监管费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期货市场监管费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证券、期货、基金从业人员资格报名考试费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其他缴入国库的证监会行政事业性收费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金融监管行政事业性收费收入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机构监管费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业务监管费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其他缴入国库的金融监管行政事业性收费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仲裁委行政事业性收费收入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仲裁收费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其他缴入国库的仲裁委行政事业性收费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编办行政事业性收费收入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缴入国库的编办行政事业性收费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党校行政事业性收费收入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缴入国库的党校行政事业性收费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监察行政事业性收费收入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缴入国库的监察行政事业性收费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外文局行政事业性收费收入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翻译专业资格(水平)考试考务费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其他缴入国库的外文局行政事业性收费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国资委行政事业性收费收入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考试考务费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其他缴入国库的国资委行政事业性收费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其他行政事业性收费收入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政府信息公开信息处理费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其他缴入国库的行政事业性收费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检验检疫罚没收入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证监会罚没收入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金融监管罚没收入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交通罚没收入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铁道罚没收入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渔政罚没收入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民航罚没收入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电力监管罚没收入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交强险罚没收入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物价罚没收入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市场监管罚没收入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监察罚没收入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海警罚没收入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住房和城乡建设罚没收入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应急管理罚没收入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烟草罚没收入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其他一般罚没收入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罚没收入退库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国有资本经营收入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利润收入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中国人民银行上缴收入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金融企业利润收入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其他企业利润收入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股利、股息收入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金融业公司股利、股息收入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其他股利、股息收入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产权转让收入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其他产权转让收入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清算收入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其他清算收入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国有资本经营收入退库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国有企业计划亏损补贴</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工业企业计划亏损补贴</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农业企业计划亏损补贴</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其他国有企业计划亏损补贴</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烟草企业上缴专项收入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国有资源(资产)有偿使用收入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海域使用金收入(项)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海域使用金收入(目)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场地和矿区使用费收入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陆上石油矿区使用费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海上石油矿区使用费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中央合资合作企业场地使用费收入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中央和地方合资合作企业场地使用费收入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地方合资合作企业场地使用费收入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港澳台和外商独资企业场地使用费收入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特种</w:t>
            </w:r>
            <w:bookmarkStart w:id="45" w:name="_GoBack"/>
            <w:bookmarkEnd w:id="45"/>
            <w:r>
              <w:rPr>
                <w:rFonts w:hint="eastAsia" w:ascii="仿宋_GB2312" w:hAnsi="仿宋_GB2312" w:eastAsia="仿宋_GB2312" w:cs="仿宋_GB2312"/>
                <w:i w:val="0"/>
                <w:iCs w:val="0"/>
                <w:color w:val="auto"/>
                <w:kern w:val="0"/>
                <w:sz w:val="20"/>
                <w:szCs w:val="20"/>
                <w:u w:val="none"/>
                <w:lang w:val="en-US" w:eastAsia="zh-CN" w:bidi="ar"/>
              </w:rPr>
              <w:t>矿产品出售收入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专项储备物资销售收入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国库存款利息收入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财政专户存款利息收入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有价证券利息收入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其他利息收入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非经营性国有资产收入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行政单位国有资产出租、出借收入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行政单位国有资产处置收入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事业单位国有资产处置收入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事业单位国有资产出租出借收入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其他非经营性国有资产收入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出租车经营权有偿出让和转让收入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无居民海岛使用金收入(项)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无居民海岛使用金收入(目)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转让政府还贷道路收费权收入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石油特别收益金专项收入(项)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石油特别收益金专项收入(目)</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石油特别收益金退库</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动用国家储备物资上缴财政收入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铁路资产变现收入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电力改革预留资产变现收入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排污权出让收入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航班时刻拍卖和使用费收入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农村集体经营性建设用地土地增值收益调节金收入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新增建设用地土地有偿使用费收入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三峡电站水资源费收入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其他水资源费收入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国家留成油上缴收入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市政公共资源有偿使用收入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停车泊位及公共停车场等有偿使用收入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公共空间广告设置权等有偿使用收入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其他市政公共资源有偿使用收入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其他国有资源(资产)有偿使用收入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捐赠收入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国外捐赠收入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国内捐赠收入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政府住房基金收入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上缴管理费用</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计提公共租赁住房资金</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公共租赁住房租金收入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配建商业设施租售收入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其他政府住房基金收入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其他收入(款)</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主管部门集中收入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免税商品特许经营费收入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基本建设收入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差别电价收入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债务管理收入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南水北调工程基金收入</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生态环境损害赔偿资金</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其他收入(项)</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bCs/>
                <w:i w:val="0"/>
                <w:color w:val="auto"/>
                <w:kern w:val="0"/>
                <w:sz w:val="20"/>
                <w:szCs w:val="20"/>
                <w:u w:val="none"/>
                <w:lang w:val="en-US" w:eastAsia="zh-CN" w:bidi="ar"/>
              </w:rPr>
            </w:pPr>
            <w:r>
              <w:rPr>
                <w:rFonts w:hint="eastAsia" w:ascii="仿宋_GB2312" w:hAnsi="仿宋_GB2312" w:eastAsia="仿宋_GB2312" w:cs="仿宋_GB2312"/>
                <w:b/>
                <w:bCs/>
                <w:color w:val="auto"/>
                <w:sz w:val="20"/>
                <w:szCs w:val="20"/>
              </w:rPr>
              <w:t xml:space="preserve">本 年 </w:t>
            </w:r>
            <w:r>
              <w:rPr>
                <w:rFonts w:hint="eastAsia" w:ascii="仿宋_GB2312" w:hAnsi="仿宋_GB2312" w:eastAsia="仿宋_GB2312" w:cs="仿宋_GB2312"/>
                <w:b/>
                <w:bCs/>
                <w:color w:val="auto"/>
                <w:sz w:val="20"/>
                <w:szCs w:val="20"/>
                <w:lang w:eastAsia="zh-CN"/>
              </w:rPr>
              <w:t>收</w:t>
            </w:r>
            <w:r>
              <w:rPr>
                <w:rFonts w:hint="eastAsia" w:ascii="仿宋_GB2312" w:hAnsi="仿宋_GB2312" w:eastAsia="仿宋_GB2312" w:cs="仿宋_GB2312"/>
                <w:b/>
                <w:bCs/>
                <w:color w:val="auto"/>
                <w:sz w:val="20"/>
                <w:szCs w:val="20"/>
                <w:lang w:val="en-US" w:eastAsia="zh-CN"/>
              </w:rPr>
              <w:t xml:space="preserve"> 入</w:t>
            </w:r>
            <w:r>
              <w:rPr>
                <w:rFonts w:hint="eastAsia" w:ascii="仿宋_GB2312" w:hAnsi="仿宋_GB2312" w:eastAsia="仿宋_GB2312" w:cs="仿宋_GB2312"/>
                <w:b/>
                <w:bCs/>
                <w:color w:val="auto"/>
                <w:sz w:val="20"/>
                <w:szCs w:val="20"/>
              </w:rPr>
              <w:t xml:space="preserve"> 合 计</w:t>
            </w:r>
          </w:p>
        </w:tc>
        <w:tc>
          <w:tcPr>
            <w:tcW w:w="1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b/>
                <w:bCs/>
                <w:i w:val="0"/>
                <w:color w:val="auto"/>
                <w:kern w:val="0"/>
                <w:sz w:val="20"/>
                <w:szCs w:val="20"/>
                <w:u w:val="none"/>
                <w:lang w:val="en-US" w:eastAsia="zh-CN" w:bidi="ar"/>
              </w:rPr>
            </w:pPr>
            <w:r>
              <w:rPr>
                <w:rFonts w:hint="eastAsia" w:ascii="仿宋_GB2312" w:hAnsi="仿宋_GB2312" w:eastAsia="仿宋_GB2312" w:cs="仿宋_GB2312"/>
                <w:b/>
                <w:bCs/>
                <w:i w:val="0"/>
                <w:color w:val="auto"/>
                <w:kern w:val="0"/>
                <w:sz w:val="20"/>
                <w:szCs w:val="20"/>
                <w:u w:val="none"/>
                <w:lang w:val="en-US" w:eastAsia="zh-CN" w:bidi="ar"/>
              </w:rPr>
              <w:t>73449</w:t>
            </w:r>
          </w:p>
        </w:tc>
      </w:tr>
    </w:tbl>
    <w:p>
      <w:pPr>
        <w:pStyle w:val="8"/>
        <w:rPr>
          <w:rFonts w:hint="default"/>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5"/>
        <w:numPr>
          <w:ilvl w:val="0"/>
          <w:numId w:val="6"/>
        </w:numPr>
        <w:spacing w:before="156" w:beforeLines="50" w:after="156" w:afterLines="50"/>
        <w:ind w:left="0" w:leftChars="0" w:firstLine="642" w:firstLineChars="200"/>
        <w:rPr>
          <w:rFonts w:hint="default"/>
          <w:color w:val="auto"/>
          <w:lang w:val="en-US" w:eastAsia="zh-CN"/>
        </w:rPr>
      </w:pPr>
      <w:bookmarkStart w:id="12" w:name="_Toc24444"/>
      <w:r>
        <w:rPr>
          <w:color w:val="auto"/>
          <w:lang w:eastAsia="zh-Hans"/>
        </w:rPr>
        <w:t>一般公共预算</w:t>
      </w:r>
      <w:r>
        <w:rPr>
          <w:rFonts w:hint="eastAsia"/>
          <w:color w:val="auto"/>
          <w:lang w:eastAsia="zh-Hans"/>
        </w:rPr>
        <w:t>（</w:t>
      </w:r>
      <w:r>
        <w:rPr>
          <w:color w:val="auto"/>
          <w:lang w:eastAsia="zh-Hans"/>
        </w:rPr>
        <w:t>本级</w:t>
      </w:r>
      <w:r>
        <w:rPr>
          <w:rFonts w:hint="eastAsia"/>
          <w:color w:val="auto"/>
          <w:lang w:eastAsia="zh-Hans"/>
        </w:rPr>
        <w:t>）</w:t>
      </w:r>
      <w:r>
        <w:rPr>
          <w:color w:val="auto"/>
          <w:lang w:eastAsia="zh-Hans"/>
        </w:rPr>
        <w:t>支出</w:t>
      </w:r>
      <w:r>
        <w:rPr>
          <w:rFonts w:hint="eastAsia"/>
          <w:color w:val="auto"/>
          <w:lang w:eastAsia="zh-Hans"/>
        </w:rPr>
        <w:t>决算</w:t>
      </w:r>
      <w:r>
        <w:rPr>
          <w:color w:val="auto"/>
          <w:lang w:eastAsia="zh-Hans"/>
        </w:rPr>
        <w:t>表</w:t>
      </w:r>
      <w:bookmarkEnd w:id="12"/>
    </w:p>
    <w:tbl>
      <w:tblPr>
        <w:tblStyle w:val="15"/>
        <w:tblW w:w="5614" w:type="pct"/>
        <w:tblInd w:w="-5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17"/>
        <w:gridCol w:w="3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0"/>
                <w:szCs w:val="30"/>
                <w:u w:val="none"/>
              </w:rPr>
            </w:pPr>
            <w:r>
              <w:rPr>
                <w:rFonts w:hint="eastAsia" w:ascii="宋体" w:hAnsi="宋体" w:eastAsia="宋体" w:cs="宋体"/>
                <w:b/>
                <w:bCs/>
                <w:i w:val="0"/>
                <w:iCs w:val="0"/>
                <w:color w:val="auto"/>
                <w:kern w:val="0"/>
                <w:sz w:val="30"/>
                <w:szCs w:val="30"/>
                <w:u w:val="none"/>
                <w:lang w:val="en-US" w:eastAsia="zh-CN" w:bidi="ar"/>
              </w:rPr>
              <w:t>202</w:t>
            </w:r>
            <w:r>
              <w:rPr>
                <w:rFonts w:hint="eastAsia" w:ascii="宋体" w:hAnsi="宋体" w:cs="宋体"/>
                <w:b/>
                <w:bCs/>
                <w:i w:val="0"/>
                <w:iCs w:val="0"/>
                <w:color w:val="auto"/>
                <w:kern w:val="0"/>
                <w:sz w:val="30"/>
                <w:szCs w:val="30"/>
                <w:u w:val="none"/>
                <w:lang w:val="en-US" w:eastAsia="zh-CN" w:bidi="ar"/>
              </w:rPr>
              <w:t>4</w:t>
            </w:r>
            <w:r>
              <w:rPr>
                <w:rFonts w:hint="eastAsia" w:ascii="宋体" w:hAnsi="宋体" w:eastAsia="宋体" w:cs="宋体"/>
                <w:b/>
                <w:bCs/>
                <w:i w:val="0"/>
                <w:iCs w:val="0"/>
                <w:color w:val="auto"/>
                <w:kern w:val="0"/>
                <w:sz w:val="30"/>
                <w:szCs w:val="30"/>
                <w:u w:val="none"/>
                <w:lang w:val="en-US" w:eastAsia="zh-CN" w:bidi="ar"/>
              </w:rPr>
              <w:t>年度和田地区一般公共预算（本级）支出</w:t>
            </w:r>
            <w:r>
              <w:rPr>
                <w:rStyle w:val="19"/>
                <w:rFonts w:hAnsi="宋体"/>
                <w:color w:val="auto"/>
                <w:lang w:val="en-US" w:eastAsia="zh-CN" w:bidi="ar"/>
              </w:rPr>
              <w:t>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单位：万元</w:t>
            </w:r>
            <w:r>
              <w:rPr>
                <w:rStyle w:val="20"/>
                <w:color w:val="auto"/>
                <w:lang w:val="en-US" w:eastAsia="zh-CN" w:bidi="ar"/>
              </w:rPr>
              <w:t xml:space="preserve"> </w:t>
            </w:r>
            <w:r>
              <w:rPr>
                <w:rStyle w:val="21"/>
                <w:color w:val="auto"/>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科目名称</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一般公共服务支出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其他人大事务支出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其他政协事务支出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政府办公厅(室)及相关机构事务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政务公开审批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参事事务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其他政府办公厅(室)及相关机构事务支出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发展与改革事务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规划与实施</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日常经济运行调节</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社会事业发展规划</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经济体制改革研究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物价管理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其他发展与改革事务支出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统计信息事务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专项统计业务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专项普查活动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统计抽样调查</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其他统计信息事务支出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预算改革业务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财政国库业务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财政监察</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财政委托业务支出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其他财政事务支出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税收事务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税收业务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其他税收事务支出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审计业务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审计管理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其他审计事务支出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其他纪检监察事务支出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商贸事务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其他商贸事务支出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档案事务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档案馆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其他档案事务支出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市场监督管理事务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市场主体管理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市场秩序执法</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质量基础</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药品事务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医疗器械事务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化妆品事务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质量安全监管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食品安全监管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其他市场监督管理事务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普通教育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学前教育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小学教育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初中教育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高中教育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高等教育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其他普通教育支出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初等职业教育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中等职业教育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技校教育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高等职业教育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其他职业教育支出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成人初等教育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成人中等教育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成人高等教育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成人广播电视教育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其他成人教育支出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广播电视学校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教育电视台</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其他广播电视教育支出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留学教育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出国留学教育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来华留学教育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其他留学教育支出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特殊教育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特殊学校教育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工读学校教育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其他特殊教育支出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进修及培训</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教师进修</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干部教育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培训支出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退役士兵能力提升</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其他进修及培训</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教育费附加安排的支出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农村中小学校舍建设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农村中小学教学设施</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城市中小学校舍建设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城市中小学教学设施</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中等职业学校教学设施</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其他教育费附加安排的支出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其他教育支出(项)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科学技术支出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科学技术管理事务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基础研究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自然科学基金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实验室及相关设施</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重大科学工程</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专项基础科研</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专项技术基础</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科技人才队伍建设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其他基础研究支出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应用研究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社会公益研究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高技术研究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专项科研试制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其他应用研究支出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技术研究与开发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科技成果转化与扩散</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共性技术研究与开发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其他技术研究与开发支出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科技条件与服务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技术创新服务体系</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科技条件专项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其他科技条件与服务支出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社会科学研究机构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社会科学研究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社科基金支出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其他社会科学支出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科学技术普及</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机构运行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科普活动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青少年科技活动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学术交流活动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科技馆站</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其他科学技术普及支出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科技交流与合作</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国际交流与合作</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重大科技合作项目</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其他科技交流与合作支出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科技重大项目</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科技重大专项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重点研发计划</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其他科技重大项目</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科技奖励</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核应急</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转制科研机构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其他科学技术支出(项)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文化旅游体育与传媒支出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图书馆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文化展示及纪念机构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艺术表演场所</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艺术表演团体</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文化活动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群众文化</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文化和旅游交流与合作</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文化创作与保护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文化和旅游市场管理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旅游宣传</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文化和旅游管理事务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其他文化和旅游支出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文物</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文物保护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博物馆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历史名城与古迹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其他文物支出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运动项目管理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体育竞赛</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体育训练</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体育场馆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群众体育</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体育交流与合作</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其他体育支出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新闻出版电影</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新闻通讯</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出版发行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版权管理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电影</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其他新闻出版电影支出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监测监管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传输发射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广播电视事务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其他广播电视支出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其他文化旅游体育与传媒支出(款)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宣传文化发展专项支出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文化产业发展专项支出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其他文化旅游体育与传媒支出(项)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卫生健康支出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250,552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卫生健康管理事务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其他卫生健康管理事务支出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公立医院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20,744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综合医院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中医医院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传染病医院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职业病防治医院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精神病医院</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其他公立医院支出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公共卫生</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10,639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疾病预防控制机构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卫生监督机构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妇幼保健机构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精神卫生机构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应急救治机构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采供血机构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其他专业公共卫生机构</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基本公共卫生服务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重大公共卫生服务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突发公共卫生事件应急处置</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其他公共卫生支出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信息化建设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医疗保障政策管理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医疗保障经办事务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其他医疗保障管理事务支出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其他卫生健康支出(款)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其他卫生健康支出(项)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节能环保支出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生态环境保护宣传</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环境保护法规、规划及标准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生态环境国际合作及履约</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生态环境保护行政许可</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应对气候变化管理事务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其他环境保护管理事务支出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自然生态保护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生态保护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农村环境保护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生物及物种资源保护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草原生态修复治理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自然保护地</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其他自然生态保护支出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城乡社区支出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工程建设管理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市政公用行业市场监管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住宅建设与房地产市场监管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执业资格注册、资质审查</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其他城乡社区管理事务支出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农林水支出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93,794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农业农村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农垦运行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科技转化与推广服务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病虫害控制</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农产品质量安全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防灾救灾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农业生产发展</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农村合作经济</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耕地建设与利用</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其他农业农村支出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林业和草原</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防沙治沙</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林业草原防灾减灾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草原管理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行业业务管理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退耕还林还草</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其他林业和草原支出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水利工程建设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水利工程运行与维护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长江黄河等流域管理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水利前期工作</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水利执法监督</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水土保持</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水资源节约管理与保护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水质监测</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水文测报</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防汛</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其他水利支出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交通运输支出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公路水路运输</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公路建设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99,352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其他公路水路运输支出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邮政业支出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邮政普遍服务与特殊服务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其他邮政业支出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资源勘探工业信息等支出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国有资产监管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国有企业监事会专项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中央企业专项管理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其他国有资产监管支出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支持中小企业发展和管理支出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科技型中小企业技术创新基金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中小企业发展专项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减免房租补贴</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其他支持中小企业发展和管理支出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商业服务业等支出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商业流通事务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其他商业流通事务支出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涉外发展服务支出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自然资源海洋气象等支出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自然资源规划及管理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自然资源利用与保护</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气象服务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其他气象事务支出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其他自然资源海洋气象等支出(款)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其他自然资源海洋气象等支出(项)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住房保障支出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住房改革支出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住房公积金</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提租补贴</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购房补贴</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城乡社区住宅</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公有住房建设和维修改造支出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住房公积金管理</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其他城乡社区住宅支出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机关服务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其他应急管理支出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其他消防救援事务支出</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事业运行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行政运行</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一般行政管理事务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其他支出(类)</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其他支出(款)</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其他支出(项)</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31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本 年 支 出 合 计</w:t>
            </w:r>
          </w:p>
        </w:tc>
        <w:tc>
          <w:tcPr>
            <w:tcW w:w="18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691,047</w:t>
            </w:r>
          </w:p>
        </w:tc>
      </w:tr>
    </w:tbl>
    <w:p>
      <w:pPr>
        <w:rPr>
          <w:rFonts w:hint="eastAsia" w:ascii="仿宋_GB2312" w:hAnsi="仿宋_GB2312" w:eastAsia="仿宋_GB2312" w:cs="仿宋_GB2312"/>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5"/>
        <w:numPr>
          <w:ilvl w:val="0"/>
          <w:numId w:val="6"/>
        </w:numPr>
        <w:spacing w:before="156" w:beforeLines="50" w:after="156" w:afterLines="50"/>
        <w:ind w:left="0" w:leftChars="0" w:firstLine="642" w:firstLineChars="200"/>
        <w:rPr>
          <w:color w:val="auto"/>
          <w:lang w:eastAsia="zh-Hans"/>
        </w:rPr>
      </w:pPr>
      <w:bookmarkStart w:id="13" w:name="_Toc22831"/>
      <w:r>
        <w:rPr>
          <w:color w:val="auto"/>
          <w:lang w:eastAsia="zh-Hans"/>
        </w:rPr>
        <w:t>一般公共预算</w:t>
      </w:r>
      <w:r>
        <w:rPr>
          <w:rFonts w:hint="eastAsia"/>
          <w:color w:val="auto"/>
          <w:lang w:eastAsia="zh-Hans"/>
        </w:rPr>
        <w:t>（</w:t>
      </w:r>
      <w:r>
        <w:rPr>
          <w:color w:val="auto"/>
          <w:lang w:eastAsia="zh-Hans"/>
        </w:rPr>
        <w:t>本级</w:t>
      </w:r>
      <w:r>
        <w:rPr>
          <w:rFonts w:hint="eastAsia"/>
          <w:color w:val="auto"/>
          <w:lang w:eastAsia="zh-Hans"/>
        </w:rPr>
        <w:t>）</w:t>
      </w:r>
      <w:r>
        <w:rPr>
          <w:color w:val="auto"/>
          <w:lang w:eastAsia="zh-Hans"/>
        </w:rPr>
        <w:t>基本支出</w:t>
      </w:r>
      <w:r>
        <w:rPr>
          <w:rFonts w:hint="eastAsia"/>
          <w:color w:val="auto"/>
          <w:lang w:eastAsia="zh-Hans"/>
        </w:rPr>
        <w:t>决算</w:t>
      </w:r>
      <w:r>
        <w:rPr>
          <w:color w:val="auto"/>
          <w:lang w:eastAsia="zh-Hans"/>
        </w:rPr>
        <w:t>表</w:t>
      </w:r>
      <w:bookmarkEnd w:id="13"/>
    </w:p>
    <w:tbl>
      <w:tblPr>
        <w:tblStyle w:val="15"/>
        <w:tblW w:w="5465" w:type="pct"/>
        <w:tblInd w:w="-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5"/>
        <w:gridCol w:w="4998"/>
        <w:gridCol w:w="3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blHeader/>
        </w:trPr>
        <w:tc>
          <w:tcPr>
            <w:tcW w:w="5000" w:type="pct"/>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0"/>
                <w:szCs w:val="30"/>
                <w:u w:val="none"/>
              </w:rPr>
            </w:pPr>
            <w:r>
              <w:rPr>
                <w:rFonts w:hint="eastAsia" w:ascii="仿宋_GB2312" w:hAnsi="宋体" w:eastAsia="仿宋_GB2312" w:cs="仿宋_GB2312"/>
                <w:b/>
                <w:bCs/>
                <w:i w:val="0"/>
                <w:iCs w:val="0"/>
                <w:color w:val="auto"/>
                <w:kern w:val="0"/>
                <w:sz w:val="30"/>
                <w:szCs w:val="30"/>
                <w:u w:val="none"/>
                <w:lang w:val="en-US" w:eastAsia="zh-CN" w:bidi="ar"/>
              </w:rPr>
              <w:t>2024年度和田地区一般公共预算（本级）基本支出决算表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5000" w:type="pct"/>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auto"/>
                <w:sz w:val="24"/>
                <w:szCs w:val="24"/>
                <w:u w:val="none"/>
              </w:rPr>
            </w:pPr>
            <w:r>
              <w:rPr>
                <w:rFonts w:hint="eastAsia" w:ascii="仿宋_GB2312" w:hAnsi="宋体" w:eastAsia="仿宋_GB2312" w:cs="仿宋_GB2312"/>
                <w:b/>
                <w:bCs/>
                <w:i w:val="0"/>
                <w:iCs w:val="0"/>
                <w:color w:val="auto"/>
                <w:kern w:val="0"/>
                <w:sz w:val="24"/>
                <w:szCs w:val="24"/>
                <w:u w:val="none"/>
                <w:lang w:val="en-US" w:eastAsia="zh-CN" w:bidi="ar"/>
              </w:rPr>
              <w:t>单位：万元</w:t>
            </w:r>
            <w:r>
              <w:rPr>
                <w:rStyle w:val="22"/>
                <w:color w:val="auto"/>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科目编码</w:t>
            </w:r>
          </w:p>
        </w:tc>
        <w:tc>
          <w:tcPr>
            <w:tcW w:w="26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科目名称</w:t>
            </w:r>
          </w:p>
        </w:tc>
        <w:tc>
          <w:tcPr>
            <w:tcW w:w="1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0"/>
                <w:szCs w:val="20"/>
                <w:u w:val="none"/>
              </w:rPr>
            </w:pPr>
          </w:p>
        </w:tc>
        <w:tc>
          <w:tcPr>
            <w:tcW w:w="26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0"/>
                <w:szCs w:val="20"/>
                <w:u w:val="none"/>
              </w:rPr>
            </w:pPr>
          </w:p>
        </w:tc>
        <w:tc>
          <w:tcPr>
            <w:tcW w:w="1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机关工资福利支出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101,142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50101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工资奖金津补贴</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66,225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50102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社会保障缴费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50103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住房公积金</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50199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其他工资福利支出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8,803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机关商品和服务支出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办公经费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会议费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培训费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50204</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专用材料购置费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委托业务费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50206</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公务接待费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50207</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因公出国(境)费用</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50208</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公务用车运行维护费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50209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维修(护)费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50299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其他商品和服务支出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机关资本性支出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房屋建筑物购建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基础设施建设</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公务用车购置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土地征迁补偿和安置支出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50306</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设备购置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50307</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大型修缮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50399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机关资本性支出(基本建设)</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房屋建筑物购建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基础设施建设</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公务用车购置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50404</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设备购置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大型修缮</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50499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对事业单位经常性补助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74,421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50501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工资福利支出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50502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商品和服务支出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50599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其他对事业单位补助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506</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对事业单位资本性补助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50601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50602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资本性支出(基本建设)</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对企业补助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费用补贴</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利息补贴</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其他对企业补助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对企业资本性支出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资本金注入</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50804</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资本金注入(基本建设)</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政府投资基金股权投资</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其他对企业资本性支出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对个人和家庭的补助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50901</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社会福利和救助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助学金</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个人农业生产补贴</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50905</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离退休费</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50999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其他对个人和家庭的补助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对社会保障基金补助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51002</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对社会保险基金补助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51003</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补充全国社会保障基金</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51004</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对机关事业单位职业年金的补助</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其他支出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59907</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国家赔偿费用支出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59908</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对民间非营利组织和群众性自治组织补贴</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59909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经常性赠与</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59910</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资本性赠与</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59999</w:t>
            </w: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auto"/>
                <w:kern w:val="2"/>
                <w:sz w:val="21"/>
                <w:szCs w:val="21"/>
                <w:u w:val="none"/>
                <w:lang w:val="en-US" w:eastAsia="zh-CN" w:bidi="ar-SA"/>
              </w:rPr>
            </w:pPr>
            <w:r>
              <w:rPr>
                <w:rFonts w:hint="eastAsia" w:ascii="仿宋_GB2312" w:hAnsi="仿宋_GB2312" w:eastAsia="仿宋_GB2312" w:cs="仿宋_GB2312"/>
                <w:b/>
                <w:bCs/>
                <w:i w:val="0"/>
                <w:iCs w:val="0"/>
                <w:color w:val="auto"/>
                <w:kern w:val="0"/>
                <w:sz w:val="21"/>
                <w:szCs w:val="21"/>
                <w:u w:val="none"/>
                <w:lang w:val="en-US" w:eastAsia="zh-CN" w:bidi="ar"/>
              </w:rPr>
              <w:t>一般公共预算基本支出合计</w:t>
            </w:r>
          </w:p>
        </w:tc>
        <w:tc>
          <w:tcPr>
            <w:tcW w:w="1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kern w:val="2"/>
                <w:sz w:val="21"/>
                <w:szCs w:val="21"/>
                <w:u w:val="none"/>
                <w:lang w:val="en-US" w:eastAsia="zh-CN" w:bidi="ar-SA"/>
              </w:rPr>
            </w:pPr>
            <w:r>
              <w:rPr>
                <w:rFonts w:hint="eastAsia" w:ascii="仿宋_GB2312" w:hAnsi="仿宋_GB2312" w:eastAsia="仿宋_GB2312" w:cs="仿宋_GB2312"/>
                <w:b/>
                <w:bCs/>
                <w:i w:val="0"/>
                <w:iCs w:val="0"/>
                <w:color w:val="auto"/>
                <w:kern w:val="0"/>
                <w:sz w:val="21"/>
                <w:szCs w:val="21"/>
                <w:u w:val="none"/>
                <w:lang w:val="en-US" w:eastAsia="zh-CN" w:bidi="ar"/>
              </w:rPr>
              <w:t>192381</w:t>
            </w:r>
          </w:p>
        </w:tc>
      </w:tr>
    </w:tbl>
    <w:p>
      <w:pPr>
        <w:rPr>
          <w:rFonts w:hint="eastAsia" w:ascii="仿宋_GB2312" w:hAnsi="仿宋_GB2312" w:eastAsia="仿宋_GB2312" w:cs="仿宋_GB2312"/>
          <w:color w:val="auto"/>
          <w:lang w:val="en-US" w:eastAsia="zh-CN"/>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firstLine="642" w:firstLineChars="200"/>
        <w:rPr>
          <w:rFonts w:hint="eastAsia" w:ascii="仿宋_GB2312" w:hAnsi="仿宋_GB2312" w:eastAsia="仿宋_GB2312" w:cs="仿宋_GB2312"/>
          <w:color w:val="auto"/>
        </w:rPr>
      </w:pPr>
      <w:bookmarkStart w:id="14" w:name="_Toc8006"/>
      <w:r>
        <w:rPr>
          <w:rFonts w:hint="eastAsia" w:ascii="仿宋_GB2312" w:hAnsi="仿宋_GB2312" w:eastAsia="仿宋_GB2312" w:cs="仿宋_GB2312"/>
          <w:color w:val="auto"/>
        </w:rPr>
        <w:t>六、财政拨款“三公”经费支出决算表（本级）</w:t>
      </w:r>
      <w:bookmarkEnd w:id="14"/>
    </w:p>
    <w:tbl>
      <w:tblPr>
        <w:tblStyle w:val="15"/>
        <w:tblW w:w="0" w:type="auto"/>
        <w:tblInd w:w="93" w:type="dxa"/>
        <w:tblLayout w:type="fixed"/>
        <w:tblCellMar>
          <w:top w:w="0" w:type="dxa"/>
          <w:left w:w="108" w:type="dxa"/>
          <w:bottom w:w="0" w:type="dxa"/>
          <w:right w:w="108" w:type="dxa"/>
        </w:tblCellMar>
      </w:tblPr>
      <w:tblGrid>
        <w:gridCol w:w="5339"/>
        <w:gridCol w:w="1537"/>
        <w:gridCol w:w="1424"/>
      </w:tblGrid>
      <w:tr>
        <w:tblPrEx>
          <w:tblCellMar>
            <w:top w:w="0" w:type="dxa"/>
            <w:left w:w="108" w:type="dxa"/>
            <w:bottom w:w="0" w:type="dxa"/>
            <w:right w:w="108" w:type="dxa"/>
          </w:tblCellMar>
        </w:tblPrEx>
        <w:trPr>
          <w:trHeight w:val="624" w:hRule="atLeast"/>
        </w:trPr>
        <w:tc>
          <w:tcPr>
            <w:tcW w:w="8300" w:type="dxa"/>
            <w:gridSpan w:val="3"/>
            <w:tcBorders>
              <w:top w:val="nil"/>
              <w:left w:val="nil"/>
              <w:bottom w:val="nil"/>
              <w:right w:val="nil"/>
            </w:tcBorders>
            <w:noWrap/>
            <w:vAlign w:val="center"/>
          </w:tcPr>
          <w:p>
            <w:pPr>
              <w:widowControl/>
              <w:jc w:val="center"/>
              <w:textAlignment w:val="center"/>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bidi="ar"/>
              </w:rPr>
              <w:t>202</w:t>
            </w:r>
            <w:r>
              <w:rPr>
                <w:rFonts w:hint="eastAsia" w:ascii="仿宋_GB2312" w:hAnsi="仿宋_GB2312" w:eastAsia="仿宋_GB2312" w:cs="仿宋_GB2312"/>
                <w:color w:val="auto"/>
                <w:kern w:val="0"/>
                <w:sz w:val="32"/>
                <w:szCs w:val="32"/>
                <w:lang w:val="en-US" w:eastAsia="zh-CN" w:bidi="ar"/>
              </w:rPr>
              <w:t>4</w:t>
            </w:r>
            <w:r>
              <w:rPr>
                <w:rFonts w:hint="eastAsia" w:ascii="仿宋_GB2312" w:hAnsi="仿宋_GB2312" w:eastAsia="仿宋_GB2312" w:cs="仿宋_GB2312"/>
                <w:color w:val="auto"/>
                <w:kern w:val="0"/>
                <w:sz w:val="32"/>
                <w:szCs w:val="32"/>
                <w:lang w:bidi="ar"/>
              </w:rPr>
              <w:t>年度</w:t>
            </w:r>
            <w:r>
              <w:rPr>
                <w:rFonts w:hint="eastAsia" w:ascii="仿宋_GB2312" w:hAnsi="仿宋_GB2312" w:eastAsia="仿宋_GB2312" w:cs="仿宋_GB2312"/>
                <w:color w:val="auto"/>
                <w:kern w:val="0"/>
                <w:sz w:val="32"/>
                <w:szCs w:val="32"/>
                <w:lang w:eastAsia="zh-CN" w:bidi="ar"/>
              </w:rPr>
              <w:t>和田地区</w:t>
            </w:r>
            <w:r>
              <w:rPr>
                <w:rFonts w:hint="eastAsia" w:ascii="仿宋_GB2312" w:hAnsi="仿宋_GB2312" w:eastAsia="仿宋_GB2312" w:cs="仿宋_GB2312"/>
                <w:color w:val="auto"/>
                <w:kern w:val="0"/>
                <w:sz w:val="32"/>
                <w:szCs w:val="32"/>
                <w:lang w:bidi="ar"/>
              </w:rPr>
              <w:t>财政拨款“三公”经费支出决算表</w:t>
            </w:r>
          </w:p>
        </w:tc>
      </w:tr>
      <w:tr>
        <w:tblPrEx>
          <w:tblCellMar>
            <w:top w:w="0" w:type="dxa"/>
            <w:left w:w="108" w:type="dxa"/>
            <w:bottom w:w="0" w:type="dxa"/>
            <w:right w:w="108" w:type="dxa"/>
          </w:tblCellMar>
        </w:tblPrEx>
        <w:trPr>
          <w:trHeight w:val="340" w:hRule="atLeast"/>
        </w:trPr>
        <w:tc>
          <w:tcPr>
            <w:tcW w:w="8300" w:type="dxa"/>
            <w:gridSpan w:val="3"/>
            <w:tcBorders>
              <w:top w:val="nil"/>
              <w:left w:val="nil"/>
              <w:bottom w:val="nil"/>
              <w:right w:val="nil"/>
            </w:tcBorders>
            <w:noWrap/>
            <w:vAlign w:val="center"/>
          </w:tcPr>
          <w:p>
            <w:pPr>
              <w:widowControl/>
              <w:jc w:val="right"/>
              <w:textAlignment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kern w:val="0"/>
                <w:sz w:val="22"/>
                <w:szCs w:val="22"/>
                <w:lang w:bidi="ar"/>
              </w:rPr>
              <w:t xml:space="preserve">         单位：万元</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项目</w:t>
            </w:r>
          </w:p>
        </w:tc>
        <w:tc>
          <w:tcPr>
            <w:tcW w:w="15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预算数</w:t>
            </w:r>
          </w:p>
        </w:tc>
        <w:tc>
          <w:tcPr>
            <w:tcW w:w="142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决算数</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公务用车购置及运行维护费</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color w:val="auto"/>
                <w:sz w:val="21"/>
                <w:szCs w:val="21"/>
                <w:lang w:val="en-US" w:eastAsia="zh-CN"/>
              </w:rPr>
              <w:t>1384.7</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kern w:val="2"/>
                <w:sz w:val="21"/>
                <w:szCs w:val="21"/>
                <w:u w:val="none"/>
                <w:lang w:val="en-US" w:eastAsia="zh-CN" w:bidi="ar-SA"/>
              </w:rPr>
            </w:pPr>
            <w:r>
              <w:rPr>
                <w:rFonts w:hint="eastAsia" w:ascii="仿宋_GB2312" w:hAnsi="仿宋_GB2312" w:eastAsia="仿宋_GB2312" w:cs="仿宋_GB2312"/>
                <w:b w:val="0"/>
                <w:bCs w:val="0"/>
                <w:i w:val="0"/>
                <w:iCs w:val="0"/>
                <w:color w:val="auto"/>
                <w:kern w:val="0"/>
                <w:sz w:val="21"/>
                <w:szCs w:val="21"/>
                <w:u w:val="none"/>
                <w:lang w:val="en-US" w:eastAsia="zh-CN" w:bidi="ar"/>
              </w:rPr>
              <w:t>1973.17</w:t>
            </w:r>
            <w:r>
              <w:rPr>
                <w:rFonts w:hint="eastAsia" w:ascii="仿宋_GB2312" w:hAnsi="仿宋_GB2312" w:eastAsia="仿宋_GB2312" w:cs="仿宋_GB2312"/>
                <w:b/>
                <w:bCs/>
                <w:i w:val="0"/>
                <w:iCs w:val="0"/>
                <w:color w:val="auto"/>
                <w:kern w:val="0"/>
                <w:sz w:val="21"/>
                <w:szCs w:val="21"/>
                <w:u w:val="none"/>
                <w:lang w:val="en-US" w:eastAsia="zh-CN" w:bidi="ar"/>
              </w:rPr>
              <w:t xml:space="preserve"> </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firstLine="420" w:firstLineChars="200"/>
              <w:jc w:val="lef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（1）公务用车购置费</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kern w:val="2"/>
                <w:sz w:val="21"/>
                <w:szCs w:val="21"/>
                <w:u w:val="none"/>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308.7</w:t>
            </w:r>
          </w:p>
        </w:tc>
        <w:tc>
          <w:tcPr>
            <w:tcW w:w="14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lang w:val="en-US"/>
              </w:rPr>
            </w:pPr>
            <w:r>
              <w:rPr>
                <w:rFonts w:hint="eastAsia" w:ascii="仿宋_GB2312" w:hAnsi="仿宋_GB2312" w:eastAsia="仿宋_GB2312" w:cs="仿宋_GB2312"/>
                <w:color w:val="auto"/>
                <w:sz w:val="21"/>
                <w:szCs w:val="21"/>
                <w:lang w:val="en-US" w:eastAsia="zh-CN"/>
              </w:rPr>
              <w:t>757.18</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firstLine="420" w:firstLineChars="200"/>
              <w:jc w:val="lef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（2）公务用车运行维护费</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auto"/>
                <w:kern w:val="2"/>
                <w:sz w:val="21"/>
                <w:szCs w:val="21"/>
                <w:u w:val="none"/>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1076</w:t>
            </w:r>
          </w:p>
        </w:tc>
        <w:tc>
          <w:tcPr>
            <w:tcW w:w="14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lang w:val="en-US"/>
              </w:rPr>
            </w:pPr>
            <w:r>
              <w:rPr>
                <w:rFonts w:hint="eastAsia" w:ascii="仿宋_GB2312" w:hAnsi="仿宋_GB2312" w:eastAsia="仿宋_GB2312" w:cs="仿宋_GB2312"/>
                <w:color w:val="auto"/>
                <w:sz w:val="21"/>
                <w:szCs w:val="21"/>
                <w:lang w:val="en-US" w:eastAsia="zh-CN"/>
              </w:rPr>
              <w:t>1215.99</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公务接待费</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color w:val="auto"/>
                <w:sz w:val="21"/>
                <w:szCs w:val="21"/>
                <w:lang w:val="en-US" w:eastAsia="zh-CN"/>
              </w:rPr>
              <w:t>650</w:t>
            </w:r>
          </w:p>
        </w:tc>
        <w:tc>
          <w:tcPr>
            <w:tcW w:w="14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lang w:val="en-US"/>
              </w:rPr>
            </w:pPr>
            <w:r>
              <w:rPr>
                <w:rFonts w:hint="eastAsia" w:ascii="仿宋_GB2312" w:hAnsi="仿宋_GB2312" w:eastAsia="仿宋_GB2312" w:cs="仿宋_GB2312"/>
                <w:color w:val="auto"/>
                <w:sz w:val="21"/>
                <w:szCs w:val="21"/>
                <w:lang w:val="en-US" w:eastAsia="zh-CN"/>
              </w:rPr>
              <w:t>417.72</w:t>
            </w:r>
          </w:p>
        </w:tc>
      </w:tr>
      <w:tr>
        <w:tblPrEx>
          <w:tblCellMar>
            <w:top w:w="0" w:type="dxa"/>
            <w:left w:w="108" w:type="dxa"/>
            <w:bottom w:w="0" w:type="dxa"/>
            <w:right w:w="108" w:type="dxa"/>
          </w:tblCellMar>
        </w:tblPrEx>
        <w:trPr>
          <w:trHeight w:val="454" w:hRule="atLeast"/>
        </w:trPr>
        <w:tc>
          <w:tcPr>
            <w:tcW w:w="53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i w:val="0"/>
                <w:color w:val="auto"/>
                <w:kern w:val="0"/>
                <w:sz w:val="21"/>
                <w:szCs w:val="21"/>
                <w:u w:val="none"/>
                <w:lang w:val="en-US" w:eastAsia="zh-CN" w:bidi="ar"/>
              </w:rPr>
              <w:t>合     计</w:t>
            </w:r>
          </w:p>
        </w:tc>
        <w:tc>
          <w:tcPr>
            <w:tcW w:w="15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i w:val="0"/>
                <w:color w:val="auto"/>
                <w:kern w:val="0"/>
                <w:sz w:val="21"/>
                <w:szCs w:val="21"/>
                <w:u w:val="none"/>
                <w:lang w:val="en-US" w:eastAsia="zh-CN" w:bidi="ar"/>
              </w:rPr>
              <w:t xml:space="preserve">2034.7 </w:t>
            </w:r>
          </w:p>
        </w:tc>
        <w:tc>
          <w:tcPr>
            <w:tcW w:w="14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color w:val="auto"/>
                <w:sz w:val="21"/>
                <w:szCs w:val="21"/>
                <w:lang w:val="en-US"/>
              </w:rPr>
            </w:pPr>
            <w:r>
              <w:rPr>
                <w:rFonts w:hint="eastAsia" w:ascii="仿宋_GB2312" w:hAnsi="仿宋_GB2312" w:eastAsia="仿宋_GB2312" w:cs="仿宋_GB2312"/>
                <w:b/>
                <w:bCs/>
                <w:color w:val="auto"/>
                <w:sz w:val="21"/>
                <w:szCs w:val="21"/>
                <w:lang w:val="en-US" w:eastAsia="zh-CN"/>
              </w:rPr>
              <w:t>2390.89</w:t>
            </w:r>
          </w:p>
        </w:tc>
      </w:tr>
    </w:tbl>
    <w:p>
      <w:pPr>
        <w:bidi w:val="0"/>
        <w:rPr>
          <w:rFonts w:hint="eastAsia" w:ascii="仿宋_GB2312" w:hAnsi="仿宋_GB2312" w:eastAsia="仿宋_GB2312" w:cs="仿宋_GB2312"/>
          <w:color w:val="auto"/>
        </w:rPr>
        <w:sectPr>
          <w:pgSz w:w="11906" w:h="16838"/>
          <w:pgMar w:top="1440" w:right="1800" w:bottom="1440" w:left="1800" w:header="851" w:footer="992" w:gutter="0"/>
          <w:pgNumType w:fmt="decimal"/>
          <w:cols w:space="720" w:num="1"/>
          <w:docGrid w:type="lines" w:linePitch="312" w:charSpace="0"/>
        </w:sectPr>
      </w:pPr>
    </w:p>
    <w:p>
      <w:pPr>
        <w:pStyle w:val="5"/>
        <w:spacing w:before="156" w:beforeLines="50" w:after="156" w:afterLines="50"/>
        <w:ind w:firstLine="642" w:firstLineChars="200"/>
        <w:rPr>
          <w:rFonts w:hint="eastAsia"/>
          <w:color w:val="auto"/>
        </w:rPr>
      </w:pPr>
      <w:bookmarkStart w:id="15" w:name="_Toc4831"/>
      <w:r>
        <w:rPr>
          <w:rFonts w:hint="eastAsia"/>
          <w:color w:val="auto"/>
        </w:rPr>
        <w:t>七、财政拨款“三公”经费说明（本级）</w:t>
      </w:r>
      <w:bookmarkEnd w:id="15"/>
    </w:p>
    <w:p>
      <w:pPr>
        <w:pStyle w:val="14"/>
        <w:spacing w:line="600" w:lineRule="exact"/>
        <w:ind w:firstLine="642" w:firstLineChars="200"/>
        <w:jc w:val="both"/>
        <w:rPr>
          <w:rFonts w:hint="eastAsia" w:ascii="仿宋_GB2312" w:eastAsia="仿宋_GB2312"/>
          <w:color w:val="auto"/>
          <w:sz w:val="32"/>
          <w:szCs w:val="32"/>
        </w:rPr>
      </w:pPr>
      <w:bookmarkStart w:id="16" w:name="_Toc2094"/>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年度财政拨款“三公”经费支出</w:t>
      </w:r>
      <w:r>
        <w:rPr>
          <w:rFonts w:hint="eastAsia" w:ascii="仿宋_GB2312" w:eastAsia="仿宋_GB2312"/>
          <w:b/>
          <w:bCs/>
          <w:color w:val="auto"/>
          <w:sz w:val="32"/>
          <w:szCs w:val="32"/>
          <w:highlight w:val="none"/>
          <w:lang w:val="en-US" w:eastAsia="zh-CN"/>
        </w:rPr>
        <w:t>2390.89</w:t>
      </w:r>
      <w:r>
        <w:rPr>
          <w:rFonts w:hint="eastAsia" w:ascii="仿宋_GB2312" w:eastAsia="仿宋_GB2312"/>
          <w:b/>
          <w:bCs/>
          <w:color w:val="auto"/>
          <w:sz w:val="32"/>
          <w:szCs w:val="32"/>
        </w:rPr>
        <w:t>万元</w:t>
      </w:r>
      <w:r>
        <w:rPr>
          <w:rFonts w:hint="eastAsia" w:ascii="仿宋_GB2312" w:eastAsia="仿宋_GB2312"/>
          <w:color w:val="auto"/>
          <w:sz w:val="32"/>
          <w:szCs w:val="32"/>
        </w:rPr>
        <w:t>，比上年减少</w:t>
      </w:r>
      <w:r>
        <w:rPr>
          <w:rFonts w:hint="eastAsia" w:ascii="仿宋_GB2312" w:eastAsia="仿宋_GB2312"/>
          <w:color w:val="auto"/>
          <w:sz w:val="32"/>
          <w:szCs w:val="32"/>
          <w:lang w:val="en-US" w:eastAsia="zh-CN"/>
        </w:rPr>
        <w:t>235.06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8.95</w:t>
      </w:r>
      <w:r>
        <w:rPr>
          <w:rFonts w:hint="eastAsia" w:ascii="仿宋_GB2312" w:eastAsia="仿宋_GB2312"/>
          <w:color w:val="auto"/>
          <w:sz w:val="32"/>
          <w:szCs w:val="32"/>
        </w:rPr>
        <w:t>%，</w:t>
      </w:r>
      <w:r>
        <w:rPr>
          <w:rFonts w:hint="eastAsia" w:ascii="仿宋_GB2312" w:eastAsia="仿宋_GB2312"/>
          <w:b/>
          <w:bCs/>
          <w:color w:val="auto"/>
          <w:sz w:val="32"/>
          <w:szCs w:val="32"/>
        </w:rPr>
        <w:t>主要原因是：</w:t>
      </w:r>
      <w:r>
        <w:rPr>
          <w:rFonts w:hint="eastAsia" w:ascii="仿宋_GB2312" w:hAnsi="仿宋_GB2312" w:eastAsia="仿宋_GB2312" w:cs="仿宋_GB2312"/>
          <w:color w:val="auto"/>
          <w:kern w:val="0"/>
          <w:sz w:val="32"/>
          <w:szCs w:val="32"/>
          <w:lang w:eastAsia="zh-Hans" w:bidi="ar"/>
        </w:rPr>
        <w:t>和田地区本级继续深化落实中央、自治区</w:t>
      </w:r>
      <w:r>
        <w:rPr>
          <w:rFonts w:hint="eastAsia" w:ascii="仿宋_GB2312" w:hAnsi="仿宋_GB2312" w:eastAsia="仿宋_GB2312" w:cs="仿宋_GB2312"/>
          <w:color w:val="auto"/>
          <w:kern w:val="0"/>
          <w:sz w:val="32"/>
          <w:szCs w:val="32"/>
          <w:lang w:eastAsia="zh-CN" w:bidi="ar"/>
        </w:rPr>
        <w:t>党政机关坚持过“紧日子”思想和</w:t>
      </w:r>
      <w:r>
        <w:rPr>
          <w:rFonts w:hint="eastAsia" w:ascii="仿宋_GB2312" w:hAnsi="仿宋_GB2312" w:eastAsia="仿宋_GB2312" w:cs="仿宋_GB2312"/>
          <w:color w:val="auto"/>
          <w:kern w:val="0"/>
          <w:sz w:val="32"/>
          <w:szCs w:val="32"/>
          <w:lang w:eastAsia="zh-Hans" w:bidi="ar"/>
        </w:rPr>
        <w:t>厉行节约各项规定，进一步调整和优化财政支出结构，努力降低行政运行成本，从严控制和压缩“三公”经费。</w:t>
      </w:r>
      <w:r>
        <w:rPr>
          <w:rFonts w:hint="eastAsia" w:ascii="仿宋_GB2312" w:eastAsia="仿宋_GB2312"/>
          <w:color w:val="auto"/>
          <w:sz w:val="32"/>
          <w:szCs w:val="32"/>
        </w:rPr>
        <w:t>其中：公务用车购置及运行维护费支出</w:t>
      </w:r>
      <w:r>
        <w:rPr>
          <w:rFonts w:hint="eastAsia" w:ascii="仿宋_GB2312" w:eastAsia="仿宋_GB2312"/>
          <w:color w:val="auto"/>
          <w:sz w:val="32"/>
          <w:szCs w:val="32"/>
          <w:lang w:val="en-US" w:eastAsia="zh-CN"/>
        </w:rPr>
        <w:t>1973.17</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82.52</w:t>
      </w:r>
      <w:r>
        <w:rPr>
          <w:rFonts w:hint="eastAsia" w:ascii="仿宋_GB2312" w:eastAsia="仿宋_GB2312"/>
          <w:color w:val="auto"/>
          <w:sz w:val="32"/>
          <w:szCs w:val="32"/>
        </w:rPr>
        <w:t>%，比上年增加减少</w:t>
      </w:r>
      <w:r>
        <w:rPr>
          <w:rFonts w:hint="eastAsia" w:ascii="仿宋_GB2312" w:eastAsia="仿宋_GB2312"/>
          <w:color w:val="auto"/>
          <w:sz w:val="32"/>
          <w:szCs w:val="32"/>
          <w:lang w:val="en-US" w:eastAsia="zh-CN"/>
        </w:rPr>
        <w:t>44.99</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2.23</w:t>
      </w:r>
      <w:r>
        <w:rPr>
          <w:rFonts w:hint="eastAsia" w:ascii="仿宋_GB2312" w:eastAsia="仿宋_GB2312"/>
          <w:color w:val="auto"/>
          <w:sz w:val="32"/>
          <w:szCs w:val="32"/>
        </w:rPr>
        <w:t>%，</w:t>
      </w:r>
      <w:r>
        <w:rPr>
          <w:rFonts w:hint="eastAsia" w:ascii="仿宋_GB2312" w:eastAsia="仿宋_GB2312"/>
          <w:b/>
          <w:bCs/>
          <w:color w:val="auto"/>
          <w:sz w:val="32"/>
          <w:szCs w:val="32"/>
        </w:rPr>
        <w:t>主要原因是：</w:t>
      </w:r>
      <w:r>
        <w:rPr>
          <w:rFonts w:hint="eastAsia" w:ascii="仿宋_GB2312" w:hAnsi="仿宋_GB2312" w:eastAsia="仿宋_GB2312" w:cs="仿宋_GB2312"/>
          <w:color w:val="auto"/>
          <w:kern w:val="0"/>
          <w:sz w:val="32"/>
          <w:szCs w:val="32"/>
          <w:lang w:eastAsia="zh-Hans" w:bidi="ar"/>
        </w:rPr>
        <w:t>继续深化落实中央、自治区</w:t>
      </w:r>
      <w:r>
        <w:rPr>
          <w:rFonts w:hint="eastAsia" w:ascii="仿宋_GB2312" w:hAnsi="仿宋_GB2312" w:eastAsia="仿宋_GB2312" w:cs="仿宋_GB2312"/>
          <w:color w:val="auto"/>
          <w:kern w:val="0"/>
          <w:sz w:val="32"/>
          <w:szCs w:val="32"/>
          <w:lang w:eastAsia="zh-CN" w:bidi="ar"/>
        </w:rPr>
        <w:t>党政机关坚持过“紧日子”思想和</w:t>
      </w:r>
      <w:r>
        <w:rPr>
          <w:rFonts w:hint="eastAsia" w:ascii="仿宋_GB2312" w:hAnsi="仿宋_GB2312" w:eastAsia="仿宋_GB2312" w:cs="仿宋_GB2312"/>
          <w:color w:val="auto"/>
          <w:kern w:val="0"/>
          <w:sz w:val="32"/>
          <w:szCs w:val="32"/>
          <w:lang w:eastAsia="zh-Hans" w:bidi="ar"/>
        </w:rPr>
        <w:t>厉行节约各项规定</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eastAsia="zh-Hans" w:bidi="ar"/>
        </w:rPr>
        <w:t>优化财政支出结构</w:t>
      </w:r>
      <w:r>
        <w:rPr>
          <w:rFonts w:hint="eastAsia" w:ascii="仿宋_GB2312" w:eastAsia="仿宋_GB2312"/>
          <w:color w:val="auto"/>
          <w:sz w:val="32"/>
          <w:szCs w:val="32"/>
        </w:rPr>
        <w:t>；公务接待费支出</w:t>
      </w:r>
      <w:r>
        <w:rPr>
          <w:rFonts w:hint="eastAsia" w:ascii="仿宋_GB2312" w:eastAsia="仿宋_GB2312"/>
          <w:color w:val="auto"/>
          <w:sz w:val="32"/>
          <w:szCs w:val="32"/>
          <w:lang w:val="en-US" w:eastAsia="zh-CN"/>
        </w:rPr>
        <w:t>417.72</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17.47</w:t>
      </w:r>
      <w:r>
        <w:rPr>
          <w:rFonts w:hint="eastAsia" w:ascii="仿宋_GB2312" w:eastAsia="仿宋_GB2312"/>
          <w:color w:val="auto"/>
          <w:sz w:val="32"/>
          <w:szCs w:val="32"/>
        </w:rPr>
        <w:t>%，比上年减少</w:t>
      </w:r>
      <w:r>
        <w:rPr>
          <w:rFonts w:hint="eastAsia" w:ascii="仿宋_GB2312" w:eastAsia="仿宋_GB2312"/>
          <w:color w:val="auto"/>
          <w:sz w:val="32"/>
          <w:szCs w:val="32"/>
          <w:lang w:val="en-US" w:eastAsia="zh-CN"/>
        </w:rPr>
        <w:t>190.07</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31.3</w:t>
      </w:r>
      <w:r>
        <w:rPr>
          <w:rFonts w:hint="eastAsia" w:ascii="仿宋_GB2312" w:eastAsia="仿宋_GB2312"/>
          <w:color w:val="auto"/>
          <w:sz w:val="32"/>
          <w:szCs w:val="32"/>
        </w:rPr>
        <w:t>%，</w:t>
      </w:r>
      <w:r>
        <w:rPr>
          <w:rFonts w:hint="eastAsia" w:ascii="仿宋_GB2312" w:eastAsia="仿宋_GB2312"/>
          <w:b/>
          <w:bCs/>
          <w:color w:val="auto"/>
          <w:sz w:val="32"/>
          <w:szCs w:val="32"/>
        </w:rPr>
        <w:t>主要原因是：</w:t>
      </w:r>
      <w:r>
        <w:rPr>
          <w:rFonts w:hint="eastAsia" w:ascii="仿宋_GB2312" w:hAnsi="仿宋_GB2312" w:eastAsia="仿宋_GB2312" w:cs="仿宋_GB2312"/>
          <w:color w:val="auto"/>
          <w:kern w:val="0"/>
          <w:sz w:val="32"/>
          <w:szCs w:val="32"/>
          <w:lang w:eastAsia="zh-Hans" w:bidi="ar"/>
        </w:rPr>
        <w:t>继续深化落实中央、自治区</w:t>
      </w:r>
      <w:r>
        <w:rPr>
          <w:rFonts w:hint="eastAsia" w:ascii="仿宋_GB2312" w:hAnsi="仿宋_GB2312" w:eastAsia="仿宋_GB2312" w:cs="仿宋_GB2312"/>
          <w:color w:val="auto"/>
          <w:kern w:val="0"/>
          <w:sz w:val="32"/>
          <w:szCs w:val="32"/>
          <w:lang w:eastAsia="zh-CN" w:bidi="ar"/>
        </w:rPr>
        <w:t>党政机关坚持过“紧日子”思想和</w:t>
      </w:r>
      <w:r>
        <w:rPr>
          <w:rFonts w:hint="eastAsia" w:ascii="仿宋_GB2312" w:hAnsi="仿宋_GB2312" w:eastAsia="仿宋_GB2312" w:cs="仿宋_GB2312"/>
          <w:color w:val="auto"/>
          <w:kern w:val="0"/>
          <w:sz w:val="32"/>
          <w:szCs w:val="32"/>
          <w:lang w:eastAsia="zh-Hans" w:bidi="ar"/>
        </w:rPr>
        <w:t>厉行节约各项规定</w:t>
      </w:r>
      <w:r>
        <w:rPr>
          <w:rFonts w:hint="eastAsia" w:ascii="仿宋_GB2312" w:eastAsia="仿宋_GB2312"/>
          <w:color w:val="auto"/>
          <w:sz w:val="32"/>
          <w:szCs w:val="32"/>
        </w:rPr>
        <w:t>。</w:t>
      </w:r>
    </w:p>
    <w:p>
      <w:pPr>
        <w:ind w:firstLine="642" w:firstLineChars="200"/>
        <w:rPr>
          <w:color w:val="auto"/>
        </w:rPr>
      </w:pPr>
      <w:r>
        <w:rPr>
          <w:rFonts w:hint="eastAsia" w:ascii="仿宋_GB2312" w:eastAsia="仿宋_GB2312"/>
          <w:b/>
          <w:bCs/>
          <w:color w:val="auto"/>
          <w:sz w:val="32"/>
          <w:szCs w:val="32"/>
        </w:rPr>
        <w:t>与全年预算相比，</w:t>
      </w:r>
      <w:r>
        <w:rPr>
          <w:rFonts w:hint="eastAsia" w:ascii="仿宋_GB2312" w:eastAsia="仿宋_GB2312"/>
          <w:color w:val="auto"/>
          <w:sz w:val="32"/>
          <w:szCs w:val="32"/>
        </w:rPr>
        <w:t>财政拨款“三公”经费支出全年预算数</w:t>
      </w:r>
      <w:r>
        <w:rPr>
          <w:rFonts w:hint="eastAsia" w:ascii="仿宋_GB2312" w:eastAsia="仿宋_GB2312"/>
          <w:color w:val="auto"/>
          <w:sz w:val="32"/>
          <w:szCs w:val="32"/>
          <w:lang w:val="en-US" w:eastAsia="zh-CN"/>
        </w:rPr>
        <w:t>2034.7</w:t>
      </w:r>
      <w:r>
        <w:rPr>
          <w:rFonts w:hint="eastAsia" w:ascii="仿宋_GB2312" w:eastAsia="仿宋_GB2312"/>
          <w:color w:val="auto"/>
          <w:sz w:val="32"/>
          <w:szCs w:val="32"/>
        </w:rPr>
        <w:t>万元，决算数</w:t>
      </w:r>
      <w:r>
        <w:rPr>
          <w:rFonts w:hint="eastAsia" w:ascii="仿宋_GB2312" w:eastAsia="仿宋_GB2312"/>
          <w:color w:val="auto"/>
          <w:sz w:val="32"/>
          <w:szCs w:val="32"/>
          <w:lang w:val="en-US" w:eastAsia="zh-CN"/>
        </w:rPr>
        <w:t>2390.89</w:t>
      </w:r>
      <w:r>
        <w:rPr>
          <w:rFonts w:hint="eastAsia" w:ascii="仿宋_GB2312" w:eastAsia="仿宋_GB2312"/>
          <w:color w:val="auto"/>
          <w:sz w:val="32"/>
          <w:szCs w:val="32"/>
        </w:rPr>
        <w:t>万元，预决算差异率</w:t>
      </w:r>
      <w:r>
        <w:rPr>
          <w:rFonts w:hint="eastAsia" w:ascii="仿宋_GB2312" w:eastAsia="仿宋_GB2312"/>
          <w:color w:val="auto"/>
          <w:sz w:val="32"/>
          <w:szCs w:val="32"/>
          <w:lang w:val="en-US" w:eastAsia="zh-CN"/>
        </w:rPr>
        <w:t>17.5</w:t>
      </w:r>
      <w:r>
        <w:rPr>
          <w:rFonts w:hint="eastAsia" w:ascii="仿宋_GB2312" w:eastAsia="仿宋_GB2312"/>
          <w:color w:val="auto"/>
          <w:sz w:val="32"/>
          <w:szCs w:val="32"/>
        </w:rPr>
        <w:t>%；公务接待费全年预算数</w:t>
      </w:r>
      <w:r>
        <w:rPr>
          <w:rFonts w:hint="eastAsia" w:ascii="仿宋_GB2312" w:eastAsia="仿宋_GB2312"/>
          <w:color w:val="auto"/>
          <w:sz w:val="32"/>
          <w:szCs w:val="32"/>
          <w:lang w:val="en-US" w:eastAsia="zh-CN"/>
        </w:rPr>
        <w:t>650</w:t>
      </w:r>
      <w:r>
        <w:rPr>
          <w:rFonts w:hint="eastAsia" w:ascii="仿宋_GB2312" w:eastAsia="仿宋_GB2312"/>
          <w:color w:val="auto"/>
          <w:sz w:val="32"/>
          <w:szCs w:val="32"/>
        </w:rPr>
        <w:t>万元，决算数</w:t>
      </w:r>
      <w:r>
        <w:rPr>
          <w:rFonts w:hint="eastAsia" w:ascii="仿宋_GB2312" w:eastAsia="仿宋_GB2312"/>
          <w:color w:val="auto"/>
          <w:sz w:val="32"/>
          <w:szCs w:val="32"/>
          <w:lang w:val="en-US" w:eastAsia="zh-CN"/>
        </w:rPr>
        <w:t>417.72</w:t>
      </w:r>
      <w:r>
        <w:rPr>
          <w:rFonts w:hint="eastAsia" w:ascii="仿宋_GB2312" w:eastAsia="仿宋_GB2312"/>
          <w:color w:val="auto"/>
          <w:sz w:val="32"/>
          <w:szCs w:val="32"/>
        </w:rPr>
        <w:t>万元，预决算差异率</w:t>
      </w:r>
      <w:r>
        <w:rPr>
          <w:rFonts w:hint="eastAsia" w:ascii="仿宋_GB2312" w:eastAsia="仿宋_GB2312"/>
          <w:color w:val="auto"/>
          <w:sz w:val="32"/>
          <w:szCs w:val="32"/>
          <w:lang w:val="en-US" w:eastAsia="zh-CN"/>
        </w:rPr>
        <w:t>-35.8</w:t>
      </w:r>
      <w:r>
        <w:rPr>
          <w:rFonts w:hint="eastAsia" w:ascii="仿宋_GB2312" w:eastAsia="仿宋_GB2312"/>
          <w:color w:val="auto"/>
          <w:sz w:val="32"/>
          <w:szCs w:val="32"/>
        </w:rPr>
        <w:t>%，主要原因是：</w:t>
      </w:r>
      <w:r>
        <w:rPr>
          <w:rFonts w:hint="eastAsia" w:ascii="仿宋_GB2312" w:hAnsi="仿宋_GB2312" w:eastAsia="仿宋_GB2312" w:cs="仿宋_GB2312"/>
          <w:color w:val="auto"/>
          <w:kern w:val="0"/>
          <w:sz w:val="32"/>
          <w:szCs w:val="32"/>
          <w:lang w:eastAsia="zh-Hans" w:bidi="ar"/>
        </w:rPr>
        <w:t>和田地区</w:t>
      </w:r>
      <w:r>
        <w:rPr>
          <w:rFonts w:hint="eastAsia" w:ascii="仿宋_GB2312" w:hAnsi="仿宋_GB2312" w:eastAsia="仿宋_GB2312" w:cs="仿宋_GB2312"/>
          <w:color w:val="auto"/>
          <w:kern w:val="0"/>
          <w:sz w:val="32"/>
          <w:szCs w:val="32"/>
          <w:lang w:eastAsia="zh-CN" w:bidi="ar"/>
        </w:rPr>
        <w:t>持</w:t>
      </w:r>
      <w:r>
        <w:rPr>
          <w:rFonts w:hint="eastAsia" w:ascii="仿宋_GB2312" w:hAnsi="仿宋_GB2312" w:eastAsia="仿宋_GB2312" w:cs="仿宋_GB2312"/>
          <w:color w:val="auto"/>
          <w:kern w:val="0"/>
          <w:sz w:val="32"/>
          <w:szCs w:val="32"/>
          <w:lang w:eastAsia="zh-Hans" w:bidi="ar"/>
        </w:rPr>
        <w:t>续深化落实中央、自治区</w:t>
      </w:r>
      <w:r>
        <w:rPr>
          <w:rFonts w:hint="eastAsia" w:ascii="仿宋_GB2312" w:hAnsi="仿宋_GB2312" w:eastAsia="仿宋_GB2312" w:cs="仿宋_GB2312"/>
          <w:color w:val="auto"/>
          <w:kern w:val="0"/>
          <w:sz w:val="32"/>
          <w:szCs w:val="32"/>
          <w:lang w:eastAsia="zh-CN" w:bidi="ar"/>
        </w:rPr>
        <w:t>党政机关坚持过“紧日子”思想和</w:t>
      </w:r>
      <w:r>
        <w:rPr>
          <w:rFonts w:hint="eastAsia" w:ascii="仿宋_GB2312" w:hAnsi="仿宋_GB2312" w:eastAsia="仿宋_GB2312" w:cs="仿宋_GB2312"/>
          <w:color w:val="auto"/>
          <w:kern w:val="0"/>
          <w:sz w:val="32"/>
          <w:szCs w:val="32"/>
          <w:lang w:eastAsia="zh-Hans" w:bidi="ar"/>
        </w:rPr>
        <w:t>厉行节约各项规定，努力降低行政运行成本，从严控制和压缩</w:t>
      </w:r>
      <w:r>
        <w:rPr>
          <w:rFonts w:hint="eastAsia" w:ascii="仿宋_GB2312" w:eastAsia="仿宋_GB2312"/>
          <w:color w:val="auto"/>
          <w:sz w:val="32"/>
          <w:szCs w:val="32"/>
        </w:rPr>
        <w:t>公务接待费</w:t>
      </w:r>
      <w:r>
        <w:rPr>
          <w:rFonts w:hint="eastAsia" w:ascii="仿宋_GB2312" w:hAnsi="仿宋_GB2312" w:eastAsia="仿宋_GB2312" w:cs="仿宋_GB2312"/>
          <w:color w:val="auto"/>
          <w:kern w:val="0"/>
          <w:sz w:val="32"/>
          <w:szCs w:val="32"/>
          <w:lang w:eastAsia="zh-Hans" w:bidi="ar"/>
        </w:rPr>
        <w:t>经费</w:t>
      </w:r>
      <w:r>
        <w:rPr>
          <w:rFonts w:hint="eastAsia" w:ascii="仿宋_GB2312" w:eastAsia="仿宋_GB2312"/>
          <w:color w:val="auto"/>
          <w:sz w:val="32"/>
          <w:szCs w:val="32"/>
        </w:rPr>
        <w:t>。</w:t>
      </w:r>
    </w:p>
    <w:p>
      <w:pPr>
        <w:pStyle w:val="3"/>
        <w:spacing w:before="156" w:beforeLines="50" w:after="156" w:afterLines="50"/>
        <w:rPr>
          <w:b/>
          <w:bCs/>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3"/>
        <w:spacing w:before="156" w:beforeLines="50" w:after="156" w:afterLines="50"/>
        <w:rPr>
          <w:rFonts w:hint="eastAsia"/>
          <w:b/>
          <w:bCs/>
          <w:color w:val="auto"/>
          <w:lang w:eastAsia="zh-Hans"/>
        </w:rPr>
      </w:pPr>
      <w:r>
        <w:rPr>
          <w:b/>
          <w:bCs/>
          <w:color w:val="auto"/>
          <w:lang w:eastAsia="zh-Hans"/>
        </w:rPr>
        <w:t>第</w:t>
      </w:r>
      <w:r>
        <w:rPr>
          <w:rFonts w:hint="eastAsia"/>
          <w:b/>
          <w:bCs/>
          <w:color w:val="auto"/>
          <w:lang w:eastAsia="zh-Hans"/>
        </w:rPr>
        <w:t>三</w:t>
      </w:r>
      <w:r>
        <w:rPr>
          <w:b/>
          <w:bCs/>
          <w:color w:val="auto"/>
          <w:lang w:eastAsia="zh-Hans"/>
        </w:rPr>
        <w:t>部分</w:t>
      </w:r>
      <w:r>
        <w:rPr>
          <w:rFonts w:hint="eastAsia"/>
          <w:b/>
          <w:bCs/>
          <w:color w:val="auto"/>
          <w:lang w:eastAsia="zh-Hans"/>
        </w:rPr>
        <w:t>：政府性基金预算决算情况</w:t>
      </w:r>
      <w:bookmarkEnd w:id="16"/>
    </w:p>
    <w:p>
      <w:pPr>
        <w:pStyle w:val="5"/>
        <w:numPr>
          <w:ilvl w:val="0"/>
          <w:numId w:val="7"/>
        </w:numPr>
        <w:spacing w:before="156" w:beforeLines="50" w:after="156" w:afterLines="50"/>
        <w:ind w:firstLine="642" w:firstLineChars="200"/>
        <w:rPr>
          <w:color w:val="auto"/>
          <w:lang w:eastAsia="zh-Hans"/>
        </w:rPr>
      </w:pPr>
      <w:bookmarkStart w:id="17" w:name="_Toc4834"/>
      <w:r>
        <w:rPr>
          <w:color w:val="auto"/>
          <w:lang w:eastAsia="zh-Hans"/>
        </w:rPr>
        <w:t>政府性基金</w:t>
      </w:r>
      <w:r>
        <w:rPr>
          <w:rFonts w:hint="eastAsia"/>
          <w:color w:val="auto"/>
          <w:lang w:eastAsia="zh-Hans"/>
        </w:rPr>
        <w:t>预算</w:t>
      </w:r>
      <w:r>
        <w:rPr>
          <w:color w:val="auto"/>
          <w:lang w:eastAsia="zh-Hans"/>
        </w:rPr>
        <w:t>收入</w:t>
      </w:r>
      <w:r>
        <w:rPr>
          <w:rFonts w:hint="eastAsia"/>
          <w:color w:val="auto"/>
          <w:lang w:eastAsia="zh-Hans"/>
        </w:rPr>
        <w:t>决算</w:t>
      </w:r>
      <w:r>
        <w:rPr>
          <w:color w:val="auto"/>
          <w:lang w:eastAsia="zh-Hans"/>
        </w:rPr>
        <w:t>表</w:t>
      </w:r>
      <w:bookmarkEnd w:id="17"/>
    </w:p>
    <w:tbl>
      <w:tblPr>
        <w:tblStyle w:val="15"/>
        <w:tblW w:w="5586" w:type="pct"/>
        <w:tblInd w:w="-5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51"/>
        <w:gridCol w:w="3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2024年度和田地区政府性基金预算收入决算表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预算科目</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政府性基金收入(款)</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127,503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113,261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土地出让价款收入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补缴的土地价款</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划拨土地收入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缴纳新增建设用地土地有偿使用费</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其他土地出让收入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大中型水库移民后期扶持基金收入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大中型水库库区基金收入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中央大中型水库库区基金收入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地方大中型水库库区基金收入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三峡水库库区基金收入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中央特别国债经营基金收入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中央特别国债经营基金财务收入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彩票公益金收入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福利彩票公益金收入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体育彩票公益金收入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城市基础设施配套费收入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小型水库移民扶助基金收入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国家重大水利工程建设基金收入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中央重大水利工程建设资金</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地方重大水利工程建设资金</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车辆通行费</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核电站乏燃料处理处置基金收入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可再生能源电价附加收入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船舶油污损害赔偿基金收入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废弃电器电子产品处理基金收入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税务部门征收的废弃电器电子产品处理基金收入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海关征收的废弃电器电子产品处理基金收入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污水处理费收入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彩票发行机构和彩票销售机构的业务费用</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福利彩票发行机构的业务费用</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体育彩票发行机构的业务费用</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福利彩票销售机构的业务费用</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体育彩票销售机构的业务费用</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彩票兑奖周转金</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彩票发行销售风险基金</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彩票市场调控资金收入</w:t>
            </w:r>
          </w:p>
        </w:tc>
        <w:tc>
          <w:tcPr>
            <w:tcW w:w="1664" w:type="pct"/>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抗疫特别国债财务基金收入</w:t>
            </w:r>
          </w:p>
        </w:tc>
        <w:tc>
          <w:tcPr>
            <w:tcW w:w="1664" w:type="pct"/>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耕地保护考核奖惩基金收入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超长期特别国债财务基金收入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专项债务对应项目专项收入</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12,082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海南省高等级公路车辆通行附加费专项债务对应项目专项收入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国家电影事业发展专项资金专项债务对应项目专项收入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国有土地使用权出让金专项债务对应项目专项收入  </w:t>
            </w:r>
          </w:p>
        </w:tc>
        <w:tc>
          <w:tcPr>
            <w:tcW w:w="1664"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土地储备专项债券对应项目专项收入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棚户区改造专项债券对应项目专项收入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其他国有土地使用权出让金专项债务对应项目专项收入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农业土地开发资金专项债务对应项目专项收入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大中型水库库区基金专项债务对应项目专项收入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城市基础设施配套费专项债务对应项目专项收入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小型水库移民扶助基金专项债务对应项目专项收入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国家重大水利工程建设基金专项债务对应项目专项收入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车辆通行费专项债务对应项目专项收入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政府收费公路专项债券对应项目专项收入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其他车辆通行费专项债务对应项目专项收入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污水处理费专项债务对应项目专项收入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其他政府性基金专项债务对应项目专项收入  </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auto"/>
                <w:kern w:val="0"/>
                <w:sz w:val="21"/>
                <w:szCs w:val="21"/>
                <w:u w:val="none"/>
                <w:lang w:val="en-US" w:eastAsia="zh-CN" w:bidi="ar"/>
              </w:rPr>
            </w:pPr>
            <w:r>
              <w:rPr>
                <w:rFonts w:hint="eastAsia" w:ascii="仿宋_GB2312" w:hAnsi="仿宋_GB2312" w:eastAsia="仿宋_GB2312" w:cs="仿宋_GB2312"/>
                <w:b/>
                <w:bCs/>
                <w:color w:val="auto"/>
                <w:kern w:val="0"/>
                <w:sz w:val="21"/>
                <w:szCs w:val="21"/>
                <w:lang w:bidi="ar"/>
              </w:rPr>
              <w:t>合   计</w:t>
            </w:r>
          </w:p>
        </w:tc>
        <w:tc>
          <w:tcPr>
            <w:tcW w:w="1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i w:val="0"/>
                <w:color w:val="auto"/>
                <w:kern w:val="0"/>
                <w:sz w:val="21"/>
                <w:szCs w:val="21"/>
                <w:u w:val="none"/>
                <w:lang w:val="en-US" w:eastAsia="zh-CN" w:bidi="ar"/>
              </w:rPr>
              <w:t>139585</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numPr>
          <w:ilvl w:val="0"/>
          <w:numId w:val="7"/>
        </w:numPr>
        <w:spacing w:before="156" w:beforeLines="50" w:after="156" w:afterLines="50"/>
        <w:ind w:left="0" w:leftChars="0" w:firstLine="642" w:firstLineChars="200"/>
        <w:rPr>
          <w:color w:val="auto"/>
          <w:lang w:eastAsia="zh-Hans"/>
        </w:rPr>
      </w:pPr>
      <w:bookmarkStart w:id="18" w:name="_Toc25103"/>
      <w:r>
        <w:rPr>
          <w:color w:val="auto"/>
          <w:lang w:eastAsia="zh-Hans"/>
        </w:rPr>
        <w:t>政府性基金</w:t>
      </w:r>
      <w:r>
        <w:rPr>
          <w:rFonts w:hint="eastAsia"/>
          <w:color w:val="auto"/>
          <w:lang w:eastAsia="zh-Hans"/>
        </w:rPr>
        <w:t>预算</w:t>
      </w:r>
      <w:r>
        <w:rPr>
          <w:color w:val="auto"/>
          <w:lang w:eastAsia="zh-Hans"/>
        </w:rPr>
        <w:t>支出</w:t>
      </w:r>
      <w:r>
        <w:rPr>
          <w:rFonts w:hint="eastAsia"/>
          <w:color w:val="auto"/>
          <w:lang w:eastAsia="zh-Hans"/>
        </w:rPr>
        <w:t>决算</w:t>
      </w:r>
      <w:r>
        <w:rPr>
          <w:color w:val="auto"/>
          <w:lang w:eastAsia="zh-Hans"/>
        </w:rPr>
        <w:t>表</w:t>
      </w:r>
      <w:bookmarkEnd w:id="18"/>
    </w:p>
    <w:tbl>
      <w:tblPr>
        <w:tblStyle w:val="15"/>
        <w:tblW w:w="9270" w:type="dxa"/>
        <w:tblInd w:w="-3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75"/>
        <w:gridCol w:w="2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9270"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2024年度和田地区政府性基金预算支出决算表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927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auto"/>
                <w:sz w:val="18"/>
                <w:szCs w:val="18"/>
                <w:u w:val="none"/>
              </w:rPr>
            </w:pPr>
            <w:r>
              <w:rPr>
                <w:rFonts w:hint="eastAsia" w:ascii="仿宋_GB2312" w:hAnsi="宋体" w:eastAsia="仿宋_GB2312" w:cs="仿宋_GB2312"/>
                <w:b/>
                <w:bCs/>
                <w:i w:val="0"/>
                <w:iCs w:val="0"/>
                <w:color w:val="auto"/>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blHeader/>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预算科目</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其他旅游发展基金支出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节能环保支出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水污染综合治理</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应对气候变化</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“三北”工程建设</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其他节能环保支出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城乡社区支出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国有土地使用权出让收入安排的支出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41,610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征地和拆迁补偿支出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土地开发支出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城市建设支出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农村基础设施建设支出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补助被征地农民支出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土地出让业务支出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廉租住房支出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支付破产或改制企业职工安置费</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公共租赁住房支出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保障性住房租金补贴</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农业生产发展支出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农村社会事业支出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农业农村生态环境支出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其他国有土地使用权出让收入安排的支出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国有土地收益基金安排的支出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征地和拆迁补偿支出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土地开发支出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其他国有土地收益基金支出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农业土地开发资金安排的支出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城市基础设施配套费安排的支出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城市公共设施</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城市环境卫生</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公有房屋</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城市防洪</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其他城市基础设施配套费安排的支出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污水处理费安排的支出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污水处理设施建设和运营</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代征手续费</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其他污水处理费安排的支出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土地储备专项债券收入安排的支出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征地和拆迁补偿支出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土地开发支出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其他土地储备专项债券收入安排的支出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棚户区改造专项债券收入安排的支出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征地和拆迁补偿支出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土地开发支出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其他棚户区改造专项债券收入安排的支出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城乡社区公共设施</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其他城乡社区支出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农林水支出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资源勘探工业信息等支出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农网还贷资金支出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资源勘探开发</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制造业</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其他资源勘探工业信息等支出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其他支出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290,284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其他政府性基金及对应专项债务收入安排的支出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277,193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277,193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其他政府性基金债务收入安排的支出  </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彩票发行销售机构业务费安排的支出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福利彩票发行机构的业务费支出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体育彩票发行机构的业务费支出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福利彩票销售机构的业务费支出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体育彩票销售机构的业务费支出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彩票兑奖周转金支出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彩票发行销售风险基金支出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彩票市场调控资金支出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其他彩票发行销售机构业务费安排的支出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抗疫特别国债财务基金支出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抗疫特别国债经营基金支出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超长期特别国债财务基金支出(款)</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超长期特别国债财务基金支出(项)</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彩票公益金安排的支出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用于补充全国社会保障基金的彩票公益金支出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用于社会福利的彩票公益金支出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用于体育事业的彩票公益金支出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用于教育事业的彩票公益金支出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用于红十字事业的彩票公益金支出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用于残疾人事业的彩票公益金支出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用于文化事业的彩票公益金支出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用于巩固脱贫攻坚成果衔接乡村振兴的彩票公益金支出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用于法律援助的彩票公益金支出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用于城乡医疗救助的彩票公益金支出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用于其他社会公益事业的彩票公益金支出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超长期特别国债安排的其他支出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92,218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地方政府专项债务付息支出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92,218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海南省高等级公路车辆通行附加费债务付息支出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国家电影事业发展专项资金债务付息支出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国有土地使用权出让金债务付息支出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棚户区改造专项债券付息支出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16,633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72,868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其他政府性基金债务付息支出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地方政府专项债务发行费用支出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海南省高等级公路车辆通行附加费债务发行费用支出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国家电影事业发展专项资金债务发行费用支出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国有土地使用权出让金债务发行费用支出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棚户区改造专项债券发行费用支出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其他政府性基金债务发行费用支出</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6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合计</w:t>
            </w:r>
          </w:p>
        </w:tc>
        <w:tc>
          <w:tcPr>
            <w:tcW w:w="2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469,944</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numPr>
          <w:ilvl w:val="0"/>
          <w:numId w:val="7"/>
        </w:numPr>
        <w:spacing w:before="156" w:beforeLines="50" w:after="156" w:afterLines="50"/>
        <w:ind w:left="0" w:leftChars="0" w:firstLine="642" w:firstLineChars="200"/>
        <w:rPr>
          <w:color w:val="auto"/>
          <w:lang w:eastAsia="zh-Hans"/>
        </w:rPr>
      </w:pPr>
      <w:bookmarkStart w:id="19" w:name="_Toc22810"/>
      <w:r>
        <w:rPr>
          <w:color w:val="auto"/>
          <w:lang w:eastAsia="zh-Hans"/>
        </w:rPr>
        <w:t>政府性基金</w:t>
      </w:r>
      <w:r>
        <w:rPr>
          <w:rFonts w:hint="eastAsia"/>
          <w:color w:val="auto"/>
          <w:lang w:eastAsia="zh-Hans"/>
        </w:rPr>
        <w:t>预算（本级）</w:t>
      </w:r>
      <w:r>
        <w:rPr>
          <w:color w:val="auto"/>
          <w:lang w:eastAsia="zh-Hans"/>
        </w:rPr>
        <w:t>收入</w:t>
      </w:r>
      <w:r>
        <w:rPr>
          <w:rFonts w:hint="eastAsia"/>
          <w:color w:val="auto"/>
          <w:lang w:eastAsia="zh-Hans"/>
        </w:rPr>
        <w:t>决算</w:t>
      </w:r>
      <w:r>
        <w:rPr>
          <w:color w:val="auto"/>
          <w:lang w:eastAsia="zh-Hans"/>
        </w:rPr>
        <w:t>表</w:t>
      </w:r>
      <w:bookmarkEnd w:id="19"/>
    </w:p>
    <w:tbl>
      <w:tblPr>
        <w:tblStyle w:val="15"/>
        <w:tblW w:w="5386" w:type="pct"/>
        <w:tblInd w:w="-2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32"/>
        <w:gridCol w:w="2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2024年度和田地区政府性基金预算（本级）收入决算表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5000" w:type="pct"/>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预算科目</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政府性基金收入(款)</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彩票公益金收入</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福利彩票公益金收入</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5,078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体育彩票公益金收入</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彩票发行机构和彩票销售机构的业务费用</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福利彩票发行机构的业务费用</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体育彩票发行机构的业务费用</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福利彩票销售机构的业务费用</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专项债务对应项目专项收入</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其他政府性基金专项债务对应项目专项收入  </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其他地方自行试点项目收益专项债券对应项目专项收入  </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其他政府性基金专项债务对应项目专项收入  </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3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合计</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8,139</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numPr>
          <w:ilvl w:val="0"/>
          <w:numId w:val="7"/>
        </w:numPr>
        <w:spacing w:before="156" w:beforeLines="50" w:after="156" w:afterLines="50"/>
        <w:ind w:left="0" w:leftChars="0" w:firstLine="642" w:firstLineChars="200"/>
        <w:rPr>
          <w:rFonts w:hint="eastAsia"/>
          <w:color w:val="auto"/>
          <w:lang w:eastAsia="zh-Hans"/>
        </w:rPr>
      </w:pPr>
      <w:bookmarkStart w:id="20" w:name="_Toc28403"/>
      <w:r>
        <w:rPr>
          <w:color w:val="auto"/>
          <w:lang w:eastAsia="zh-Hans"/>
        </w:rPr>
        <w:t>政府性基金</w:t>
      </w:r>
      <w:r>
        <w:rPr>
          <w:rFonts w:hint="eastAsia"/>
          <w:color w:val="auto"/>
          <w:lang w:eastAsia="zh-Hans"/>
        </w:rPr>
        <w:t>预算（</w:t>
      </w:r>
      <w:r>
        <w:rPr>
          <w:color w:val="auto"/>
          <w:lang w:eastAsia="zh-Hans"/>
        </w:rPr>
        <w:t>本级</w:t>
      </w:r>
      <w:r>
        <w:rPr>
          <w:rFonts w:hint="eastAsia"/>
          <w:color w:val="auto"/>
          <w:lang w:eastAsia="zh-Hans"/>
        </w:rPr>
        <w:t>）</w:t>
      </w:r>
      <w:r>
        <w:rPr>
          <w:color w:val="auto"/>
          <w:lang w:eastAsia="zh-Hans"/>
        </w:rPr>
        <w:t>支出</w:t>
      </w:r>
      <w:r>
        <w:rPr>
          <w:rFonts w:hint="eastAsia"/>
          <w:color w:val="auto"/>
          <w:lang w:eastAsia="zh-Hans"/>
        </w:rPr>
        <w:t>决算表</w:t>
      </w:r>
      <w:bookmarkEnd w:id="20"/>
    </w:p>
    <w:tbl>
      <w:tblPr>
        <w:tblStyle w:val="15"/>
        <w:tblW w:w="9300" w:type="dxa"/>
        <w:tblInd w:w="-3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45"/>
        <w:gridCol w:w="26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blHeader/>
        </w:trPr>
        <w:tc>
          <w:tcPr>
            <w:tcW w:w="9300"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2024年度和田地区政府性基金预算（本级）支出决算表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930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blHeader/>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预算科目</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节能环保支出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水污染综合治理</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应对气候变化</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“三北”工程建设</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其他节能环保支出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资源勘探工业信息等支出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农网还贷资金支出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中央农网还贷资金支出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地方农网还贷资金支出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其他农网还贷资金支出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资源勘探开发</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制造业</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工业和信息产业</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其他资源勘探工业信息等支出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金融支出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金融调控支出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中央特别国债经营基金支出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中央特别国债经营基金财务支出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自然资源海洋气象等支出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耕地保护考核奖惩基金支出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耕地保护</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补充耕地</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住房保障支出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保障性租赁住房</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其他住房保障支出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粮油物资储备支出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设施建设</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其他粮油物资储备支出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灾害防治及应急管理支出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用超长期特别国债收入安排的支出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自然灾害防治</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自然灾害恢复重建支出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用超长期特别国债收入安排的其他灾害防治及应急管理支出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其他支出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其他政府性基金及对应专项债务收入安排的支出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其他政府性基金安排的支出  </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其他地方自行试点项目收益专项债券收入安排的支出  </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其他政府性基金债务收入安排的支出  </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彩票发行销售机构业务费安排的支出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福利彩票发行机构的业务费支出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体育彩票发行机构的业务费支出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福利彩票销售机构的业务费支出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体育彩票销售机构的业务费支出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彩票兑奖周转金支出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彩票发行销售风险基金支出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彩票市场调控资金支出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其他彩票发行销售机构业务费安排的支出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抗疫特别国债财务基金支出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抗疫特别国债经营基金支出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超长期特别国债财务基金支出(款)</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超长期特别国债财务基金支出(项)</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彩票公益金安排的支出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用于补充全国社会保障基金的彩票公益金支出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用于社会福利的彩票公益金支出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2,563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用于体育事业的彩票公益金支出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用于教育事业的彩票公益金支出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用于红十字事业的彩票公益金支出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用于残疾人事业的彩票公益金支出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用于文化事业的彩票公益金支出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用于巩固脱贫攻坚成果衔接乡村振兴的彩票公益金支出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用于法律援助的彩票公益金支出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用于城乡医疗救助的彩票公益金支出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用于其他社会公益事业的彩票公益金支出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超长期特别国债安排的其他支出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债务付息支出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地方政府专项债务付息支出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国有土地使用权出让金债务付息支出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债务发行费用支出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地方政府专项债务发行费用支出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其他地方自行试点项目收益专项债券发行费用支出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其他政府性基金债务发行费用支出</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合计</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16,200</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3"/>
        <w:spacing w:before="156" w:beforeLines="50" w:after="156" w:afterLines="50"/>
        <w:rPr>
          <w:rFonts w:hint="eastAsia"/>
          <w:b/>
          <w:bCs/>
          <w:color w:val="auto"/>
        </w:rPr>
      </w:pPr>
      <w:bookmarkStart w:id="21" w:name="_Toc622"/>
      <w:r>
        <w:rPr>
          <w:b/>
          <w:bCs/>
          <w:color w:val="auto"/>
          <w:lang w:eastAsia="zh-Hans"/>
        </w:rPr>
        <w:t>第</w:t>
      </w:r>
      <w:r>
        <w:rPr>
          <w:rFonts w:hint="eastAsia"/>
          <w:b/>
          <w:bCs/>
          <w:color w:val="auto"/>
          <w:lang w:eastAsia="zh-Hans"/>
        </w:rPr>
        <w:t>四</w:t>
      </w:r>
      <w:r>
        <w:rPr>
          <w:b/>
          <w:bCs/>
          <w:color w:val="auto"/>
          <w:lang w:eastAsia="zh-Hans"/>
        </w:rPr>
        <w:t>部分</w:t>
      </w:r>
      <w:r>
        <w:rPr>
          <w:rFonts w:hint="eastAsia"/>
          <w:b/>
          <w:bCs/>
          <w:color w:val="auto"/>
          <w:lang w:eastAsia="zh-Hans"/>
        </w:rPr>
        <w:t>：国有资本经营预算</w:t>
      </w:r>
      <w:r>
        <w:rPr>
          <w:rFonts w:hint="eastAsia"/>
          <w:b/>
          <w:bCs/>
          <w:color w:val="auto"/>
        </w:rPr>
        <w:t>决算情况</w:t>
      </w:r>
      <w:bookmarkEnd w:id="21"/>
    </w:p>
    <w:p>
      <w:pPr>
        <w:pStyle w:val="5"/>
        <w:numPr>
          <w:ilvl w:val="0"/>
          <w:numId w:val="8"/>
        </w:numPr>
        <w:spacing w:before="156" w:beforeLines="50" w:after="156" w:afterLines="50"/>
        <w:rPr>
          <w:color w:val="auto"/>
          <w:lang w:eastAsia="zh-Hans"/>
        </w:rPr>
      </w:pPr>
      <w:bookmarkStart w:id="22" w:name="_Toc14108"/>
      <w:r>
        <w:rPr>
          <w:color w:val="auto"/>
          <w:lang w:eastAsia="zh-Hans"/>
        </w:rPr>
        <w:t>国有资本经营预算收入</w:t>
      </w:r>
      <w:r>
        <w:rPr>
          <w:rFonts w:hint="eastAsia"/>
          <w:color w:val="auto"/>
          <w:lang w:eastAsia="zh-Hans"/>
        </w:rPr>
        <w:t>决算</w:t>
      </w:r>
      <w:r>
        <w:rPr>
          <w:color w:val="auto"/>
          <w:lang w:eastAsia="zh-Hans"/>
        </w:rPr>
        <w:t>表</w:t>
      </w:r>
      <w:bookmarkEnd w:id="22"/>
    </w:p>
    <w:tbl>
      <w:tblPr>
        <w:tblStyle w:val="15"/>
        <w:tblW w:w="5482" w:type="pct"/>
        <w:tblInd w:w="-4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54"/>
        <w:gridCol w:w="2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Header/>
        </w:trPr>
        <w:tc>
          <w:tcPr>
            <w:tcW w:w="5000" w:type="pct"/>
            <w:gridSpan w:val="2"/>
            <w:tcBorders>
              <w:top w:val="nil"/>
              <w:left w:val="nil"/>
              <w:bottom w:val="nil"/>
              <w:right w:val="single" w:color="000000" w:sz="4"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2024年度和田地区国有资本经营预算收入决算表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5000" w:type="pct"/>
            <w:gridSpan w:val="2"/>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预算科目</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利润收入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其他国有资本经营预算企业利润收入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股利、股息收入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国有控股公司股利、股息收入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国有参股公司股利、股息收入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金融企业股利、股息收入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其他国有资本经营预算企业股利、股息收入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产权转让收入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国有股减持收入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国有股权、股份转让收入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国有独资企业产权转让收入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金融企业产权转让收入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其他国有资本经营预算企业产权转让收入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清算收入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国有股权、股份清算收入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国有独资企业清算收入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其他国有资本经营预算企业清算收入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其他国有资本经营预算收入</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收 入 合 计</w:t>
            </w:r>
          </w:p>
        </w:tc>
        <w:tc>
          <w:tcPr>
            <w:tcW w:w="1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3,072</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firstLine="642" w:firstLineChars="200"/>
        <w:rPr>
          <w:color w:val="auto"/>
          <w:lang w:eastAsia="zh-Hans"/>
        </w:rPr>
      </w:pPr>
      <w:bookmarkStart w:id="23" w:name="_Toc16676"/>
      <w:r>
        <w:rPr>
          <w:rFonts w:hint="eastAsia"/>
          <w:color w:val="auto"/>
          <w:lang w:eastAsia="zh-Hans"/>
        </w:rPr>
        <w:t>二、</w:t>
      </w:r>
      <w:r>
        <w:rPr>
          <w:color w:val="auto"/>
          <w:lang w:eastAsia="zh-Hans"/>
        </w:rPr>
        <w:t>国有资本经营预算支出</w:t>
      </w:r>
      <w:r>
        <w:rPr>
          <w:rFonts w:hint="eastAsia"/>
          <w:color w:val="auto"/>
          <w:lang w:eastAsia="zh-Hans"/>
        </w:rPr>
        <w:t>决算</w:t>
      </w:r>
      <w:r>
        <w:rPr>
          <w:color w:val="auto"/>
          <w:lang w:eastAsia="zh-Hans"/>
        </w:rPr>
        <w:t>表</w:t>
      </w:r>
      <w:bookmarkEnd w:id="23"/>
    </w:p>
    <w:tbl>
      <w:tblPr>
        <w:tblStyle w:val="15"/>
        <w:tblW w:w="83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40"/>
        <w:gridCol w:w="2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370"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2024年度和田地区国有资本经营预算支出决算表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预算科目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补充全国社会保障基金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国有资本经营预算补充社保基金支出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解决历史遗留问题及改革成本支出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国有企业退休人员社会化管理补助支出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其他解决历史遗留问题及改革成本支出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国有企业资本金注入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其他国有企业资本金注入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国有企业政策性补贴(款)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国有企业政策性补贴(项)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其他国有资本经营预算支出(款)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其他国有资本经营预算支出(项)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支 出 合 计</w:t>
            </w:r>
          </w:p>
        </w:tc>
        <w:tc>
          <w:tcPr>
            <w:tcW w:w="2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1,701</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firstLine="642" w:firstLineChars="200"/>
        <w:rPr>
          <w:color w:val="auto"/>
          <w:lang w:eastAsia="zh-Hans"/>
        </w:rPr>
      </w:pPr>
      <w:bookmarkStart w:id="24" w:name="_Toc2688"/>
      <w:r>
        <w:rPr>
          <w:rFonts w:hint="eastAsia"/>
          <w:color w:val="auto"/>
        </w:rPr>
        <w:t>三、</w:t>
      </w:r>
      <w:r>
        <w:rPr>
          <w:color w:val="auto"/>
          <w:lang w:eastAsia="zh-Hans"/>
        </w:rPr>
        <w:t>国有资本经营预算</w:t>
      </w:r>
      <w:r>
        <w:rPr>
          <w:rFonts w:hint="eastAsia"/>
          <w:color w:val="auto"/>
          <w:lang w:eastAsia="zh-Hans"/>
        </w:rPr>
        <w:t>收支决算总</w:t>
      </w:r>
      <w:r>
        <w:rPr>
          <w:color w:val="auto"/>
          <w:lang w:eastAsia="zh-Hans"/>
        </w:rPr>
        <w:t>表</w:t>
      </w:r>
      <w:bookmarkEnd w:id="24"/>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83"/>
        <w:gridCol w:w="1694"/>
        <w:gridCol w:w="2681"/>
        <w:gridCol w:w="1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2024年度和田地区国有资本经营预算收支决算总表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预算科目</w:t>
            </w:r>
          </w:p>
        </w:tc>
        <w:tc>
          <w:tcPr>
            <w:tcW w:w="9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决算数</w:t>
            </w:r>
          </w:p>
        </w:tc>
        <w:tc>
          <w:tcPr>
            <w:tcW w:w="15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预算科目</w:t>
            </w:r>
          </w:p>
        </w:tc>
        <w:tc>
          <w:tcPr>
            <w:tcW w:w="9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收 入 合 计</w:t>
            </w:r>
          </w:p>
        </w:tc>
        <w:tc>
          <w:tcPr>
            <w:tcW w:w="9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3,072</w:t>
            </w: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支 出 合 计</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上级补助收入</w:t>
            </w:r>
          </w:p>
        </w:tc>
        <w:tc>
          <w:tcPr>
            <w:tcW w:w="9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24</w:t>
            </w: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上解上级支出</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上年结余收入</w:t>
            </w:r>
          </w:p>
        </w:tc>
        <w:tc>
          <w:tcPr>
            <w:tcW w:w="9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6545</w:t>
            </w:r>
          </w:p>
        </w:tc>
        <w:tc>
          <w:tcPr>
            <w:tcW w:w="1573"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仿宋_GB2312" w:hAnsi="仿宋_GB2312" w:eastAsia="仿宋_GB2312" w:cs="仿宋_GB2312"/>
                <w:i w:val="0"/>
                <w:iCs w:val="0"/>
                <w:color w:val="auto"/>
                <w:sz w:val="21"/>
                <w:szCs w:val="21"/>
                <w:u w:val="none"/>
              </w:rPr>
            </w:pPr>
          </w:p>
        </w:tc>
        <w:tc>
          <w:tcPr>
            <w:tcW w:w="973" w:type="pct"/>
            <w:tcBorders>
              <w:top w:val="nil"/>
              <w:left w:val="single" w:color="000000" w:sz="8" w:space="0"/>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省补助计划单列市收入</w:t>
            </w:r>
          </w:p>
        </w:tc>
        <w:tc>
          <w:tcPr>
            <w:tcW w:w="994" w:type="pct"/>
            <w:tcBorders>
              <w:top w:val="nil"/>
              <w:left w:val="single" w:color="000000" w:sz="8" w:space="0"/>
              <w:bottom w:val="single" w:color="000000" w:sz="8" w:space="0"/>
              <w:right w:val="single" w:color="000000" w:sz="8"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计划单列市上解省支出</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auto"/>
                <w:sz w:val="21"/>
                <w:szCs w:val="21"/>
                <w:u w:val="none"/>
              </w:rPr>
            </w:pPr>
          </w:p>
        </w:tc>
        <w:tc>
          <w:tcPr>
            <w:tcW w:w="994" w:type="pct"/>
            <w:tcBorders>
              <w:top w:val="nil"/>
              <w:left w:val="single" w:color="000000" w:sz="8" w:space="0"/>
              <w:bottom w:val="single" w:color="000000" w:sz="8" w:space="0"/>
              <w:right w:val="single" w:color="000000" w:sz="8"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调出资金</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auto"/>
                <w:sz w:val="21"/>
                <w:szCs w:val="21"/>
                <w:u w:val="none"/>
              </w:rPr>
            </w:pPr>
          </w:p>
        </w:tc>
        <w:tc>
          <w:tcPr>
            <w:tcW w:w="994" w:type="pct"/>
            <w:tcBorders>
              <w:top w:val="nil"/>
              <w:left w:val="single" w:color="000000" w:sz="8" w:space="0"/>
              <w:bottom w:val="single" w:color="000000" w:sz="8" w:space="0"/>
              <w:right w:val="single" w:color="000000" w:sz="8"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年终结余</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6,779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收  入  总  计</w:t>
            </w:r>
          </w:p>
        </w:tc>
        <w:tc>
          <w:tcPr>
            <w:tcW w:w="9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9,641</w:t>
            </w:r>
          </w:p>
        </w:tc>
        <w:tc>
          <w:tcPr>
            <w:tcW w:w="15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支  出  总  计</w:t>
            </w:r>
          </w:p>
        </w:tc>
        <w:tc>
          <w:tcPr>
            <w:tcW w:w="97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9,641</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left="643"/>
        <w:rPr>
          <w:color w:val="auto"/>
          <w:lang w:eastAsia="zh-Hans"/>
        </w:rPr>
      </w:pPr>
      <w:bookmarkStart w:id="25" w:name="_Toc6402"/>
      <w:r>
        <w:rPr>
          <w:rFonts w:hint="eastAsia"/>
          <w:color w:val="auto"/>
          <w:lang w:eastAsia="zh-Hans"/>
        </w:rPr>
        <w:t>四、</w:t>
      </w:r>
      <w:r>
        <w:rPr>
          <w:color w:val="auto"/>
          <w:lang w:eastAsia="zh-Hans"/>
        </w:rPr>
        <w:t>国有资本经营预算</w:t>
      </w:r>
      <w:r>
        <w:rPr>
          <w:rFonts w:hint="eastAsia"/>
          <w:color w:val="auto"/>
          <w:lang w:eastAsia="zh-Hans"/>
        </w:rPr>
        <w:t>（</w:t>
      </w:r>
      <w:r>
        <w:rPr>
          <w:color w:val="auto"/>
          <w:lang w:eastAsia="zh-Hans"/>
        </w:rPr>
        <w:t>本级</w:t>
      </w:r>
      <w:r>
        <w:rPr>
          <w:rFonts w:hint="eastAsia"/>
          <w:color w:val="auto"/>
          <w:lang w:eastAsia="zh-Hans"/>
        </w:rPr>
        <w:t>）</w:t>
      </w:r>
      <w:r>
        <w:rPr>
          <w:color w:val="auto"/>
          <w:lang w:eastAsia="zh-Hans"/>
        </w:rPr>
        <w:t>收入</w:t>
      </w:r>
      <w:r>
        <w:rPr>
          <w:rFonts w:hint="eastAsia"/>
          <w:color w:val="auto"/>
          <w:lang w:eastAsia="zh-Hans"/>
        </w:rPr>
        <w:t>决算</w:t>
      </w:r>
      <w:r>
        <w:rPr>
          <w:color w:val="auto"/>
          <w:lang w:eastAsia="zh-Hans"/>
        </w:rPr>
        <w:t>表</w:t>
      </w:r>
      <w:bookmarkEnd w:id="25"/>
    </w:p>
    <w:tbl>
      <w:tblPr>
        <w:tblStyle w:val="15"/>
        <w:tblW w:w="5482" w:type="pct"/>
        <w:tblInd w:w="-4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25"/>
        <w:gridCol w:w="3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2024年度和田地区国有资本经营预算（本级）收入决算表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3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预算科目</w:t>
            </w:r>
          </w:p>
        </w:tc>
        <w:tc>
          <w:tcPr>
            <w:tcW w:w="1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其他国有资本经营预算收入</w:t>
            </w:r>
          </w:p>
        </w:tc>
        <w:tc>
          <w:tcPr>
            <w:tcW w:w="1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本 年 收 入 合 计</w:t>
            </w:r>
          </w:p>
        </w:tc>
        <w:tc>
          <w:tcPr>
            <w:tcW w:w="1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1,838</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pPr>
    </w:p>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left="643"/>
        <w:rPr>
          <w:color w:val="auto"/>
          <w:lang w:eastAsia="zh-Hans"/>
        </w:rPr>
      </w:pPr>
      <w:bookmarkStart w:id="26" w:name="_Toc2794"/>
      <w:r>
        <w:rPr>
          <w:rFonts w:hint="eastAsia"/>
          <w:color w:val="auto"/>
          <w:lang w:eastAsia="zh-Hans"/>
        </w:rPr>
        <w:t>五、</w:t>
      </w:r>
      <w:r>
        <w:rPr>
          <w:color w:val="auto"/>
          <w:lang w:eastAsia="zh-Hans"/>
        </w:rPr>
        <w:t>国有资本经营预算</w:t>
      </w:r>
      <w:r>
        <w:rPr>
          <w:rFonts w:hint="eastAsia"/>
          <w:color w:val="auto"/>
        </w:rPr>
        <w:t>（</w:t>
      </w:r>
      <w:r>
        <w:rPr>
          <w:color w:val="auto"/>
          <w:lang w:eastAsia="zh-Hans"/>
        </w:rPr>
        <w:t>本级</w:t>
      </w:r>
      <w:r>
        <w:rPr>
          <w:rFonts w:hint="eastAsia"/>
          <w:color w:val="auto"/>
        </w:rPr>
        <w:t>）</w:t>
      </w:r>
      <w:r>
        <w:rPr>
          <w:color w:val="auto"/>
          <w:lang w:eastAsia="zh-Hans"/>
        </w:rPr>
        <w:t>支出</w:t>
      </w:r>
      <w:r>
        <w:rPr>
          <w:rFonts w:hint="eastAsia"/>
          <w:color w:val="auto"/>
          <w:lang w:eastAsia="zh-Hans"/>
        </w:rPr>
        <w:t>决算</w:t>
      </w:r>
      <w:r>
        <w:rPr>
          <w:color w:val="auto"/>
          <w:lang w:eastAsia="zh-Hans"/>
        </w:rPr>
        <w:t>表</w:t>
      </w:r>
      <w:bookmarkEnd w:id="26"/>
    </w:p>
    <w:tbl>
      <w:tblPr>
        <w:tblStyle w:val="15"/>
        <w:tblW w:w="5430" w:type="pct"/>
        <w:tblInd w:w="-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43"/>
        <w:gridCol w:w="31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2024年度和田地区国有资本经营预算（本级）支出</w:t>
            </w:r>
            <w:r>
              <w:rPr>
                <w:rStyle w:val="24"/>
                <w:rFonts w:hAnsi="宋体"/>
                <w:color w:val="auto"/>
                <w:lang w:val="en-US" w:eastAsia="zh-CN" w:bidi="ar"/>
              </w:rPr>
              <w:t>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预算科目</w:t>
            </w:r>
          </w:p>
        </w:tc>
        <w:tc>
          <w:tcPr>
            <w:tcW w:w="1680"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0"/>
                <w:szCs w:val="20"/>
                <w:u w:val="none"/>
              </w:rPr>
            </w:pPr>
            <w:r>
              <w:rPr>
                <w:rFonts w:hint="eastAsia" w:ascii="仿宋_GB2312" w:hAnsi="仿宋_GB2312" w:eastAsia="仿宋_GB2312" w:cs="仿宋_GB2312"/>
                <w:b/>
                <w:bCs/>
                <w:i w:val="0"/>
                <w:iCs w:val="0"/>
                <w:color w:val="auto"/>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国有资本经营预算支出</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国有企业资本金注入</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其他国有企业资本金注入</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国有企业政策性补贴(款)</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国有企业政策性补贴(项)</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其他国有资本经营预算支出(款)</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 xml:space="preserve">    其他国有资本经营预算支出(项)</w:t>
            </w:r>
          </w:p>
        </w:tc>
        <w:tc>
          <w:tcPr>
            <w:tcW w:w="16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0"/>
                <w:szCs w:val="20"/>
                <w:u w:val="none"/>
                <w:lang w:val="en-US" w:eastAsia="zh-CN" w:bidi="ar"/>
              </w:rPr>
              <w:t>本年支出合计</w:t>
            </w:r>
          </w:p>
        </w:tc>
        <w:tc>
          <w:tcPr>
            <w:tcW w:w="1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1030</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left="643"/>
        <w:rPr>
          <w:color w:val="auto"/>
          <w:lang w:eastAsia="zh-Hans"/>
        </w:rPr>
      </w:pPr>
      <w:bookmarkStart w:id="27" w:name="_Toc1364"/>
      <w:r>
        <w:rPr>
          <w:rFonts w:hint="eastAsia"/>
          <w:color w:val="auto"/>
          <w:lang w:eastAsia="zh-Hans"/>
        </w:rPr>
        <w:t>六、国有资本经营预算（本级）收支决算总表</w:t>
      </w:r>
      <w:bookmarkEnd w:id="27"/>
    </w:p>
    <w:tbl>
      <w:tblPr>
        <w:tblStyle w:val="15"/>
        <w:tblW w:w="5465" w:type="pct"/>
        <w:tblInd w:w="-3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63"/>
        <w:gridCol w:w="1543"/>
        <w:gridCol w:w="3150"/>
        <w:gridCol w:w="14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2024年度和田地区国有资本经营预算（本级）收支决算总表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预算科目</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决算数</w:t>
            </w: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预算科目</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收 入 合 计</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仿宋_GB2312" w:hAnsi="仿宋_GB2312" w:eastAsia="仿宋_GB2312" w:cs="仿宋_GB2312"/>
                <w:i w:val="0"/>
                <w:iCs w:val="0"/>
                <w:color w:val="auto"/>
                <w:sz w:val="21"/>
                <w:szCs w:val="21"/>
                <w:u w:val="none"/>
                <w:lang w:val="en-US" w:eastAsia="zh-CN"/>
              </w:rPr>
            </w:pPr>
            <w:r>
              <w:rPr>
                <w:rFonts w:hint="eastAsia" w:ascii="仿宋_GB2312" w:hAnsi="仿宋_GB2312" w:eastAsia="仿宋_GB2312" w:cs="仿宋_GB2312"/>
                <w:i w:val="0"/>
                <w:iCs w:val="0"/>
                <w:color w:val="auto"/>
                <w:sz w:val="21"/>
                <w:szCs w:val="21"/>
                <w:u w:val="none"/>
                <w:lang w:val="en-US" w:eastAsia="zh-CN"/>
              </w:rPr>
              <w:t>1838</w:t>
            </w: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本 年 支 出 合 计</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仿宋_GB2312" w:hAnsi="仿宋_GB2312" w:eastAsia="仿宋_GB2312" w:cs="仿宋_GB2312"/>
                <w:i w:val="0"/>
                <w:iCs w:val="0"/>
                <w:color w:val="auto"/>
                <w:sz w:val="21"/>
                <w:szCs w:val="21"/>
                <w:u w:val="none"/>
                <w:lang w:val="en-US" w:eastAsia="zh-CN"/>
              </w:rPr>
            </w:pPr>
            <w:r>
              <w:rPr>
                <w:rFonts w:hint="eastAsia" w:ascii="仿宋_GB2312" w:hAnsi="仿宋_GB2312" w:eastAsia="仿宋_GB2312" w:cs="仿宋_GB2312"/>
                <w:i w:val="0"/>
                <w:iCs w:val="0"/>
                <w:color w:val="auto"/>
                <w:sz w:val="21"/>
                <w:szCs w:val="21"/>
                <w:u w:val="none"/>
                <w:lang w:val="en-US" w:eastAsia="zh-CN"/>
              </w:rPr>
              <w:t>1054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上级补助收入</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仿宋_GB2312" w:hAnsi="仿宋_GB2312" w:eastAsia="仿宋_GB2312" w:cs="仿宋_GB2312"/>
                <w:i w:val="0"/>
                <w:iCs w:val="0"/>
                <w:color w:val="auto"/>
                <w:sz w:val="21"/>
                <w:szCs w:val="21"/>
                <w:u w:val="none"/>
                <w:lang w:val="en-US" w:eastAsia="zh-CN"/>
              </w:rPr>
            </w:pPr>
            <w:r>
              <w:rPr>
                <w:rFonts w:hint="eastAsia" w:ascii="仿宋_GB2312" w:hAnsi="仿宋_GB2312" w:eastAsia="仿宋_GB2312" w:cs="仿宋_GB2312"/>
                <w:i w:val="0"/>
                <w:iCs w:val="0"/>
                <w:color w:val="auto"/>
                <w:sz w:val="21"/>
                <w:szCs w:val="21"/>
                <w:u w:val="none"/>
                <w:lang w:val="en-US" w:eastAsia="zh-CN"/>
              </w:rPr>
              <w:t>24</w:t>
            </w: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上解上级支出</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上年结余收入</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619</w:t>
            </w: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auto"/>
                <w:sz w:val="21"/>
                <w:szCs w:val="21"/>
                <w:u w:val="none"/>
              </w:rPr>
            </w:pP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省补助计划单列市收入</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计划单列市上解省支出</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1"/>
                <w:szCs w:val="21"/>
                <w:u w:val="none"/>
              </w:rPr>
            </w:pP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调出资金</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1"/>
                <w:szCs w:val="21"/>
                <w:u w:val="none"/>
              </w:rPr>
            </w:pP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年终结余</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仿宋_GB2312" w:hAnsi="仿宋_GB2312" w:eastAsia="仿宋_GB2312" w:cs="仿宋_GB2312"/>
                <w:i w:val="0"/>
                <w:iCs w:val="0"/>
                <w:color w:val="auto"/>
                <w:sz w:val="21"/>
                <w:szCs w:val="21"/>
                <w:u w:val="none"/>
                <w:lang w:val="en-US"/>
              </w:rPr>
            </w:pPr>
            <w:r>
              <w:rPr>
                <w:rFonts w:hint="eastAsia" w:ascii="仿宋_GB2312" w:hAnsi="仿宋_GB2312" w:eastAsia="仿宋_GB2312" w:cs="仿宋_GB2312"/>
                <w:i w:val="0"/>
                <w:iCs w:val="0"/>
                <w:color w:val="auto"/>
                <w:kern w:val="0"/>
                <w:sz w:val="21"/>
                <w:szCs w:val="21"/>
                <w:u w:val="none"/>
                <w:lang w:val="en-US" w:eastAsia="zh-CN" w:bidi="ar"/>
              </w:rPr>
              <w:t>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收  入  总  计</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仿宋_GB2312" w:hAnsi="仿宋_GB2312" w:eastAsia="仿宋_GB2312" w:cs="仿宋_GB2312"/>
                <w:i w:val="0"/>
                <w:iCs w:val="0"/>
                <w:color w:val="auto"/>
                <w:sz w:val="21"/>
                <w:szCs w:val="21"/>
                <w:u w:val="none"/>
                <w:lang w:val="en-US"/>
              </w:rPr>
            </w:pPr>
            <w:r>
              <w:rPr>
                <w:rFonts w:hint="eastAsia" w:ascii="仿宋_GB2312" w:hAnsi="仿宋_GB2312" w:eastAsia="仿宋_GB2312" w:cs="仿宋_GB2312"/>
                <w:i w:val="0"/>
                <w:iCs w:val="0"/>
                <w:color w:val="auto"/>
                <w:kern w:val="0"/>
                <w:sz w:val="21"/>
                <w:szCs w:val="21"/>
                <w:u w:val="none"/>
                <w:lang w:val="en-US" w:eastAsia="zh-CN" w:bidi="ar"/>
              </w:rPr>
              <w:t>2481</w:t>
            </w:r>
          </w:p>
        </w:tc>
        <w:tc>
          <w:tcPr>
            <w:tcW w:w="16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支  出  总  计</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仿宋_GB2312" w:hAnsi="仿宋_GB2312" w:eastAsia="仿宋_GB2312" w:cs="仿宋_GB2312"/>
                <w:i w:val="0"/>
                <w:iCs w:val="0"/>
                <w:color w:val="auto"/>
                <w:sz w:val="21"/>
                <w:szCs w:val="21"/>
                <w:u w:val="none"/>
                <w:lang w:val="en-US"/>
              </w:rPr>
            </w:pPr>
            <w:r>
              <w:rPr>
                <w:rFonts w:hint="eastAsia" w:ascii="仿宋_GB2312" w:hAnsi="仿宋_GB2312" w:eastAsia="仿宋_GB2312" w:cs="仿宋_GB2312"/>
                <w:i w:val="0"/>
                <w:iCs w:val="0"/>
                <w:color w:val="auto"/>
                <w:kern w:val="0"/>
                <w:sz w:val="21"/>
                <w:szCs w:val="21"/>
                <w:u w:val="none"/>
                <w:lang w:val="en-US" w:eastAsia="zh-CN" w:bidi="ar"/>
              </w:rPr>
              <w:t>2481</w:t>
            </w:r>
          </w:p>
        </w:tc>
      </w:tr>
    </w:tbl>
    <w:p>
      <w:pPr>
        <w:pStyle w:val="23"/>
        <w:spacing w:line="360" w:lineRule="auto"/>
        <w:rPr>
          <w:rFonts w:hint="default" w:ascii="仿宋_GB2312" w:hAnsi="仿宋_GB2312" w:eastAsia="仿宋_GB2312" w:cs="仿宋_GB2312"/>
          <w:b w:val="0"/>
          <w:color w:val="auto"/>
          <w:kern w:val="2"/>
          <w:sz w:val="32"/>
          <w:szCs w:val="32"/>
          <w:highlight w:val="none"/>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3"/>
        <w:spacing w:before="156" w:beforeLines="50" w:after="156" w:afterLines="50"/>
        <w:rPr>
          <w:rFonts w:hint="eastAsia"/>
          <w:b/>
          <w:bCs/>
          <w:color w:val="auto"/>
          <w:lang w:eastAsia="zh-Hans"/>
        </w:rPr>
      </w:pPr>
      <w:bookmarkStart w:id="28" w:name="_Toc27744"/>
      <w:r>
        <w:rPr>
          <w:b/>
          <w:bCs/>
          <w:color w:val="auto"/>
          <w:lang w:eastAsia="zh-Hans"/>
        </w:rPr>
        <w:t>第</w:t>
      </w:r>
      <w:r>
        <w:rPr>
          <w:rFonts w:hint="eastAsia"/>
          <w:b/>
          <w:bCs/>
          <w:color w:val="auto"/>
          <w:lang w:eastAsia="zh-Hans"/>
        </w:rPr>
        <w:t>五</w:t>
      </w:r>
      <w:r>
        <w:rPr>
          <w:b/>
          <w:bCs/>
          <w:color w:val="auto"/>
          <w:lang w:eastAsia="zh-Hans"/>
        </w:rPr>
        <w:t>部分</w:t>
      </w:r>
      <w:r>
        <w:rPr>
          <w:rFonts w:hint="eastAsia"/>
          <w:b/>
          <w:bCs/>
          <w:color w:val="auto"/>
          <w:lang w:eastAsia="zh-Hans"/>
        </w:rPr>
        <w:t>：</w:t>
      </w:r>
      <w:r>
        <w:rPr>
          <w:rFonts w:hint="default"/>
          <w:b/>
          <w:bCs/>
          <w:color w:val="auto"/>
          <w:lang w:eastAsia="zh-Hans"/>
        </w:rPr>
        <w:t>社会保险</w:t>
      </w:r>
      <w:r>
        <w:rPr>
          <w:rFonts w:hint="eastAsia"/>
          <w:b/>
          <w:bCs/>
          <w:color w:val="auto"/>
          <w:lang w:eastAsia="zh-Hans"/>
        </w:rPr>
        <w:t>基金预算决算情况</w:t>
      </w:r>
      <w:bookmarkEnd w:id="28"/>
    </w:p>
    <w:p>
      <w:pPr>
        <w:pStyle w:val="5"/>
        <w:numPr>
          <w:ilvl w:val="0"/>
          <w:numId w:val="9"/>
        </w:numPr>
        <w:spacing w:before="156" w:beforeLines="50" w:after="156" w:afterLines="50"/>
        <w:ind w:firstLine="642" w:firstLineChars="200"/>
        <w:rPr>
          <w:color w:val="auto"/>
          <w:lang w:eastAsia="zh-Hans"/>
        </w:rPr>
      </w:pPr>
      <w:bookmarkStart w:id="29" w:name="_Toc8271"/>
      <w:r>
        <w:rPr>
          <w:color w:val="auto"/>
          <w:lang w:eastAsia="zh-Hans"/>
        </w:rPr>
        <w:t>社会保险基金预算收</w:t>
      </w:r>
      <w:r>
        <w:rPr>
          <w:rFonts w:hint="eastAsia"/>
          <w:color w:val="auto"/>
          <w:lang w:eastAsia="zh-Hans"/>
        </w:rPr>
        <w:t>入</w:t>
      </w:r>
      <w:r>
        <w:rPr>
          <w:color w:val="auto"/>
          <w:lang w:eastAsia="zh-Hans"/>
        </w:rPr>
        <w:t>决算表</w:t>
      </w:r>
      <w:bookmarkEnd w:id="29"/>
    </w:p>
    <w:p>
      <w:pPr>
        <w:pStyle w:val="14"/>
        <w:rPr>
          <w:rFonts w:hint="eastAsia"/>
          <w:color w:val="auto"/>
          <w:lang w:eastAsia="zh-Hans"/>
        </w:rPr>
      </w:pPr>
    </w:p>
    <w:tbl>
      <w:tblPr>
        <w:tblStyle w:val="15"/>
        <w:tblW w:w="9375" w:type="dxa"/>
        <w:tblInd w:w="-45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45"/>
        <w:gridCol w:w="30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375"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2024年度和田地区社会保险基金预算收入决算表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37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项目名称</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社会保险基金收入合计</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792572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556845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201142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14743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一、企业职工基本养老保险基金收入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二、机关事业单位基本养老保险基金收入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301203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291891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5686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三、城乡居民基本养老保险收入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69388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17661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42607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四、职工基本医疗保险基金收入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168627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161420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4297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五、城乡居民基本医疗保险收入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253354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85872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158535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2397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六、工伤保险基金收入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七、失业保险基金收入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i w:val="0"/>
                <w:iCs w:val="0"/>
                <w:color w:val="auto"/>
                <w:sz w:val="22"/>
                <w:szCs w:val="22"/>
                <w:u w:val="none"/>
              </w:rPr>
            </w:pPr>
          </w:p>
        </w:tc>
      </w:tr>
    </w:tbl>
    <w:p>
      <w:pPr>
        <w:pStyle w:val="14"/>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9"/>
        </w:numPr>
        <w:spacing w:before="156" w:beforeLines="50" w:after="156" w:afterLines="50"/>
        <w:ind w:left="0" w:leftChars="0" w:firstLine="642" w:firstLineChars="200"/>
        <w:rPr>
          <w:color w:val="auto"/>
          <w:lang w:eastAsia="zh-Hans"/>
        </w:rPr>
      </w:pPr>
      <w:bookmarkStart w:id="30" w:name="_Toc17791"/>
      <w:r>
        <w:rPr>
          <w:color w:val="auto"/>
          <w:lang w:eastAsia="zh-Hans"/>
        </w:rPr>
        <w:t>社会保险基金</w:t>
      </w:r>
      <w:r>
        <w:rPr>
          <w:rFonts w:hint="eastAsia"/>
          <w:color w:val="auto"/>
          <w:highlight w:val="none"/>
          <w:lang w:eastAsia="zh-Hans"/>
        </w:rPr>
        <w:t>预算</w:t>
      </w:r>
      <w:r>
        <w:rPr>
          <w:rFonts w:hint="eastAsia"/>
          <w:color w:val="auto"/>
          <w:lang w:eastAsia="zh-Hans"/>
        </w:rPr>
        <w:t>支出</w:t>
      </w:r>
      <w:r>
        <w:rPr>
          <w:color w:val="auto"/>
          <w:lang w:eastAsia="zh-Hans"/>
        </w:rPr>
        <w:t>决算表</w:t>
      </w:r>
      <w:bookmarkEnd w:id="30"/>
    </w:p>
    <w:p>
      <w:pPr>
        <w:pStyle w:val="14"/>
        <w:rPr>
          <w:rFonts w:hint="eastAsia"/>
          <w:color w:val="auto"/>
          <w:lang w:eastAsia="zh-Hans"/>
        </w:rPr>
      </w:pPr>
    </w:p>
    <w:tbl>
      <w:tblPr>
        <w:tblStyle w:val="15"/>
        <w:tblW w:w="9450" w:type="dxa"/>
        <w:tblInd w:w="-4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45"/>
        <w:gridCol w:w="3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0"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2024年度和田地区社会保险基金预算支出决算表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45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1"/>
                <w:szCs w:val="21"/>
                <w:u w:val="none"/>
              </w:rPr>
            </w:pPr>
            <w:r>
              <w:rPr>
                <w:rFonts w:hint="eastAsia" w:ascii="仿宋_GB2312" w:hAnsi="宋体" w:eastAsia="仿宋_GB2312" w:cs="仿宋_GB2312"/>
                <w:b/>
                <w:bCs/>
                <w:i w:val="0"/>
                <w:iCs w:val="0"/>
                <w:color w:val="auto"/>
                <w:kern w:val="0"/>
                <w:sz w:val="21"/>
                <w:szCs w:val="21"/>
                <w:u w:val="none"/>
                <w:lang w:val="en-US" w:eastAsia="zh-CN" w:bidi="ar"/>
              </w:rPr>
              <w:t>项  目</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1"/>
                <w:szCs w:val="21"/>
                <w:u w:val="none"/>
              </w:rPr>
            </w:pPr>
            <w:r>
              <w:rPr>
                <w:rFonts w:hint="eastAsia" w:ascii="仿宋_GB2312" w:hAnsi="宋体" w:eastAsia="仿宋_GB2312" w:cs="仿宋_GB2312"/>
                <w:b/>
                <w:bCs/>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社会保险基金预算支出合计</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688199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其中：社会保险待遇支出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645863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一、企业职工基本养老保险基金支出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其中：基本养老金</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二、机关事业单位基本养老保险基金支出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232882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其中：基本养老金支出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230762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三、城乡居民基本养老保险基金支出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41025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其中：基础养老金支出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40653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四、职工基本医疗保险基金支出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161699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其中：职工基本医疗保险统筹基金</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114022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职工基本医疗个人账户基金</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42096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五、城乡居民基本医疗保险基金支出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252593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其中：城乡居民基本医疗保险基金医疗待遇支出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218330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城乡居民大病保险支出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29711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六、工伤保险基金支出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其中：工伤保险待遇支出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七、失业保险基金支出</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其中：失业保险金</w:t>
            </w:r>
          </w:p>
        </w:tc>
        <w:tc>
          <w:tcPr>
            <w:tcW w:w="31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bl>
    <w:p>
      <w:pPr>
        <w:pStyle w:val="14"/>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9"/>
        </w:numPr>
        <w:spacing w:before="156" w:beforeLines="50" w:after="156" w:afterLines="50"/>
        <w:ind w:left="0" w:leftChars="0" w:firstLine="642" w:firstLineChars="200"/>
        <w:rPr>
          <w:rFonts w:hint="eastAsia"/>
          <w:color w:val="auto"/>
          <w:lang w:eastAsia="zh-Hans"/>
        </w:rPr>
      </w:pPr>
      <w:bookmarkStart w:id="31" w:name="_Toc24169"/>
      <w:r>
        <w:rPr>
          <w:rFonts w:hint="eastAsia"/>
          <w:color w:val="auto"/>
          <w:lang w:eastAsia="zh-Hans"/>
        </w:rPr>
        <w:t>社会保险基金</w:t>
      </w:r>
      <w:r>
        <w:rPr>
          <w:rFonts w:hint="eastAsia"/>
          <w:color w:val="auto"/>
          <w:highlight w:val="none"/>
          <w:lang w:eastAsia="zh-Hans"/>
        </w:rPr>
        <w:t>预算</w:t>
      </w:r>
      <w:r>
        <w:rPr>
          <w:rFonts w:hint="eastAsia"/>
          <w:color w:val="auto"/>
          <w:lang w:eastAsia="zh-Hans"/>
        </w:rPr>
        <w:t>（本级）收入决算表</w:t>
      </w:r>
      <w:bookmarkEnd w:id="31"/>
    </w:p>
    <w:p>
      <w:pPr>
        <w:pStyle w:val="14"/>
        <w:rPr>
          <w:rFonts w:hint="eastAsia"/>
          <w:color w:val="auto"/>
          <w:lang w:eastAsia="zh-Hans"/>
        </w:rPr>
      </w:pPr>
    </w:p>
    <w:tbl>
      <w:tblPr>
        <w:tblStyle w:val="15"/>
        <w:tblW w:w="5614" w:type="pct"/>
        <w:tblInd w:w="-4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3"/>
        <w:gridCol w:w="2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2024年度和田地区社会保险基金预算（本级）收入决算表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项目名称</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1"/>
                <w:szCs w:val="21"/>
                <w:u w:val="none"/>
              </w:rPr>
            </w:pPr>
            <w:r>
              <w:rPr>
                <w:rFonts w:hint="eastAsia" w:ascii="仿宋_GB2312" w:hAnsi="仿宋_GB2312" w:eastAsia="仿宋_GB2312" w:cs="仿宋_GB2312"/>
                <w:b/>
                <w:bCs/>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社会保险基金预算收入合计</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723184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539184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158535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12379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一、企业职工基本养老保险基金收入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二、机关事业单位基本养老保险基金收入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301203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291891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5686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三、城乡居民基本养老保险收入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四、职工基本医疗保险基金收入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168627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161420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4297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五、城乡居民基本医疗保险收入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253354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85872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158535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2397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六、工伤保险基金收入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七、失业保险基金收入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其中：社会保险费收入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财政补贴收入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仿宋_GB2312"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400"/>
              <w:jc w:val="left"/>
              <w:textAlignment w:val="center"/>
              <w:rPr>
                <w:rFonts w:hint="eastAsia" w:ascii="仿宋_GB2312" w:hAnsi="仿宋_GB2312" w:eastAsia="仿宋_GB2312" w:cs="仿宋_GB2312"/>
                <w:i w:val="0"/>
                <w:iCs w:val="0"/>
                <w:color w:val="auto"/>
                <w:sz w:val="21"/>
                <w:szCs w:val="21"/>
                <w:u w:val="none"/>
              </w:rPr>
            </w:pPr>
            <w:r>
              <w:rPr>
                <w:rFonts w:hint="eastAsia" w:ascii="仿宋_GB2312" w:hAnsi="仿宋_GB2312" w:eastAsia="仿宋_GB2312" w:cs="仿宋_GB2312"/>
                <w:i w:val="0"/>
                <w:iCs w:val="0"/>
                <w:color w:val="auto"/>
                <w:kern w:val="0"/>
                <w:sz w:val="21"/>
                <w:szCs w:val="21"/>
                <w:u w:val="none"/>
                <w:lang w:val="en-US" w:eastAsia="zh-CN" w:bidi="ar"/>
              </w:rPr>
              <w:t>利息收入</w:t>
            </w:r>
          </w:p>
        </w:tc>
        <w:tc>
          <w:tcPr>
            <w:tcW w:w="1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i w:val="0"/>
                <w:iCs w:val="0"/>
                <w:color w:val="auto"/>
                <w:sz w:val="22"/>
                <w:szCs w:val="22"/>
                <w:u w:val="none"/>
              </w:rPr>
            </w:pPr>
          </w:p>
        </w:tc>
      </w:tr>
    </w:tbl>
    <w:p>
      <w:pPr>
        <w:pStyle w:val="14"/>
        <w:rPr>
          <w:rFonts w:hint="eastAsia" w:ascii="仿宋_GB2312" w:hAnsi="仿宋_GB2312" w:eastAsia="仿宋_GB2312" w:cs="仿宋_GB2312"/>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spacing w:before="156" w:beforeLines="50" w:after="156" w:afterLines="50"/>
        <w:ind w:firstLine="642" w:firstLineChars="200"/>
        <w:rPr>
          <w:color w:val="auto"/>
          <w:highlight w:val="yellow"/>
          <w:lang w:eastAsia="zh-Hans"/>
        </w:rPr>
      </w:pPr>
      <w:bookmarkStart w:id="32" w:name="_Toc22505"/>
      <w:r>
        <w:rPr>
          <w:rFonts w:hint="eastAsia"/>
          <w:color w:val="auto"/>
          <w:lang w:eastAsia="zh-Hans"/>
        </w:rPr>
        <w:t>四、社会保险基金</w:t>
      </w:r>
      <w:r>
        <w:rPr>
          <w:rFonts w:hint="eastAsia"/>
          <w:color w:val="auto"/>
          <w:highlight w:val="none"/>
          <w:lang w:eastAsia="zh-Hans"/>
        </w:rPr>
        <w:t>预算</w:t>
      </w:r>
      <w:r>
        <w:rPr>
          <w:rFonts w:hint="eastAsia"/>
          <w:color w:val="auto"/>
          <w:lang w:eastAsia="zh-Hans"/>
        </w:rPr>
        <w:t>（本级）支出决算表</w:t>
      </w:r>
      <w:bookmarkEnd w:id="32"/>
    </w:p>
    <w:p>
      <w:pPr>
        <w:pStyle w:val="14"/>
        <w:rPr>
          <w:rFonts w:hint="eastAsia"/>
          <w:color w:val="auto"/>
          <w:lang w:eastAsia="zh-Hans"/>
        </w:rPr>
      </w:pPr>
    </w:p>
    <w:tbl>
      <w:tblPr>
        <w:tblStyle w:val="15"/>
        <w:tblW w:w="9570" w:type="dxa"/>
        <w:tblInd w:w="-5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30"/>
        <w:gridCol w:w="29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570"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i w:val="0"/>
                <w:iCs w:val="0"/>
                <w:color w:val="auto"/>
                <w:sz w:val="32"/>
                <w:szCs w:val="32"/>
                <w:u w:val="none"/>
              </w:rPr>
            </w:pPr>
            <w:r>
              <w:rPr>
                <w:rFonts w:hint="eastAsia" w:ascii="仿宋_GB2312" w:hAnsi="宋体" w:eastAsia="仿宋_GB2312" w:cs="仿宋_GB2312"/>
                <w:b/>
                <w:bCs/>
                <w:i w:val="0"/>
                <w:iCs w:val="0"/>
                <w:color w:val="auto"/>
                <w:kern w:val="0"/>
                <w:sz w:val="32"/>
                <w:szCs w:val="32"/>
                <w:u w:val="none"/>
                <w:lang w:val="en-US" w:eastAsia="zh-CN" w:bidi="ar"/>
              </w:rPr>
              <w:t>2024年度和田地区社会保险基金预算（本级）支出决算表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57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1"/>
                <w:szCs w:val="21"/>
                <w:u w:val="none"/>
              </w:rPr>
            </w:pPr>
            <w:r>
              <w:rPr>
                <w:rFonts w:hint="eastAsia" w:ascii="仿宋_GB2312" w:hAnsi="宋体" w:eastAsia="仿宋_GB2312" w:cs="仿宋_GB2312"/>
                <w:b/>
                <w:bCs/>
                <w:i w:val="0"/>
                <w:iCs w:val="0"/>
                <w:color w:val="auto"/>
                <w:kern w:val="0"/>
                <w:sz w:val="21"/>
                <w:szCs w:val="21"/>
                <w:u w:val="none"/>
                <w:lang w:val="en-US" w:eastAsia="zh-CN" w:bidi="ar"/>
              </w:rPr>
              <w:t>项  目</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1"/>
                <w:szCs w:val="21"/>
                <w:u w:val="none"/>
              </w:rPr>
            </w:pPr>
            <w:r>
              <w:rPr>
                <w:rFonts w:hint="eastAsia" w:ascii="仿宋_GB2312" w:hAnsi="宋体" w:eastAsia="仿宋_GB2312" w:cs="仿宋_GB2312"/>
                <w:b/>
                <w:bCs/>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b/>
                <w:bCs/>
                <w:i w:val="0"/>
                <w:iCs w:val="0"/>
                <w:color w:val="auto"/>
                <w:sz w:val="21"/>
                <w:szCs w:val="21"/>
                <w:u w:val="none"/>
              </w:rPr>
            </w:pPr>
            <w:r>
              <w:rPr>
                <w:rFonts w:hint="eastAsia" w:ascii="仿宋_GB2312" w:hAnsi="宋体" w:eastAsia="仿宋_GB2312" w:cs="仿宋_GB2312"/>
                <w:b w:val="0"/>
                <w:bCs w:val="0"/>
                <w:i w:val="0"/>
                <w:iCs w:val="0"/>
                <w:color w:val="auto"/>
                <w:kern w:val="0"/>
                <w:sz w:val="21"/>
                <w:szCs w:val="21"/>
                <w:u w:val="none"/>
                <w:lang w:val="en-US" w:eastAsia="zh-CN" w:bidi="ar"/>
              </w:rPr>
              <w:t>社会保险基金预算支出合计</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647174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其中：社会保险待遇支出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605210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一、企业职工基本养老保险基金支出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其中：基本养老金</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二、机关事业单位基本养老保险基金支出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232882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其中：基本养老金支出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230762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三、城乡居民基本养老保险基金支出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其中：基础养老金支出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四、职工基本医疗保险基金支出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161699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其中：职工基本医疗保险统筹基金</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114022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职工基本医疗个人账户基金</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42096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五、城乡居民基本医疗保险基金支出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252593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其中：城乡居民基本医疗保险基金医疗待遇支出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218330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城乡居民大病保险支出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29711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六、工伤保险基金支出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其中：工伤保险待遇支出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七、失业保险基金支出</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_GB2312" w:hAnsi="宋体" w:eastAsia="仿宋_GB2312" w:cs="仿宋_GB2312"/>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 xml:space="preserve">  其中：失业保险金</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bl>
    <w:p>
      <w:pPr>
        <w:pStyle w:val="14"/>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3"/>
        <w:spacing w:before="156" w:beforeLines="50" w:after="156" w:afterLines="50"/>
        <w:jc w:val="both"/>
        <w:rPr>
          <w:rFonts w:hint="eastAsia"/>
          <w:b/>
          <w:bCs/>
          <w:color w:val="auto"/>
          <w:lang w:eastAsia="zh-Hans"/>
        </w:rPr>
      </w:pPr>
      <w:bookmarkStart w:id="33" w:name="_Toc17825"/>
      <w:r>
        <w:rPr>
          <w:b/>
          <w:bCs/>
          <w:color w:val="auto"/>
          <w:lang w:eastAsia="zh-Hans"/>
        </w:rPr>
        <w:t>第</w:t>
      </w:r>
      <w:r>
        <w:rPr>
          <w:rFonts w:hint="eastAsia"/>
          <w:b/>
          <w:bCs/>
          <w:color w:val="auto"/>
          <w:lang w:eastAsia="zh-Hans"/>
        </w:rPr>
        <w:t>六</w:t>
      </w:r>
      <w:r>
        <w:rPr>
          <w:b/>
          <w:bCs/>
          <w:color w:val="auto"/>
          <w:lang w:eastAsia="zh-Hans"/>
        </w:rPr>
        <w:t>部分</w:t>
      </w:r>
      <w:r>
        <w:rPr>
          <w:rFonts w:hint="eastAsia"/>
          <w:b/>
          <w:bCs/>
          <w:color w:val="auto"/>
          <w:lang w:eastAsia="zh-Hans"/>
        </w:rPr>
        <w:t>：地方政府债务公开情况</w:t>
      </w:r>
      <w:bookmarkEnd w:id="33"/>
    </w:p>
    <w:p>
      <w:pPr>
        <w:pStyle w:val="5"/>
        <w:numPr>
          <w:ilvl w:val="0"/>
          <w:numId w:val="10"/>
        </w:numPr>
        <w:spacing w:before="156" w:beforeLines="50" w:after="156" w:afterLines="50"/>
        <w:ind w:firstLine="642" w:firstLineChars="200"/>
        <w:rPr>
          <w:color w:val="auto"/>
          <w:lang w:eastAsia="zh-Hans"/>
        </w:rPr>
      </w:pPr>
      <w:bookmarkStart w:id="34" w:name="_Toc14589"/>
      <w:r>
        <w:rPr>
          <w:color w:val="auto"/>
          <w:lang w:eastAsia="zh-Hans"/>
        </w:rPr>
        <w:t>政府一般债务限额、余额情况表</w:t>
      </w:r>
      <w:bookmarkEnd w:id="34"/>
    </w:p>
    <w:tbl>
      <w:tblPr>
        <w:tblStyle w:val="15"/>
        <w:tblW w:w="8320" w:type="dxa"/>
        <w:tblInd w:w="93" w:type="dxa"/>
        <w:tblLayout w:type="autofit"/>
        <w:tblCellMar>
          <w:top w:w="0" w:type="dxa"/>
          <w:left w:w="108" w:type="dxa"/>
          <w:bottom w:w="0" w:type="dxa"/>
          <w:right w:w="108" w:type="dxa"/>
        </w:tblCellMar>
      </w:tblPr>
      <w:tblGrid>
        <w:gridCol w:w="2324"/>
        <w:gridCol w:w="2040"/>
        <w:gridCol w:w="2309"/>
        <w:gridCol w:w="1647"/>
      </w:tblGrid>
      <w:tr>
        <w:tblPrEx>
          <w:tblCellMar>
            <w:top w:w="0" w:type="dxa"/>
            <w:left w:w="108" w:type="dxa"/>
            <w:bottom w:w="0" w:type="dxa"/>
            <w:right w:w="108" w:type="dxa"/>
          </w:tblCellMar>
        </w:tblPrEx>
        <w:trPr>
          <w:trHeight w:val="624" w:hRule="atLeast"/>
        </w:trPr>
        <w:tc>
          <w:tcPr>
            <w:tcW w:w="8320" w:type="dxa"/>
            <w:gridSpan w:val="4"/>
            <w:tcBorders>
              <w:top w:val="nil"/>
              <w:left w:val="nil"/>
              <w:bottom w:val="nil"/>
              <w:right w:val="nil"/>
            </w:tcBorders>
            <w:noWrap w:val="0"/>
            <w:vAlign w:val="center"/>
          </w:tcPr>
          <w:p>
            <w:pPr>
              <w:widowControl/>
              <w:jc w:val="center"/>
              <w:textAlignment w:val="center"/>
              <w:rPr>
                <w:rFonts w:ascii="仿宋_GB2312" w:hAnsi="宋体" w:eastAsia="仿宋_GB2312" w:cs="宋体"/>
                <w:color w:val="auto"/>
                <w:kern w:val="0"/>
                <w:sz w:val="32"/>
                <w:szCs w:val="32"/>
                <w:lang w:bidi="ar"/>
              </w:rPr>
            </w:pPr>
            <w:r>
              <w:rPr>
                <w:rFonts w:hint="eastAsia" w:ascii="仿宋_GB2312" w:hAnsi="宋体" w:eastAsia="仿宋_GB2312" w:cs="宋体"/>
                <w:b/>
                <w:bCs/>
                <w:color w:val="auto"/>
                <w:kern w:val="0"/>
                <w:sz w:val="32"/>
                <w:szCs w:val="32"/>
                <w:lang w:bidi="ar"/>
              </w:rPr>
              <w:t>202</w:t>
            </w:r>
            <w:r>
              <w:rPr>
                <w:rFonts w:hint="eastAsia" w:ascii="仿宋_GB2312" w:hAnsi="宋体" w:eastAsia="仿宋_GB2312" w:cs="宋体"/>
                <w:b/>
                <w:bCs/>
                <w:color w:val="auto"/>
                <w:kern w:val="0"/>
                <w:sz w:val="32"/>
                <w:szCs w:val="32"/>
                <w:lang w:val="en-US" w:eastAsia="zh-CN" w:bidi="ar"/>
              </w:rPr>
              <w:t>4</w:t>
            </w:r>
            <w:r>
              <w:rPr>
                <w:rFonts w:ascii="仿宋_GB2312" w:hAnsi="宋体" w:eastAsia="仿宋_GB2312" w:cs="宋体"/>
                <w:b/>
                <w:bCs/>
                <w:color w:val="auto"/>
                <w:kern w:val="0"/>
                <w:sz w:val="32"/>
                <w:szCs w:val="32"/>
                <w:lang w:bidi="ar"/>
              </w:rPr>
              <w:t>年度</w:t>
            </w:r>
            <w:r>
              <w:rPr>
                <w:rFonts w:hint="eastAsia" w:ascii="仿宋_GB2312" w:hAnsi="宋体" w:eastAsia="仿宋_GB2312" w:cs="宋体"/>
                <w:b/>
                <w:bCs/>
                <w:color w:val="auto"/>
                <w:kern w:val="0"/>
                <w:sz w:val="32"/>
                <w:szCs w:val="32"/>
                <w:lang w:eastAsia="zh-CN" w:bidi="ar"/>
              </w:rPr>
              <w:t>和田地区</w:t>
            </w:r>
            <w:r>
              <w:rPr>
                <w:rFonts w:ascii="仿宋_GB2312" w:hAnsi="宋体" w:eastAsia="仿宋_GB2312" w:cs="宋体"/>
                <w:b/>
                <w:bCs/>
                <w:color w:val="auto"/>
                <w:kern w:val="0"/>
                <w:sz w:val="32"/>
                <w:szCs w:val="32"/>
                <w:lang w:bidi="ar"/>
              </w:rPr>
              <w:t>政府一般债务限额、余额情况表</w:t>
            </w:r>
          </w:p>
        </w:tc>
      </w:tr>
      <w:tr>
        <w:tblPrEx>
          <w:tblCellMar>
            <w:top w:w="0" w:type="dxa"/>
            <w:left w:w="108" w:type="dxa"/>
            <w:bottom w:w="0" w:type="dxa"/>
            <w:right w:w="108" w:type="dxa"/>
          </w:tblCellMar>
        </w:tblPrEx>
        <w:trPr>
          <w:trHeight w:val="340" w:hRule="atLeast"/>
        </w:trPr>
        <w:tc>
          <w:tcPr>
            <w:tcW w:w="8320" w:type="dxa"/>
            <w:gridSpan w:val="4"/>
            <w:tcBorders>
              <w:top w:val="nil"/>
              <w:left w:val="nil"/>
              <w:bottom w:val="nil"/>
              <w:right w:val="nil"/>
            </w:tcBorders>
            <w:noWrap w:val="0"/>
            <w:vAlign w:val="center"/>
          </w:tcPr>
          <w:p>
            <w:pPr>
              <w:widowControl/>
              <w:jc w:val="right"/>
              <w:textAlignment w:val="center"/>
              <w:rPr>
                <w:rFonts w:hint="eastAsia" w:ascii="宋体" w:hAnsi="宋体" w:cs="宋体"/>
                <w:b/>
                <w:bCs/>
                <w:color w:val="auto"/>
                <w:sz w:val="22"/>
                <w:szCs w:val="22"/>
              </w:rPr>
            </w:pPr>
            <w:r>
              <w:rPr>
                <w:rFonts w:hint="eastAsia" w:ascii="宋体" w:hAnsi="宋体" w:cs="宋体"/>
                <w:b/>
                <w:bCs/>
                <w:color w:val="auto"/>
                <w:kern w:val="0"/>
                <w:sz w:val="22"/>
                <w:szCs w:val="22"/>
                <w:lang w:bidi="ar"/>
              </w:rPr>
              <w:t>单位：亿元</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b/>
                <w:bCs/>
                <w:color w:val="auto"/>
                <w:szCs w:val="21"/>
              </w:rPr>
            </w:pPr>
            <w:r>
              <w:rPr>
                <w:rFonts w:hint="eastAsia" w:ascii="仿宋_GB2312" w:hAnsi="宋体" w:eastAsia="仿宋_GB2312" w:cs="仿宋_GB2312"/>
                <w:b/>
                <w:bCs/>
                <w:color w:val="auto"/>
                <w:kern w:val="0"/>
                <w:szCs w:val="21"/>
                <w:lang w:bidi="ar"/>
              </w:rPr>
              <w:t>行政区划名称</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b/>
                <w:bCs/>
                <w:color w:val="auto"/>
                <w:szCs w:val="21"/>
              </w:rPr>
            </w:pPr>
            <w:r>
              <w:rPr>
                <w:rFonts w:hint="eastAsia" w:ascii="仿宋_GB2312" w:hAnsi="宋体" w:eastAsia="仿宋_GB2312" w:cs="仿宋_GB2312"/>
                <w:b/>
                <w:bCs/>
                <w:color w:val="auto"/>
                <w:kern w:val="0"/>
                <w:szCs w:val="21"/>
                <w:lang w:bidi="ar"/>
              </w:rPr>
              <w:t>一般债务限额总额</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b/>
                <w:bCs/>
                <w:color w:val="auto"/>
                <w:szCs w:val="21"/>
              </w:rPr>
            </w:pPr>
            <w:r>
              <w:rPr>
                <w:rFonts w:hint="eastAsia" w:ascii="仿宋_GB2312" w:hAnsi="宋体" w:eastAsia="仿宋_GB2312" w:cs="仿宋_GB2312"/>
                <w:b/>
                <w:bCs/>
                <w:color w:val="auto"/>
                <w:kern w:val="0"/>
                <w:szCs w:val="21"/>
                <w:lang w:bidi="ar"/>
              </w:rPr>
              <w:t>其中：新增一般债务限额</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b/>
                <w:bCs/>
                <w:color w:val="auto"/>
                <w:szCs w:val="21"/>
              </w:rPr>
            </w:pPr>
            <w:r>
              <w:rPr>
                <w:rFonts w:hint="eastAsia" w:ascii="仿宋_GB2312" w:hAnsi="宋体" w:eastAsia="仿宋_GB2312" w:cs="仿宋_GB2312"/>
                <w:b/>
                <w:bCs/>
                <w:color w:val="auto"/>
                <w:kern w:val="0"/>
                <w:szCs w:val="21"/>
                <w:lang w:bidi="ar"/>
              </w:rPr>
              <w:t>一般债务余额决算数</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  和田地区</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299.10</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23.18</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288.52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    和田地区本级</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65.55</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0.80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64.86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    区县级合计</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233.55</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22.38</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223.66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    和田市</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15.04</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2.00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13.56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    和田县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31.34</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4.20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30.01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    墨玉县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51.95</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2.80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49.50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    皮山县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36.20</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2.53</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35.24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    洛浦县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27.87</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4.02</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26.41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    策勒县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20.96</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2.20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20.10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i w:val="0"/>
                <w:color w:val="auto"/>
                <w:kern w:val="0"/>
                <w:sz w:val="22"/>
                <w:szCs w:val="22"/>
                <w:u w:val="none"/>
                <w:lang w:val="en-US" w:eastAsia="zh-CN" w:bidi="ar"/>
              </w:rPr>
              <w:t xml:space="preserve">    于田县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39.04</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2.40</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37.88 </w:t>
            </w:r>
          </w:p>
        </w:tc>
      </w:tr>
      <w:tr>
        <w:tblPrEx>
          <w:tblCellMar>
            <w:top w:w="0" w:type="dxa"/>
            <w:left w:w="108" w:type="dxa"/>
            <w:bottom w:w="0" w:type="dxa"/>
            <w:right w:w="108" w:type="dxa"/>
          </w:tblCellMar>
        </w:tblPrEx>
        <w:trPr>
          <w:trHeight w:val="510" w:hRule="atLeast"/>
        </w:trPr>
        <w:tc>
          <w:tcPr>
            <w:tcW w:w="23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i w:val="0"/>
                <w:color w:val="auto"/>
                <w:kern w:val="0"/>
                <w:sz w:val="22"/>
                <w:szCs w:val="22"/>
                <w:u w:val="none"/>
                <w:lang w:val="en-US" w:eastAsia="zh-CN" w:bidi="ar"/>
              </w:rPr>
              <w:t xml:space="preserve">    民丰县</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11.15</w:t>
            </w:r>
          </w:p>
        </w:tc>
        <w:tc>
          <w:tcPr>
            <w:tcW w:w="23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2.23</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10.95 </w:t>
            </w:r>
          </w:p>
        </w:tc>
      </w:tr>
    </w:tbl>
    <w:p>
      <w:pPr>
        <w:pStyle w:val="2"/>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11"/>
        </w:numPr>
        <w:spacing w:before="156" w:beforeLines="50" w:after="156" w:afterLines="50"/>
        <w:rPr>
          <w:color w:val="auto"/>
          <w:lang w:eastAsia="zh-Hans"/>
        </w:rPr>
      </w:pPr>
      <w:bookmarkStart w:id="35" w:name="_Toc1995"/>
      <w:r>
        <w:rPr>
          <w:color w:val="auto"/>
          <w:lang w:eastAsia="zh-Hans"/>
        </w:rPr>
        <w:t>政府专项债务限额、余额情况表</w:t>
      </w:r>
      <w:bookmarkEnd w:id="35"/>
    </w:p>
    <w:tbl>
      <w:tblPr>
        <w:tblStyle w:val="15"/>
        <w:tblW w:w="8300" w:type="dxa"/>
        <w:tblInd w:w="93" w:type="dxa"/>
        <w:tblLayout w:type="autofit"/>
        <w:tblCellMar>
          <w:top w:w="0" w:type="dxa"/>
          <w:left w:w="108" w:type="dxa"/>
          <w:bottom w:w="0" w:type="dxa"/>
          <w:right w:w="108" w:type="dxa"/>
        </w:tblCellMar>
      </w:tblPr>
      <w:tblGrid>
        <w:gridCol w:w="3516"/>
        <w:gridCol w:w="1638"/>
        <w:gridCol w:w="1822"/>
        <w:gridCol w:w="1324"/>
      </w:tblGrid>
      <w:tr>
        <w:tblPrEx>
          <w:tblCellMar>
            <w:top w:w="0" w:type="dxa"/>
            <w:left w:w="108" w:type="dxa"/>
            <w:bottom w:w="0" w:type="dxa"/>
            <w:right w:w="108" w:type="dxa"/>
          </w:tblCellMar>
        </w:tblPrEx>
        <w:trPr>
          <w:trHeight w:val="632" w:hRule="atLeast"/>
        </w:trPr>
        <w:tc>
          <w:tcPr>
            <w:tcW w:w="8300" w:type="dxa"/>
            <w:gridSpan w:val="4"/>
            <w:tcBorders>
              <w:top w:val="nil"/>
              <w:left w:val="nil"/>
              <w:bottom w:val="nil"/>
              <w:right w:val="nil"/>
            </w:tcBorders>
            <w:noWrap w:val="0"/>
            <w:vAlign w:val="center"/>
          </w:tcPr>
          <w:p>
            <w:pPr>
              <w:widowControl/>
              <w:jc w:val="center"/>
              <w:textAlignment w:val="center"/>
              <w:rPr>
                <w:rFonts w:ascii="方正小标宋简体" w:hAnsi="方正小标宋简体" w:eastAsia="方正小标宋简体" w:cs="方正小标宋简体"/>
                <w:b/>
                <w:bCs/>
                <w:color w:val="auto"/>
                <w:sz w:val="32"/>
                <w:szCs w:val="32"/>
              </w:rPr>
            </w:pPr>
            <w:r>
              <w:rPr>
                <w:rFonts w:hint="eastAsia" w:ascii="仿宋_GB2312" w:hAnsi="宋体" w:eastAsia="仿宋_GB2312" w:cs="宋体"/>
                <w:b/>
                <w:bCs/>
                <w:color w:val="auto"/>
                <w:kern w:val="0"/>
                <w:sz w:val="32"/>
                <w:szCs w:val="32"/>
                <w:lang w:bidi="ar"/>
              </w:rPr>
              <w:t>202</w:t>
            </w:r>
            <w:r>
              <w:rPr>
                <w:rFonts w:hint="eastAsia" w:ascii="仿宋_GB2312" w:hAnsi="宋体" w:eastAsia="仿宋_GB2312" w:cs="宋体"/>
                <w:b/>
                <w:bCs/>
                <w:color w:val="auto"/>
                <w:kern w:val="0"/>
                <w:sz w:val="32"/>
                <w:szCs w:val="32"/>
                <w:lang w:val="en-US" w:eastAsia="zh-CN" w:bidi="ar"/>
              </w:rPr>
              <w:t>4</w:t>
            </w:r>
            <w:r>
              <w:rPr>
                <w:rFonts w:ascii="仿宋_GB2312" w:hAnsi="宋体" w:eastAsia="仿宋_GB2312" w:cs="宋体"/>
                <w:b/>
                <w:bCs/>
                <w:color w:val="auto"/>
                <w:kern w:val="0"/>
                <w:sz w:val="32"/>
                <w:szCs w:val="32"/>
                <w:lang w:bidi="ar"/>
              </w:rPr>
              <w:t>年度</w:t>
            </w:r>
            <w:r>
              <w:rPr>
                <w:rFonts w:hint="eastAsia" w:ascii="仿宋_GB2312" w:hAnsi="宋体" w:eastAsia="仿宋_GB2312" w:cs="宋体"/>
                <w:b/>
                <w:bCs/>
                <w:color w:val="auto"/>
                <w:kern w:val="0"/>
                <w:sz w:val="32"/>
                <w:szCs w:val="32"/>
                <w:lang w:eastAsia="zh-CN" w:bidi="ar"/>
              </w:rPr>
              <w:t>和田地区</w:t>
            </w:r>
            <w:r>
              <w:rPr>
                <w:rFonts w:ascii="仿宋_GB2312" w:hAnsi="宋体" w:eastAsia="仿宋_GB2312" w:cs="宋体"/>
                <w:b/>
                <w:bCs/>
                <w:color w:val="auto"/>
                <w:kern w:val="0"/>
                <w:sz w:val="32"/>
                <w:szCs w:val="32"/>
                <w:lang w:bidi="ar"/>
              </w:rPr>
              <w:t>政府专项债务限额、余额情况表</w:t>
            </w:r>
          </w:p>
        </w:tc>
      </w:tr>
      <w:tr>
        <w:tblPrEx>
          <w:tblCellMar>
            <w:top w:w="0" w:type="dxa"/>
            <w:left w:w="108" w:type="dxa"/>
            <w:bottom w:w="0" w:type="dxa"/>
            <w:right w:w="108" w:type="dxa"/>
          </w:tblCellMar>
        </w:tblPrEx>
        <w:trPr>
          <w:trHeight w:val="344" w:hRule="atLeast"/>
        </w:trPr>
        <w:tc>
          <w:tcPr>
            <w:tcW w:w="8300" w:type="dxa"/>
            <w:gridSpan w:val="4"/>
            <w:tcBorders>
              <w:top w:val="nil"/>
              <w:left w:val="nil"/>
              <w:bottom w:val="nil"/>
              <w:right w:val="nil"/>
            </w:tcBorders>
            <w:noWrap w:val="0"/>
            <w:vAlign w:val="center"/>
          </w:tcPr>
          <w:p>
            <w:pPr>
              <w:widowControl/>
              <w:jc w:val="right"/>
              <w:textAlignment w:val="center"/>
              <w:rPr>
                <w:rFonts w:hint="eastAsia" w:ascii="宋体" w:hAnsi="宋体" w:cs="宋体"/>
                <w:b/>
                <w:bCs/>
                <w:color w:val="auto"/>
                <w:sz w:val="22"/>
                <w:szCs w:val="22"/>
              </w:rPr>
            </w:pPr>
            <w:r>
              <w:rPr>
                <w:rFonts w:hint="eastAsia" w:ascii="宋体" w:hAnsi="宋体" w:cs="宋体"/>
                <w:b/>
                <w:bCs/>
                <w:color w:val="auto"/>
                <w:kern w:val="0"/>
                <w:sz w:val="22"/>
                <w:szCs w:val="22"/>
                <w:lang w:bidi="ar"/>
              </w:rPr>
              <w:t>单位：亿元</w:t>
            </w:r>
          </w:p>
        </w:tc>
      </w:tr>
      <w:tr>
        <w:tblPrEx>
          <w:tblCellMar>
            <w:top w:w="0" w:type="dxa"/>
            <w:left w:w="108" w:type="dxa"/>
            <w:bottom w:w="0" w:type="dxa"/>
            <w:right w:w="108" w:type="dxa"/>
          </w:tblCellMar>
        </w:tblPrEx>
        <w:trPr>
          <w:trHeight w:val="642" w:hRule="atLeast"/>
        </w:trPr>
        <w:tc>
          <w:tcPr>
            <w:tcW w:w="35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行政区划名称</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专项债务限额总额</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其中：新增专项债务限额</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专项债务余额决算数</w:t>
            </w:r>
          </w:p>
        </w:tc>
      </w:tr>
      <w:tr>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  和田地区</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376.53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90.10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376.24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    和田地区本级</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3.17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2.20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3.17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    区县级合计</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373.36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87.90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373.07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    和田市</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102.82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18.86</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102.53 </w:t>
            </w:r>
          </w:p>
        </w:tc>
      </w:tr>
      <w:tr>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i w:val="0"/>
                <w:color w:val="auto"/>
                <w:kern w:val="0"/>
                <w:sz w:val="22"/>
                <w:szCs w:val="22"/>
                <w:u w:val="none"/>
                <w:lang w:val="en-US" w:eastAsia="zh-CN" w:bidi="ar"/>
              </w:rPr>
              <w:t xml:space="preserve">    和田县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72.27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30.00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72.27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i w:val="0"/>
                <w:color w:val="auto"/>
                <w:kern w:val="0"/>
                <w:sz w:val="22"/>
                <w:szCs w:val="22"/>
                <w:u w:val="none"/>
                <w:lang w:val="en-US" w:eastAsia="zh-CN" w:bidi="ar"/>
              </w:rPr>
              <w:t xml:space="preserve">    墨玉县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65.70</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15.90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65.70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 xml:space="preserve">    皮山县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31.02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9.50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31.02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i w:val="0"/>
                <w:color w:val="auto"/>
                <w:kern w:val="0"/>
                <w:sz w:val="22"/>
                <w:szCs w:val="22"/>
                <w:u w:val="none"/>
                <w:lang w:val="en-US" w:eastAsia="zh-CN" w:bidi="ar"/>
              </w:rPr>
              <w:t xml:space="preserve">    洛浦县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32.58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3.00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32.58 </w:t>
            </w:r>
          </w:p>
        </w:tc>
      </w:tr>
      <w:tr>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i w:val="0"/>
                <w:color w:val="auto"/>
                <w:kern w:val="0"/>
                <w:sz w:val="22"/>
                <w:szCs w:val="22"/>
                <w:u w:val="none"/>
                <w:lang w:val="en-US" w:eastAsia="zh-CN" w:bidi="ar"/>
              </w:rPr>
              <w:t xml:space="preserve">    策勒县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22.78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2.30</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color w:val="auto"/>
                <w:kern w:val="0"/>
                <w:sz w:val="22"/>
                <w:szCs w:val="22"/>
                <w:u w:val="none"/>
                <w:lang w:val="en-US" w:eastAsia="zh-CN" w:bidi="ar"/>
              </w:rPr>
              <w:t xml:space="preserve">22.78 </w:t>
            </w:r>
          </w:p>
        </w:tc>
      </w:tr>
      <w:tr>
        <w:tblPrEx>
          <w:tblCellMar>
            <w:top w:w="0" w:type="dxa"/>
            <w:left w:w="108" w:type="dxa"/>
            <w:bottom w:w="0" w:type="dxa"/>
            <w:right w:w="108" w:type="dxa"/>
          </w:tblCellMar>
        </w:tblPrEx>
        <w:trPr>
          <w:trHeight w:val="526"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仿宋_GB2312" w:hAnsi="仿宋_GB2312" w:eastAsia="仿宋_GB2312" w:cs="仿宋_GB2312"/>
                <w:color w:val="auto"/>
                <w:kern w:val="2"/>
                <w:szCs w:val="24"/>
                <w:highlight w:val="yellow"/>
                <w:lang w:bidi="ar"/>
              </w:rPr>
            </w:pPr>
            <w:r>
              <w:rPr>
                <w:rFonts w:hint="eastAsia" w:ascii="仿宋_GB2312" w:hAnsi="仿宋_GB2312" w:eastAsia="仿宋_GB2312" w:cs="仿宋_GB2312"/>
                <w:i w:val="0"/>
                <w:color w:val="auto"/>
                <w:kern w:val="0"/>
                <w:sz w:val="22"/>
                <w:szCs w:val="22"/>
                <w:u w:val="none"/>
                <w:lang w:val="en-US" w:eastAsia="zh-CN" w:bidi="ar"/>
              </w:rPr>
              <w:t xml:space="preserve">    于田县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37.31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5.97</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37.31 </w:t>
            </w:r>
          </w:p>
        </w:tc>
      </w:tr>
      <w:tr>
        <w:tblPrEx>
          <w:tblCellMar>
            <w:top w:w="0" w:type="dxa"/>
            <w:left w:w="108" w:type="dxa"/>
            <w:bottom w:w="0" w:type="dxa"/>
            <w:right w:w="108" w:type="dxa"/>
          </w:tblCellMar>
        </w:tblPrEx>
        <w:trPr>
          <w:trHeight w:val="537" w:hRule="atLeast"/>
        </w:trPr>
        <w:tc>
          <w:tcPr>
            <w:tcW w:w="35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Cs w:val="21"/>
                <w:highlight w:val="yellow"/>
                <w:lang w:bidi="ar"/>
              </w:rPr>
            </w:pPr>
            <w:r>
              <w:rPr>
                <w:rFonts w:hint="eastAsia" w:ascii="仿宋_GB2312" w:hAnsi="仿宋_GB2312" w:eastAsia="仿宋_GB2312" w:cs="仿宋_GB2312"/>
                <w:i w:val="0"/>
                <w:color w:val="auto"/>
                <w:kern w:val="0"/>
                <w:sz w:val="22"/>
                <w:szCs w:val="22"/>
                <w:u w:val="none"/>
                <w:lang w:val="en-US" w:eastAsia="zh-CN" w:bidi="ar"/>
              </w:rPr>
              <w:t xml:space="preserve">    民丰县</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8.87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2.37</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i w:val="0"/>
                <w:color w:val="auto"/>
                <w:kern w:val="0"/>
                <w:sz w:val="22"/>
                <w:szCs w:val="22"/>
                <w:u w:val="none"/>
                <w:lang w:val="en-US" w:eastAsia="zh-CN" w:bidi="ar"/>
              </w:rPr>
              <w:t xml:space="preserve">8.87 </w:t>
            </w:r>
          </w:p>
        </w:tc>
      </w:tr>
    </w:tbl>
    <w:p>
      <w:pPr>
        <w:pStyle w:val="2"/>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11"/>
        </w:numPr>
        <w:spacing w:before="156" w:beforeLines="50" w:after="156" w:afterLines="50"/>
        <w:ind w:left="1363" w:leftChars="0" w:hanging="720" w:firstLineChars="0"/>
        <w:rPr>
          <w:color w:val="auto"/>
          <w:lang w:eastAsia="zh-Hans"/>
        </w:rPr>
      </w:pPr>
      <w:bookmarkStart w:id="36" w:name="_Toc17775"/>
      <w:r>
        <w:rPr>
          <w:color w:val="auto"/>
          <w:lang w:eastAsia="zh-Hans"/>
        </w:rPr>
        <w:t>政府债券发行情况表</w:t>
      </w:r>
      <w:bookmarkEnd w:id="36"/>
    </w:p>
    <w:tbl>
      <w:tblPr>
        <w:tblStyle w:val="15"/>
        <w:tblW w:w="5587" w:type="pct"/>
        <w:tblInd w:w="-456" w:type="dxa"/>
        <w:tblLayout w:type="autofit"/>
        <w:tblCellMar>
          <w:top w:w="0" w:type="dxa"/>
          <w:left w:w="108" w:type="dxa"/>
          <w:bottom w:w="0" w:type="dxa"/>
          <w:right w:w="108" w:type="dxa"/>
        </w:tblCellMar>
      </w:tblPr>
      <w:tblGrid>
        <w:gridCol w:w="1621"/>
        <w:gridCol w:w="876"/>
        <w:gridCol w:w="876"/>
        <w:gridCol w:w="819"/>
        <w:gridCol w:w="57"/>
        <w:gridCol w:w="876"/>
        <w:gridCol w:w="876"/>
        <w:gridCol w:w="646"/>
        <w:gridCol w:w="230"/>
        <w:gridCol w:w="876"/>
        <w:gridCol w:w="876"/>
        <w:gridCol w:w="893"/>
      </w:tblGrid>
      <w:tr>
        <w:tblPrEx>
          <w:tblCellMar>
            <w:top w:w="0" w:type="dxa"/>
            <w:left w:w="108" w:type="dxa"/>
            <w:bottom w:w="0" w:type="dxa"/>
            <w:right w:w="108" w:type="dxa"/>
          </w:tblCellMar>
        </w:tblPrEx>
        <w:trPr>
          <w:trHeight w:val="624" w:hRule="atLeast"/>
        </w:trPr>
        <w:tc>
          <w:tcPr>
            <w:tcW w:w="5000" w:type="pct"/>
            <w:gridSpan w:val="12"/>
            <w:tcBorders>
              <w:top w:val="nil"/>
              <w:left w:val="nil"/>
              <w:bottom w:val="nil"/>
              <w:right w:val="nil"/>
            </w:tcBorders>
            <w:noWrap w:val="0"/>
            <w:vAlign w:val="center"/>
          </w:tcPr>
          <w:p>
            <w:pPr>
              <w:widowControl/>
              <w:jc w:val="both"/>
              <w:textAlignment w:val="center"/>
              <w:rPr>
                <w:rFonts w:hint="eastAsia" w:ascii="仿宋_GB2312" w:hAnsi="宋体" w:eastAsia="仿宋_GB2312" w:cs="宋体"/>
                <w:color w:val="auto"/>
                <w:kern w:val="0"/>
                <w:sz w:val="32"/>
                <w:szCs w:val="32"/>
                <w:lang w:bidi="ar"/>
              </w:rPr>
            </w:pPr>
          </w:p>
          <w:p>
            <w:pPr>
              <w:widowControl/>
              <w:jc w:val="center"/>
              <w:textAlignment w:val="center"/>
              <w:rPr>
                <w:rFonts w:hint="eastAsia" w:ascii="宋体" w:hAnsi="宋体" w:cs="宋体"/>
                <w:b/>
                <w:bCs/>
                <w:color w:val="auto"/>
                <w:sz w:val="32"/>
                <w:szCs w:val="32"/>
              </w:rPr>
            </w:pPr>
            <w:r>
              <w:rPr>
                <w:rFonts w:hint="eastAsia" w:ascii="仿宋_GB2312" w:hAnsi="宋体" w:eastAsia="仿宋_GB2312" w:cs="宋体"/>
                <w:b/>
                <w:bCs/>
                <w:color w:val="auto"/>
                <w:kern w:val="0"/>
                <w:sz w:val="32"/>
                <w:szCs w:val="32"/>
                <w:lang w:bidi="ar"/>
              </w:rPr>
              <w:t>202</w:t>
            </w:r>
            <w:r>
              <w:rPr>
                <w:rFonts w:hint="eastAsia" w:ascii="仿宋_GB2312" w:hAnsi="宋体" w:eastAsia="仿宋_GB2312" w:cs="宋体"/>
                <w:b/>
                <w:bCs/>
                <w:color w:val="auto"/>
                <w:kern w:val="0"/>
                <w:sz w:val="32"/>
                <w:szCs w:val="32"/>
                <w:lang w:val="en-US" w:eastAsia="zh-CN" w:bidi="ar"/>
              </w:rPr>
              <w:t>4</w:t>
            </w:r>
            <w:r>
              <w:rPr>
                <w:rFonts w:ascii="仿宋_GB2312" w:hAnsi="宋体" w:eastAsia="仿宋_GB2312" w:cs="宋体"/>
                <w:b/>
                <w:bCs/>
                <w:color w:val="auto"/>
                <w:kern w:val="0"/>
                <w:sz w:val="32"/>
                <w:szCs w:val="32"/>
                <w:lang w:bidi="ar"/>
              </w:rPr>
              <w:t>年度</w:t>
            </w:r>
            <w:r>
              <w:rPr>
                <w:rFonts w:hint="eastAsia" w:ascii="仿宋_GB2312" w:hAnsi="宋体" w:eastAsia="仿宋_GB2312" w:cs="宋体"/>
                <w:b/>
                <w:bCs/>
                <w:color w:val="auto"/>
                <w:kern w:val="0"/>
                <w:sz w:val="32"/>
                <w:szCs w:val="32"/>
                <w:lang w:eastAsia="zh-CN" w:bidi="ar"/>
              </w:rPr>
              <w:t>和田地区</w:t>
            </w:r>
            <w:r>
              <w:rPr>
                <w:rFonts w:hint="eastAsia" w:ascii="仿宋_GB2312" w:hAnsi="宋体" w:eastAsia="仿宋_GB2312" w:cs="宋体"/>
                <w:b/>
                <w:bCs/>
                <w:color w:val="auto"/>
                <w:kern w:val="0"/>
                <w:sz w:val="32"/>
                <w:szCs w:val="32"/>
                <w:lang w:bidi="ar"/>
              </w:rPr>
              <w:t>政府债券发行情况表</w:t>
            </w:r>
          </w:p>
        </w:tc>
      </w:tr>
      <w:tr>
        <w:tblPrEx>
          <w:tblCellMar>
            <w:top w:w="0" w:type="dxa"/>
            <w:left w:w="108" w:type="dxa"/>
            <w:bottom w:w="0" w:type="dxa"/>
            <w:right w:w="108" w:type="dxa"/>
          </w:tblCellMar>
        </w:tblPrEx>
        <w:trPr>
          <w:trHeight w:val="340" w:hRule="atLeast"/>
        </w:trPr>
        <w:tc>
          <w:tcPr>
            <w:tcW w:w="5000" w:type="pct"/>
            <w:gridSpan w:val="12"/>
            <w:tcBorders>
              <w:top w:val="nil"/>
              <w:left w:val="nil"/>
              <w:bottom w:val="nil"/>
              <w:right w:val="nil"/>
            </w:tcBorders>
            <w:noWrap/>
            <w:vAlign w:val="center"/>
          </w:tcPr>
          <w:p>
            <w:pPr>
              <w:widowControl/>
              <w:jc w:val="right"/>
              <w:textAlignment w:val="center"/>
              <w:rPr>
                <w:rFonts w:hint="eastAsia" w:ascii="宋体" w:hAnsi="宋体" w:cs="宋体"/>
                <w:b/>
                <w:bCs/>
                <w:color w:val="auto"/>
                <w:sz w:val="22"/>
                <w:szCs w:val="22"/>
              </w:rPr>
            </w:pPr>
            <w:r>
              <w:rPr>
                <w:rFonts w:hint="eastAsia" w:ascii="宋体" w:hAnsi="宋体" w:cs="宋体"/>
                <w:b/>
                <w:bCs/>
                <w:color w:val="auto"/>
                <w:kern w:val="0"/>
                <w:sz w:val="22"/>
                <w:szCs w:val="22"/>
                <w:lang w:bidi="ar"/>
              </w:rPr>
              <w:t>单位：亿元</w:t>
            </w:r>
          </w:p>
        </w:tc>
      </w:tr>
      <w:tr>
        <w:tblPrEx>
          <w:tblCellMar>
            <w:top w:w="0" w:type="dxa"/>
            <w:left w:w="108" w:type="dxa"/>
            <w:bottom w:w="0" w:type="dxa"/>
            <w:right w:w="108" w:type="dxa"/>
          </w:tblCellMar>
        </w:tblPrEx>
        <w:trPr>
          <w:trHeight w:val="397" w:hRule="atLeast"/>
        </w:trPr>
        <w:tc>
          <w:tcPr>
            <w:tcW w:w="851"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行政区划名称</w:t>
            </w:r>
          </w:p>
        </w:tc>
        <w:tc>
          <w:tcPr>
            <w:tcW w:w="135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政府债券发行总额</w:t>
            </w:r>
          </w:p>
        </w:tc>
        <w:tc>
          <w:tcPr>
            <w:tcW w:w="1289"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其中：新增债券额度</w:t>
            </w:r>
          </w:p>
        </w:tc>
        <w:tc>
          <w:tcPr>
            <w:tcW w:w="1508" w:type="pct"/>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其中：再融资债券额度</w:t>
            </w:r>
          </w:p>
        </w:tc>
      </w:tr>
      <w:tr>
        <w:tblPrEx>
          <w:tblCellMar>
            <w:top w:w="0" w:type="dxa"/>
            <w:left w:w="108" w:type="dxa"/>
            <w:bottom w:w="0" w:type="dxa"/>
            <w:right w:w="108" w:type="dxa"/>
          </w:tblCellMar>
        </w:tblPrEx>
        <w:trPr>
          <w:trHeight w:val="397" w:hRule="atLeast"/>
        </w:trPr>
        <w:tc>
          <w:tcPr>
            <w:tcW w:w="85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b/>
                <w:bCs/>
                <w:color w:val="auto"/>
                <w:szCs w:val="21"/>
              </w:rPr>
            </w:pP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合计</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新增债券</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再融资债券</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小计</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一般债券</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专项债券</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小计</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一般债券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专项债券</w:t>
            </w:r>
          </w:p>
        </w:tc>
      </w:tr>
      <w:tr>
        <w:tblPrEx>
          <w:tblCellMar>
            <w:top w:w="0" w:type="dxa"/>
            <w:left w:w="108" w:type="dxa"/>
            <w:bottom w:w="0" w:type="dxa"/>
            <w:right w:w="108" w:type="dxa"/>
          </w:tblCellMar>
        </w:tblPrEx>
        <w:trPr>
          <w:trHeight w:val="397" w:hRule="atLeast"/>
        </w:trPr>
        <w:tc>
          <w:tcPr>
            <w:tcW w:w="85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  和田地区</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color w:val="auto"/>
                <w:kern w:val="0"/>
                <w:sz w:val="20"/>
                <w:szCs w:val="20"/>
                <w:u w:val="none"/>
                <w:lang w:val="en-US" w:eastAsia="zh-CN" w:bidi="ar"/>
              </w:rPr>
              <w:t xml:space="preserve">127.98 </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113.28 </w:t>
            </w:r>
          </w:p>
        </w:tc>
        <w:tc>
          <w:tcPr>
            <w:tcW w:w="460"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14.70 </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113.28</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23.18</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90.10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14.70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11.40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3.30 </w:t>
            </w:r>
          </w:p>
        </w:tc>
      </w:tr>
      <w:tr>
        <w:tblPrEx>
          <w:tblCellMar>
            <w:top w:w="0" w:type="dxa"/>
            <w:left w:w="108" w:type="dxa"/>
            <w:bottom w:w="0" w:type="dxa"/>
            <w:right w:w="108" w:type="dxa"/>
          </w:tblCellMar>
        </w:tblPrEx>
        <w:trPr>
          <w:trHeight w:val="397" w:hRule="atLeast"/>
        </w:trPr>
        <w:tc>
          <w:tcPr>
            <w:tcW w:w="85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和田地区本级</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7.05 </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3.00 </w:t>
            </w:r>
          </w:p>
        </w:tc>
        <w:tc>
          <w:tcPr>
            <w:tcW w:w="460"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4.05 </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3.00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0.80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4.05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3.70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0.35 </w:t>
            </w:r>
          </w:p>
        </w:tc>
      </w:tr>
      <w:tr>
        <w:tblPrEx>
          <w:tblCellMar>
            <w:top w:w="0" w:type="dxa"/>
            <w:left w:w="108" w:type="dxa"/>
            <w:bottom w:w="0" w:type="dxa"/>
            <w:right w:w="108" w:type="dxa"/>
          </w:tblCellMar>
        </w:tblPrEx>
        <w:trPr>
          <w:trHeight w:val="397" w:hRule="atLeast"/>
        </w:trPr>
        <w:tc>
          <w:tcPr>
            <w:tcW w:w="85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ind w:firstLine="200" w:firstLineChars="10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区县级合计</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120.93 </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110.28 </w:t>
            </w:r>
          </w:p>
        </w:tc>
        <w:tc>
          <w:tcPr>
            <w:tcW w:w="460"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10.65 </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110.28</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22.38</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87.90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10.65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7.70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2.95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  和田市</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22.19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20.86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1.33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20.86</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18.86</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1.33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1.06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0.27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color w:val="auto"/>
                <w:kern w:val="0"/>
                <w:sz w:val="20"/>
                <w:szCs w:val="20"/>
                <w:u w:val="none"/>
                <w:lang w:val="en-US" w:eastAsia="zh-CN" w:bidi="ar"/>
              </w:rPr>
              <w:t xml:space="preserve">  和田县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36.87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34.20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2.67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34.20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4.20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30.00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2.67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0.97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1.70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color w:val="auto"/>
                <w:kern w:val="0"/>
                <w:sz w:val="20"/>
                <w:szCs w:val="20"/>
                <w:u w:val="none"/>
                <w:lang w:val="en-US" w:eastAsia="zh-CN" w:bidi="ar"/>
              </w:rPr>
              <w:t xml:space="preserve">  墨玉县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20.30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18.70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1.60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18.70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2.80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15.90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1.60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1.60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0.00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color w:val="auto"/>
                <w:kern w:val="0"/>
                <w:sz w:val="20"/>
                <w:szCs w:val="20"/>
                <w:u w:val="none"/>
                <w:lang w:val="en-US" w:eastAsia="zh-CN" w:bidi="ar"/>
              </w:rPr>
              <w:t xml:space="preserve">  皮山县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12.99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12.03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0.96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12.03</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2.53</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9.50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0.96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0.49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0.47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color w:val="auto"/>
                <w:kern w:val="0"/>
                <w:sz w:val="20"/>
                <w:szCs w:val="20"/>
                <w:u w:val="none"/>
                <w:lang w:val="en-US" w:eastAsia="zh-CN" w:bidi="ar"/>
              </w:rPr>
              <w:t xml:space="preserve">  洛浦县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9.18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7.02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2.16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7.02</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4.02</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3.00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2.16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1.68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0.48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  策勒县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5.35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4.50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0.85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4.50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0.85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0.85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0.00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kern w:val="2"/>
                <w:sz w:val="20"/>
                <w:szCs w:val="20"/>
                <w:lang w:bidi="ar"/>
              </w:rPr>
            </w:pPr>
            <w:r>
              <w:rPr>
                <w:rFonts w:hint="eastAsia" w:ascii="仿宋_GB2312" w:hAnsi="仿宋_GB2312" w:eastAsia="仿宋_GB2312" w:cs="仿宋_GB2312"/>
                <w:i w:val="0"/>
                <w:color w:val="auto"/>
                <w:kern w:val="0"/>
                <w:sz w:val="20"/>
                <w:szCs w:val="20"/>
                <w:u w:val="none"/>
                <w:lang w:val="en-US" w:eastAsia="zh-CN" w:bidi="ar"/>
              </w:rPr>
              <w:t xml:space="preserve">  于田县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9.37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8.37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1.00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8.37</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2.40</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5.97</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1.00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0.98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0.02 </w:t>
            </w:r>
          </w:p>
        </w:tc>
      </w:tr>
      <w:tr>
        <w:tblPrEx>
          <w:tblCellMar>
            <w:top w:w="0" w:type="dxa"/>
            <w:left w:w="108" w:type="dxa"/>
            <w:bottom w:w="0" w:type="dxa"/>
            <w:right w:w="108" w:type="dxa"/>
          </w:tblCellMar>
        </w:tblPrEx>
        <w:trPr>
          <w:trHeight w:val="454" w:hRule="atLeast"/>
        </w:trPr>
        <w:tc>
          <w:tcPr>
            <w:tcW w:w="85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0"/>
                <w:szCs w:val="20"/>
                <w:lang w:bidi="ar"/>
              </w:rPr>
            </w:pPr>
            <w:r>
              <w:rPr>
                <w:rFonts w:hint="eastAsia" w:ascii="仿宋_GB2312" w:hAnsi="仿宋_GB2312" w:eastAsia="仿宋_GB2312" w:cs="仿宋_GB2312"/>
                <w:i w:val="0"/>
                <w:color w:val="auto"/>
                <w:kern w:val="0"/>
                <w:sz w:val="20"/>
                <w:szCs w:val="20"/>
                <w:u w:val="none"/>
                <w:lang w:val="en-US" w:eastAsia="zh-CN" w:bidi="ar"/>
              </w:rPr>
              <w:t xml:space="preserve">  民丰县</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4.67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4.60 </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4.60</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2.23</w:t>
            </w:r>
          </w:p>
        </w:tc>
        <w:tc>
          <w:tcPr>
            <w:tcW w:w="46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2.37</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0.07 </w:t>
            </w:r>
          </w:p>
        </w:tc>
        <w:tc>
          <w:tcPr>
            <w:tcW w:w="4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0.07 </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 xml:space="preserve">0.00 </w:t>
            </w:r>
          </w:p>
        </w:tc>
      </w:tr>
    </w:tbl>
    <w:p>
      <w:pPr>
        <w:pStyle w:val="2"/>
        <w:rPr>
          <w:rFonts w:hint="eastAsia" w:ascii="仿宋_GB2312" w:hAnsi="仿宋_GB2312" w:eastAsia="仿宋_GB2312" w:cs="仿宋_GB2312"/>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11"/>
        </w:numPr>
        <w:spacing w:before="156" w:beforeLines="50" w:after="156" w:afterLines="50"/>
        <w:ind w:left="1363" w:leftChars="0" w:hanging="720" w:firstLineChars="0"/>
        <w:rPr>
          <w:color w:val="auto"/>
          <w:lang w:eastAsia="zh-Hans"/>
        </w:rPr>
      </w:pPr>
      <w:bookmarkStart w:id="37" w:name="_Toc24655"/>
      <w:r>
        <w:rPr>
          <w:color w:val="auto"/>
          <w:lang w:eastAsia="zh-Hans"/>
        </w:rPr>
        <w:t>政府债券发行情况明细表</w:t>
      </w:r>
      <w:bookmarkEnd w:id="37"/>
    </w:p>
    <w:tbl>
      <w:tblPr>
        <w:tblStyle w:val="15"/>
        <w:tblW w:w="11160" w:type="dxa"/>
        <w:tblInd w:w="-1266" w:type="dxa"/>
        <w:tblLayout w:type="fixed"/>
        <w:tblCellMar>
          <w:top w:w="0" w:type="dxa"/>
          <w:left w:w="108" w:type="dxa"/>
          <w:bottom w:w="0" w:type="dxa"/>
          <w:right w:w="108" w:type="dxa"/>
        </w:tblCellMar>
      </w:tblPr>
      <w:tblGrid>
        <w:gridCol w:w="765"/>
        <w:gridCol w:w="1140"/>
        <w:gridCol w:w="885"/>
        <w:gridCol w:w="825"/>
        <w:gridCol w:w="765"/>
        <w:gridCol w:w="885"/>
        <w:gridCol w:w="840"/>
        <w:gridCol w:w="780"/>
        <w:gridCol w:w="705"/>
        <w:gridCol w:w="690"/>
        <w:gridCol w:w="660"/>
        <w:gridCol w:w="660"/>
        <w:gridCol w:w="750"/>
        <w:gridCol w:w="810"/>
      </w:tblGrid>
      <w:tr>
        <w:tblPrEx>
          <w:tblCellMar>
            <w:top w:w="0" w:type="dxa"/>
            <w:left w:w="108" w:type="dxa"/>
            <w:bottom w:w="0" w:type="dxa"/>
            <w:right w:w="108" w:type="dxa"/>
          </w:tblCellMar>
        </w:tblPrEx>
        <w:trPr>
          <w:trHeight w:val="624" w:hRule="atLeast"/>
          <w:tblHeader/>
        </w:trPr>
        <w:tc>
          <w:tcPr>
            <w:tcW w:w="11160" w:type="dxa"/>
            <w:gridSpan w:val="14"/>
            <w:tcBorders>
              <w:top w:val="nil"/>
              <w:left w:val="nil"/>
              <w:bottom w:val="nil"/>
              <w:right w:val="nil"/>
            </w:tcBorders>
            <w:noWrap w:val="0"/>
            <w:vAlign w:val="center"/>
          </w:tcPr>
          <w:p>
            <w:pPr>
              <w:widowControl/>
              <w:jc w:val="center"/>
              <w:textAlignment w:val="center"/>
              <w:rPr>
                <w:rFonts w:hint="eastAsia" w:ascii="宋体" w:hAnsi="宋体" w:cs="宋体"/>
                <w:b/>
                <w:bCs/>
                <w:color w:val="auto"/>
                <w:sz w:val="32"/>
                <w:szCs w:val="32"/>
              </w:rPr>
            </w:pPr>
            <w:r>
              <w:rPr>
                <w:rFonts w:hint="eastAsia" w:ascii="仿宋_GB2312" w:hAnsi="宋体" w:eastAsia="仿宋_GB2312" w:cs="宋体"/>
                <w:b/>
                <w:bCs/>
                <w:color w:val="auto"/>
                <w:kern w:val="0"/>
                <w:sz w:val="32"/>
                <w:szCs w:val="32"/>
                <w:lang w:bidi="ar"/>
              </w:rPr>
              <w:t>202</w:t>
            </w:r>
            <w:r>
              <w:rPr>
                <w:rFonts w:hint="eastAsia" w:ascii="仿宋_GB2312" w:hAnsi="宋体" w:eastAsia="仿宋_GB2312" w:cs="宋体"/>
                <w:b/>
                <w:bCs/>
                <w:color w:val="auto"/>
                <w:kern w:val="0"/>
                <w:sz w:val="32"/>
                <w:szCs w:val="32"/>
                <w:lang w:val="en-US" w:eastAsia="zh-CN" w:bidi="ar"/>
              </w:rPr>
              <w:t>4</w:t>
            </w:r>
            <w:r>
              <w:rPr>
                <w:rFonts w:ascii="仿宋_GB2312" w:hAnsi="宋体" w:eastAsia="仿宋_GB2312" w:cs="宋体"/>
                <w:b/>
                <w:bCs/>
                <w:color w:val="auto"/>
                <w:kern w:val="0"/>
                <w:sz w:val="32"/>
                <w:szCs w:val="32"/>
                <w:lang w:bidi="ar"/>
              </w:rPr>
              <w:t>年度</w:t>
            </w:r>
            <w:r>
              <w:rPr>
                <w:rFonts w:hint="eastAsia" w:ascii="仿宋_GB2312" w:hAnsi="宋体" w:eastAsia="仿宋_GB2312" w:cs="宋体"/>
                <w:b/>
                <w:bCs/>
                <w:color w:val="auto"/>
                <w:kern w:val="0"/>
                <w:sz w:val="32"/>
                <w:szCs w:val="32"/>
                <w:lang w:eastAsia="zh-CN" w:bidi="ar"/>
              </w:rPr>
              <w:t>和田地区</w:t>
            </w:r>
            <w:r>
              <w:rPr>
                <w:rFonts w:hint="eastAsia" w:ascii="仿宋_GB2312" w:hAnsi="宋体" w:eastAsia="仿宋_GB2312" w:cs="宋体"/>
                <w:b/>
                <w:bCs/>
                <w:color w:val="auto"/>
                <w:kern w:val="0"/>
                <w:sz w:val="32"/>
                <w:szCs w:val="32"/>
                <w:lang w:bidi="ar"/>
              </w:rPr>
              <w:t>政府债券发行情况明细表</w:t>
            </w:r>
          </w:p>
        </w:tc>
      </w:tr>
      <w:tr>
        <w:tblPrEx>
          <w:tblCellMar>
            <w:top w:w="0" w:type="dxa"/>
            <w:left w:w="108" w:type="dxa"/>
            <w:bottom w:w="0" w:type="dxa"/>
            <w:right w:w="108" w:type="dxa"/>
          </w:tblCellMar>
        </w:tblPrEx>
        <w:trPr>
          <w:trHeight w:val="340" w:hRule="atLeast"/>
          <w:tblHeader/>
        </w:trPr>
        <w:tc>
          <w:tcPr>
            <w:tcW w:w="11160" w:type="dxa"/>
            <w:gridSpan w:val="14"/>
            <w:tcBorders>
              <w:top w:val="nil"/>
              <w:left w:val="nil"/>
              <w:bottom w:val="nil"/>
              <w:right w:val="nil"/>
            </w:tcBorders>
            <w:noWrap w:val="0"/>
            <w:vAlign w:val="center"/>
          </w:tcPr>
          <w:p>
            <w:pPr>
              <w:widowControl/>
              <w:jc w:val="right"/>
              <w:textAlignment w:val="center"/>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kern w:val="0"/>
                <w:sz w:val="22"/>
                <w:szCs w:val="22"/>
                <w:lang w:bidi="ar"/>
              </w:rPr>
              <w:t>单位：亿元</w:t>
            </w:r>
          </w:p>
        </w:tc>
      </w:tr>
      <w:tr>
        <w:tblPrEx>
          <w:tblCellMar>
            <w:top w:w="0" w:type="dxa"/>
            <w:left w:w="108" w:type="dxa"/>
            <w:bottom w:w="0" w:type="dxa"/>
            <w:right w:w="108" w:type="dxa"/>
          </w:tblCellMar>
        </w:tblPrEx>
        <w:trPr>
          <w:trHeight w:val="397" w:hRule="atLeast"/>
          <w:tblHeader/>
        </w:trPr>
        <w:tc>
          <w:tcPr>
            <w:tcW w:w="190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债券类型</w:t>
            </w:r>
          </w:p>
        </w:tc>
        <w:tc>
          <w:tcPr>
            <w:tcW w:w="24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地方政府债券</w:t>
            </w:r>
          </w:p>
        </w:tc>
        <w:tc>
          <w:tcPr>
            <w:tcW w:w="250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新增债券</w:t>
            </w:r>
          </w:p>
        </w:tc>
        <w:tc>
          <w:tcPr>
            <w:tcW w:w="205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置换债券</w:t>
            </w:r>
          </w:p>
        </w:tc>
        <w:tc>
          <w:tcPr>
            <w:tcW w:w="222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再融资债券</w:t>
            </w:r>
          </w:p>
        </w:tc>
      </w:tr>
      <w:tr>
        <w:tblPrEx>
          <w:tblCellMar>
            <w:top w:w="0" w:type="dxa"/>
            <w:left w:w="108" w:type="dxa"/>
            <w:bottom w:w="0" w:type="dxa"/>
            <w:right w:w="108" w:type="dxa"/>
          </w:tblCellMar>
        </w:tblPrEx>
        <w:trPr>
          <w:trHeight w:val="397" w:hRule="atLeast"/>
          <w:tblHeader/>
        </w:trPr>
        <w:tc>
          <w:tcPr>
            <w:tcW w:w="190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b/>
                <w:bCs/>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合计</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一般</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专项</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合计</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一般</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专项</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合计</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一般</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专项</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合计</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一般</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kern w:val="0"/>
                <w:sz w:val="20"/>
                <w:szCs w:val="20"/>
                <w:lang w:bidi="ar"/>
              </w:rPr>
              <w:t>专项</w:t>
            </w: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小计</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127.98</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34.58</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93.40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113.28</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23.18</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90.10</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14.70</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11.40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3.30</w:t>
            </w: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2.28</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2.08</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2.35</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2.29</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2.02</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2.36</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2.17</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2.07</w:t>
            </w: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2.90</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2.90</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2.90</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2.90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20.25</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20.25</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16.05</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16.05</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4.20</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4.20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1.98</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1.98</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1.97</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2.02</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2.02</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7年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2.70</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2.70</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1.70</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1.70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1.99</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1.99</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2.15</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2.15</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1.71</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1.71</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71.27</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6.30</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64.97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61.77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0.10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61.67</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9.50</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6.20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3.30</w:t>
            </w: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2.31</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2.41</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2.32</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2.17</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2.32</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2.29</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2.41</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2.07</w:t>
            </w: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15年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20.56</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2.43</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18.13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20.56</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2.43</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18.13</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2.32</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2.45</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2.32</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20年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10.30</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10.30</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10.30</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10.30</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2.44</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25年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510" w:hRule="atLeast"/>
        </w:trPr>
        <w:tc>
          <w:tcPr>
            <w:tcW w:w="765"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30年</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金额</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color w:val="auto"/>
                <w:szCs w:val="21"/>
              </w:rPr>
            </w:pPr>
          </w:p>
        </w:tc>
      </w:tr>
      <w:tr>
        <w:tblPrEx>
          <w:tblCellMar>
            <w:top w:w="0" w:type="dxa"/>
            <w:left w:w="108" w:type="dxa"/>
            <w:bottom w:w="0" w:type="dxa"/>
            <w:right w:w="108" w:type="dxa"/>
          </w:tblCellMar>
        </w:tblPrEx>
        <w:trPr>
          <w:trHeight w:val="510" w:hRule="atLeast"/>
        </w:trPr>
        <w:tc>
          <w:tcPr>
            <w:tcW w:w="76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auto"/>
                <w:szCs w:val="21"/>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auto"/>
                <w:szCs w:val="21"/>
              </w:rPr>
            </w:pPr>
            <w:r>
              <w:rPr>
                <w:rFonts w:hint="eastAsia" w:ascii="仿宋_GB2312" w:hAnsi="宋体" w:eastAsia="仿宋_GB2312" w:cs="仿宋_GB2312"/>
                <w:color w:val="auto"/>
                <w:kern w:val="0"/>
                <w:szCs w:val="21"/>
                <w:lang w:bidi="ar"/>
              </w:rPr>
              <w:t>平均利率%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宋体" w:eastAsia="仿宋_GB2312" w:cs="仿宋_GB2312"/>
                <w:color w:val="auto"/>
                <w:szCs w:val="21"/>
              </w:rPr>
            </w:pPr>
          </w:p>
        </w:tc>
      </w:tr>
    </w:tbl>
    <w:p>
      <w:pPr>
        <w:pStyle w:val="2"/>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11"/>
        </w:numPr>
        <w:spacing w:before="156" w:beforeLines="50" w:after="156" w:afterLines="50"/>
        <w:ind w:left="1363" w:leftChars="0" w:hanging="720" w:firstLineChars="0"/>
        <w:rPr>
          <w:color w:val="auto"/>
          <w:lang w:eastAsia="zh-Hans"/>
        </w:rPr>
      </w:pPr>
      <w:bookmarkStart w:id="38" w:name="_Toc24183"/>
      <w:r>
        <w:rPr>
          <w:color w:val="auto"/>
          <w:lang w:eastAsia="zh-Hans"/>
        </w:rPr>
        <w:t>新增债券使用情况表</w:t>
      </w:r>
      <w:bookmarkEnd w:id="38"/>
    </w:p>
    <w:tbl>
      <w:tblPr>
        <w:tblStyle w:val="15"/>
        <w:tblW w:w="6141" w:type="pct"/>
        <w:tblInd w:w="-966" w:type="dxa"/>
        <w:tblLayout w:type="autofit"/>
        <w:tblCellMar>
          <w:top w:w="0" w:type="dxa"/>
          <w:left w:w="108" w:type="dxa"/>
          <w:bottom w:w="0" w:type="dxa"/>
          <w:right w:w="108" w:type="dxa"/>
        </w:tblCellMar>
      </w:tblPr>
      <w:tblGrid>
        <w:gridCol w:w="778"/>
        <w:gridCol w:w="1022"/>
        <w:gridCol w:w="1876"/>
        <w:gridCol w:w="1838"/>
        <w:gridCol w:w="1231"/>
        <w:gridCol w:w="1329"/>
        <w:gridCol w:w="1170"/>
        <w:gridCol w:w="1223"/>
      </w:tblGrid>
      <w:tr>
        <w:tblPrEx>
          <w:tblCellMar>
            <w:top w:w="0" w:type="dxa"/>
            <w:left w:w="108" w:type="dxa"/>
            <w:bottom w:w="0" w:type="dxa"/>
            <w:right w:w="108" w:type="dxa"/>
          </w:tblCellMar>
        </w:tblPrEx>
        <w:trPr>
          <w:trHeight w:val="624" w:hRule="atLeast"/>
        </w:trPr>
        <w:tc>
          <w:tcPr>
            <w:tcW w:w="5000" w:type="pct"/>
            <w:gridSpan w:val="8"/>
            <w:tcBorders>
              <w:top w:val="nil"/>
              <w:left w:val="nil"/>
              <w:bottom w:val="nil"/>
              <w:right w:val="nil"/>
            </w:tcBorders>
            <w:noWrap w:val="0"/>
            <w:vAlign w:val="center"/>
          </w:tcPr>
          <w:p>
            <w:pPr>
              <w:widowControl/>
              <w:jc w:val="center"/>
              <w:textAlignment w:val="center"/>
              <w:rPr>
                <w:rFonts w:hint="eastAsia" w:ascii="仿宋_GB2312" w:hAnsi="宋体" w:eastAsia="仿宋_GB2312" w:cs="宋体"/>
                <w:color w:val="auto"/>
                <w:kern w:val="0"/>
                <w:sz w:val="32"/>
                <w:szCs w:val="32"/>
                <w:lang w:bidi="ar"/>
              </w:rPr>
            </w:pPr>
            <w:r>
              <w:rPr>
                <w:rFonts w:hint="eastAsia" w:ascii="仿宋_GB2312" w:hAnsi="宋体" w:eastAsia="仿宋_GB2312" w:cs="宋体"/>
                <w:color w:val="auto"/>
                <w:kern w:val="0"/>
                <w:sz w:val="32"/>
                <w:szCs w:val="32"/>
                <w:lang w:bidi="ar"/>
              </w:rPr>
              <w:t>202</w:t>
            </w:r>
            <w:r>
              <w:rPr>
                <w:rFonts w:hint="eastAsia" w:ascii="仿宋_GB2312" w:hAnsi="宋体" w:eastAsia="仿宋_GB2312" w:cs="宋体"/>
                <w:color w:val="auto"/>
                <w:kern w:val="0"/>
                <w:sz w:val="32"/>
                <w:szCs w:val="32"/>
                <w:lang w:val="en-US" w:eastAsia="zh-CN" w:bidi="ar"/>
              </w:rPr>
              <w:t>4</w:t>
            </w:r>
            <w:r>
              <w:rPr>
                <w:rFonts w:ascii="仿宋_GB2312" w:hAnsi="宋体" w:eastAsia="仿宋_GB2312" w:cs="宋体"/>
                <w:color w:val="auto"/>
                <w:kern w:val="0"/>
                <w:sz w:val="32"/>
                <w:szCs w:val="32"/>
                <w:lang w:bidi="ar"/>
              </w:rPr>
              <w:t>年度</w:t>
            </w:r>
            <w:r>
              <w:rPr>
                <w:rFonts w:hint="eastAsia" w:ascii="仿宋_GB2312" w:hAnsi="宋体" w:eastAsia="仿宋_GB2312" w:cs="宋体"/>
                <w:color w:val="auto"/>
                <w:kern w:val="0"/>
                <w:sz w:val="32"/>
                <w:szCs w:val="32"/>
                <w:lang w:eastAsia="zh-CN" w:bidi="ar"/>
              </w:rPr>
              <w:t>和田地区</w:t>
            </w:r>
            <w:r>
              <w:rPr>
                <w:rFonts w:hint="eastAsia" w:ascii="仿宋_GB2312" w:hAnsi="宋体" w:eastAsia="仿宋_GB2312" w:cs="宋体"/>
                <w:color w:val="auto"/>
                <w:kern w:val="0"/>
                <w:sz w:val="32"/>
                <w:szCs w:val="32"/>
                <w:lang w:bidi="ar"/>
              </w:rPr>
              <w:t>新增债券使用情况表</w:t>
            </w:r>
          </w:p>
        </w:tc>
      </w:tr>
      <w:tr>
        <w:tblPrEx>
          <w:tblCellMar>
            <w:top w:w="0" w:type="dxa"/>
            <w:left w:w="108" w:type="dxa"/>
            <w:bottom w:w="0" w:type="dxa"/>
            <w:right w:w="108" w:type="dxa"/>
          </w:tblCellMar>
        </w:tblPrEx>
        <w:trPr>
          <w:trHeight w:val="340" w:hRule="atLeast"/>
        </w:trPr>
        <w:tc>
          <w:tcPr>
            <w:tcW w:w="5000" w:type="pct"/>
            <w:gridSpan w:val="8"/>
            <w:tcBorders>
              <w:top w:val="nil"/>
              <w:left w:val="nil"/>
              <w:bottom w:val="nil"/>
              <w:right w:val="nil"/>
            </w:tcBorders>
            <w:noWrap w:val="0"/>
            <w:vAlign w:val="center"/>
          </w:tcPr>
          <w:p>
            <w:pPr>
              <w:widowControl/>
              <w:jc w:val="right"/>
              <w:textAlignment w:val="center"/>
              <w:rPr>
                <w:rFonts w:hint="eastAsia" w:ascii="宋体" w:hAnsi="宋体" w:cs="宋体"/>
                <w:b/>
                <w:bCs/>
                <w:color w:val="auto"/>
                <w:sz w:val="22"/>
                <w:szCs w:val="22"/>
              </w:rPr>
            </w:pPr>
            <w:r>
              <w:rPr>
                <w:rFonts w:hint="eastAsia" w:ascii="宋体" w:hAnsi="宋体" w:cs="宋体"/>
                <w:b/>
                <w:bCs/>
                <w:color w:val="auto"/>
                <w:kern w:val="0"/>
                <w:sz w:val="22"/>
                <w:szCs w:val="22"/>
                <w:lang w:bidi="ar"/>
              </w:rPr>
              <w:t>单位：亿元</w:t>
            </w:r>
          </w:p>
        </w:tc>
      </w:tr>
      <w:tr>
        <w:tblPrEx>
          <w:tblCellMar>
            <w:top w:w="0" w:type="dxa"/>
            <w:left w:w="108" w:type="dxa"/>
            <w:bottom w:w="0" w:type="dxa"/>
            <w:right w:w="108" w:type="dxa"/>
          </w:tblCellMar>
        </w:tblPrEx>
        <w:trPr>
          <w:trHeight w:val="397"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序号</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区划</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项目单位</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项目名称</w:t>
            </w:r>
          </w:p>
        </w:tc>
        <w:tc>
          <w:tcPr>
            <w:tcW w:w="58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项目领域</w:t>
            </w:r>
          </w:p>
        </w:tc>
        <w:tc>
          <w:tcPr>
            <w:tcW w:w="63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债券性质</w:t>
            </w:r>
          </w:p>
        </w:tc>
        <w:tc>
          <w:tcPr>
            <w:tcW w:w="559" w:type="pct"/>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债券金额</w:t>
            </w:r>
          </w:p>
        </w:tc>
        <w:tc>
          <w:tcPr>
            <w:tcW w:w="57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Cs w:val="21"/>
              </w:rPr>
            </w:pPr>
            <w:r>
              <w:rPr>
                <w:rFonts w:hint="eastAsia" w:ascii="仿宋_GB2312" w:hAnsi="仿宋_GB2312" w:eastAsia="仿宋_GB2312" w:cs="仿宋_GB2312"/>
                <w:b/>
                <w:bCs/>
                <w:color w:val="auto"/>
                <w:kern w:val="0"/>
                <w:szCs w:val="21"/>
                <w:lang w:bidi="ar"/>
              </w:rPr>
              <w:t>实际支出</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和田地区文化体育广播电视和旅游局</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康西瓦前线指挥部旧址修缮复原项目</w:t>
            </w:r>
          </w:p>
        </w:tc>
        <w:tc>
          <w:tcPr>
            <w:tcW w:w="588"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spacing w:line="360" w:lineRule="auto"/>
              <w:jc w:val="center"/>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0605 其他社会事业</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一般债券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color w:val="auto"/>
                <w:kern w:val="0"/>
                <w:sz w:val="20"/>
                <w:szCs w:val="20"/>
                <w:u w:val="none"/>
                <w:lang w:val="en-US" w:eastAsia="zh-CN" w:bidi="ar"/>
              </w:rPr>
              <w:t>0.1</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0.1</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0"/>
                <w:sz w:val="20"/>
                <w:szCs w:val="20"/>
                <w:lang w:eastAsia="zh-CN" w:bidi="ar"/>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和田地区水利局</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“和墨洛”城乡一体化发展南部生态屏障建设项目</w:t>
            </w:r>
          </w:p>
        </w:tc>
        <w:tc>
          <w:tcPr>
            <w:tcW w:w="588"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spacing w:line="360" w:lineRule="auto"/>
              <w:jc w:val="center"/>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0402 水利</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一般债券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color w:val="auto"/>
                <w:kern w:val="0"/>
                <w:sz w:val="20"/>
                <w:szCs w:val="20"/>
                <w:u w:val="none"/>
                <w:lang w:val="en-US" w:eastAsia="zh-CN" w:bidi="ar"/>
              </w:rPr>
              <w:t>0.5</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0.5</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3</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0"/>
                <w:sz w:val="20"/>
                <w:szCs w:val="20"/>
                <w:lang w:eastAsia="zh-CN" w:bidi="ar"/>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和田地区文化体育广播电视和旅游局</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王蔚同志事迹陈列改扩建项目</w:t>
            </w:r>
          </w:p>
        </w:tc>
        <w:tc>
          <w:tcPr>
            <w:tcW w:w="588"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0605 其他社会事业</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一般债券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i w:val="0"/>
                <w:color w:val="auto"/>
                <w:kern w:val="0"/>
                <w:sz w:val="20"/>
                <w:szCs w:val="20"/>
                <w:u w:val="none"/>
                <w:lang w:val="en-US" w:eastAsia="zh-CN" w:bidi="ar"/>
              </w:rPr>
              <w:t>0.1</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0.1</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0"/>
                <w:sz w:val="20"/>
                <w:szCs w:val="20"/>
                <w:lang w:eastAsia="zh-CN" w:bidi="ar"/>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和田地区档案馆</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和田地区档案馆建设项目</w:t>
            </w:r>
          </w:p>
        </w:tc>
        <w:tc>
          <w:tcPr>
            <w:tcW w:w="588"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0605 其他社会事业</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一般债券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0.1</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0.1</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0"/>
                <w:sz w:val="20"/>
                <w:szCs w:val="20"/>
                <w:lang w:eastAsia="zh-CN" w:bidi="ar"/>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和田职业技术学院</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ascii="仿宋_GB2312" w:hAnsi="仿宋_GB2312" w:eastAsia="仿宋_GB2312" w:cs="仿宋_GB2312"/>
                <w:i w:val="0"/>
                <w:color w:val="auto"/>
                <w:kern w:val="0"/>
                <w:sz w:val="20"/>
                <w:szCs w:val="20"/>
                <w:u w:val="none"/>
                <w:lang w:val="en-US" w:eastAsia="zh-CN" w:bidi="ar"/>
              </w:rPr>
              <w:t>和田职业技术学院（二期）建设项目</w:t>
            </w:r>
          </w:p>
        </w:tc>
        <w:tc>
          <w:tcPr>
            <w:tcW w:w="5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060202 职业教育</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专项债券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0.8</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i w:val="0"/>
                <w:color w:val="auto"/>
                <w:kern w:val="0"/>
                <w:sz w:val="20"/>
                <w:szCs w:val="20"/>
                <w:u w:val="none"/>
                <w:lang w:val="en-US" w:eastAsia="zh-CN" w:bidi="ar"/>
              </w:rPr>
              <w:t>0.46</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0"/>
                <w:sz w:val="20"/>
                <w:szCs w:val="20"/>
                <w:lang w:eastAsia="zh-CN" w:bidi="ar"/>
              </w:rPr>
            </w:pPr>
            <w:r>
              <w:rPr>
                <w:rFonts w:hint="eastAsia" w:ascii="仿宋_GB2312" w:hAnsi="仿宋_GB2312" w:eastAsia="仿宋_GB2312" w:cs="仿宋_GB2312"/>
                <w:color w:val="auto"/>
                <w:kern w:val="0"/>
                <w:sz w:val="20"/>
                <w:szCs w:val="20"/>
                <w:lang w:eastAsia="zh-CN" w:bidi="ar"/>
              </w:rPr>
              <w:t>和田地区本级</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和田地区教育学院</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ascii="仿宋_GB2312" w:hAnsi="仿宋_GB2312" w:eastAsia="仿宋_GB2312" w:cs="仿宋_GB2312"/>
                <w:i w:val="0"/>
                <w:color w:val="auto"/>
                <w:kern w:val="0"/>
                <w:sz w:val="20"/>
                <w:szCs w:val="20"/>
                <w:u w:val="none"/>
                <w:lang w:val="en-US" w:eastAsia="zh-CN" w:bidi="ar"/>
              </w:rPr>
              <w:t>和田地区教育学院校区改扩建项目（二期）</w:t>
            </w:r>
          </w:p>
        </w:tc>
        <w:tc>
          <w:tcPr>
            <w:tcW w:w="5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060202 职业教育</w:t>
            </w:r>
          </w:p>
        </w:tc>
        <w:tc>
          <w:tcPr>
            <w:tcW w:w="635" w:type="pct"/>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专项债券</w:t>
            </w:r>
          </w:p>
        </w:tc>
        <w:tc>
          <w:tcPr>
            <w:tcW w:w="5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1.4</w:t>
            </w:r>
          </w:p>
        </w:tc>
        <w:tc>
          <w:tcPr>
            <w:tcW w:w="579" w:type="pct"/>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r>
      <w:tr>
        <w:tblPrEx>
          <w:tblCellMar>
            <w:top w:w="0" w:type="dxa"/>
            <w:left w:w="108" w:type="dxa"/>
            <w:bottom w:w="0" w:type="dxa"/>
            <w:right w:w="108" w:type="dxa"/>
          </w:tblCellMar>
        </w:tblPrEx>
        <w:trPr>
          <w:trHeight w:val="454"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7</w:t>
            </w:r>
          </w:p>
        </w:tc>
        <w:tc>
          <w:tcPr>
            <w:tcW w:w="4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县市区小计</w:t>
            </w:r>
          </w:p>
        </w:tc>
        <w:tc>
          <w:tcPr>
            <w:tcW w:w="8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8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58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63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一般债券、专项债券</w:t>
            </w:r>
          </w:p>
        </w:tc>
        <w:tc>
          <w:tcPr>
            <w:tcW w:w="55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110.28</w:t>
            </w:r>
          </w:p>
        </w:tc>
        <w:tc>
          <w:tcPr>
            <w:tcW w:w="57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sz w:val="20"/>
                <w:szCs w:val="20"/>
                <w:lang w:val="en-US" w:eastAsia="zh-CN"/>
              </w:rPr>
              <w:t>40.14</w:t>
            </w:r>
          </w:p>
        </w:tc>
      </w:tr>
      <w:tr>
        <w:tblPrEx>
          <w:tblCellMar>
            <w:top w:w="0" w:type="dxa"/>
            <w:left w:w="108" w:type="dxa"/>
            <w:bottom w:w="0" w:type="dxa"/>
            <w:right w:w="108" w:type="dxa"/>
          </w:tblCellMar>
        </w:tblPrEx>
        <w:trPr>
          <w:trHeight w:val="658" w:hRule="atLeast"/>
        </w:trPr>
        <w:tc>
          <w:tcPr>
            <w:tcW w:w="5000" w:type="pct"/>
            <w:gridSpan w:val="8"/>
            <w:tcBorders>
              <w:top w:val="nil"/>
              <w:left w:val="nil"/>
              <w:bottom w:val="nil"/>
              <w:right w:val="nil"/>
            </w:tcBorders>
            <w:noWrap w:val="0"/>
            <w:vAlign w:val="center"/>
          </w:tcPr>
          <w:p>
            <w:pPr>
              <w:widowControl/>
              <w:textAlignment w:val="center"/>
              <w:rPr>
                <w:rFonts w:hint="eastAsia" w:ascii="仿宋_GB2312" w:hAnsi="宋体" w:eastAsia="仿宋_GB2312" w:cs="仿宋_GB2312"/>
                <w:color w:val="auto"/>
                <w:sz w:val="21"/>
                <w:szCs w:val="21"/>
              </w:rPr>
            </w:pPr>
            <w:r>
              <w:rPr>
                <w:rFonts w:hint="eastAsia" w:ascii="仿宋_GB2312" w:hAnsi="宋体" w:eastAsia="仿宋_GB2312" w:cs="仿宋_GB2312"/>
                <w:color w:val="auto"/>
                <w:kern w:val="0"/>
                <w:sz w:val="21"/>
                <w:szCs w:val="21"/>
                <w:lang w:bidi="ar"/>
              </w:rPr>
              <w:t>备注：新增债券额度由各地州市统筹分配至地州市本级、所辖县市区；</w:t>
            </w:r>
            <w:r>
              <w:rPr>
                <w:rFonts w:hint="default" w:ascii="仿宋_GB2312" w:hAnsi="宋体" w:eastAsia="仿宋_GB2312" w:cs="仿宋_GB2312"/>
                <w:color w:val="auto"/>
                <w:kern w:val="0"/>
                <w:sz w:val="21"/>
                <w:szCs w:val="21"/>
                <w:lang w:bidi="ar"/>
              </w:rPr>
              <w:t>地州市公开时需公开所属县市区合计数，</w:t>
            </w:r>
            <w:r>
              <w:rPr>
                <w:rFonts w:hint="eastAsia" w:ascii="仿宋_GB2312" w:hAnsi="宋体" w:eastAsia="仿宋_GB2312" w:cs="仿宋_GB2312"/>
                <w:color w:val="auto"/>
                <w:kern w:val="0"/>
                <w:sz w:val="21"/>
                <w:szCs w:val="21"/>
                <w:lang w:bidi="ar"/>
              </w:rPr>
              <w:t>各地县的新增债券</w:t>
            </w:r>
            <w:r>
              <w:rPr>
                <w:rFonts w:hint="default" w:ascii="仿宋_GB2312" w:hAnsi="宋体" w:eastAsia="仿宋_GB2312" w:cs="仿宋_GB2312"/>
                <w:color w:val="auto"/>
                <w:kern w:val="0"/>
                <w:sz w:val="21"/>
                <w:szCs w:val="21"/>
                <w:lang w:bidi="ar"/>
              </w:rPr>
              <w:t>使用情况需按</w:t>
            </w:r>
            <w:r>
              <w:rPr>
                <w:rFonts w:hint="eastAsia" w:ascii="仿宋_GB2312" w:hAnsi="宋体" w:eastAsia="仿宋_GB2312" w:cs="仿宋_GB2312"/>
                <w:color w:val="auto"/>
                <w:kern w:val="0"/>
                <w:sz w:val="21"/>
                <w:szCs w:val="21"/>
                <w:lang w:bidi="ar"/>
              </w:rPr>
              <w:t>项目</w:t>
            </w:r>
            <w:r>
              <w:rPr>
                <w:rFonts w:hint="default" w:ascii="仿宋_GB2312" w:hAnsi="宋体" w:eastAsia="仿宋_GB2312" w:cs="仿宋_GB2312"/>
                <w:color w:val="auto"/>
                <w:kern w:val="0"/>
                <w:sz w:val="21"/>
                <w:szCs w:val="21"/>
                <w:lang w:bidi="ar"/>
              </w:rPr>
              <w:t>公开</w:t>
            </w:r>
            <w:r>
              <w:rPr>
                <w:rFonts w:hint="eastAsia" w:ascii="仿宋_GB2312" w:hAnsi="宋体" w:eastAsia="仿宋_GB2312" w:cs="仿宋_GB2312"/>
                <w:color w:val="auto"/>
                <w:kern w:val="0"/>
                <w:sz w:val="21"/>
                <w:szCs w:val="21"/>
                <w:lang w:bidi="ar"/>
              </w:rPr>
              <w:t>。</w:t>
            </w:r>
          </w:p>
        </w:tc>
      </w:tr>
    </w:tbl>
    <w:p>
      <w:pPr>
        <w:pStyle w:val="2"/>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5"/>
        <w:numPr>
          <w:ilvl w:val="0"/>
          <w:numId w:val="11"/>
        </w:numPr>
        <w:spacing w:before="156" w:beforeLines="50" w:after="156" w:afterLines="50"/>
        <w:ind w:left="1363" w:leftChars="0" w:hanging="720" w:firstLineChars="0"/>
        <w:rPr>
          <w:color w:val="auto"/>
          <w:lang w:eastAsia="zh-Hans"/>
        </w:rPr>
      </w:pPr>
      <w:bookmarkStart w:id="39" w:name="_Toc22803"/>
      <w:r>
        <w:rPr>
          <w:color w:val="auto"/>
          <w:lang w:eastAsia="zh-Hans"/>
        </w:rPr>
        <w:t>还本付息决算情况表</w:t>
      </w:r>
      <w:bookmarkEnd w:id="39"/>
    </w:p>
    <w:tbl>
      <w:tblPr>
        <w:tblStyle w:val="15"/>
        <w:tblW w:w="5614" w:type="pct"/>
        <w:tblInd w:w="-501" w:type="dxa"/>
        <w:tblLayout w:type="autofit"/>
        <w:tblCellMar>
          <w:top w:w="0" w:type="dxa"/>
          <w:left w:w="108" w:type="dxa"/>
          <w:bottom w:w="0" w:type="dxa"/>
          <w:right w:w="108" w:type="dxa"/>
        </w:tblCellMar>
      </w:tblPr>
      <w:tblGrid>
        <w:gridCol w:w="498"/>
        <w:gridCol w:w="3645"/>
        <w:gridCol w:w="1721"/>
        <w:gridCol w:w="1876"/>
        <w:gridCol w:w="1281"/>
        <w:gridCol w:w="548"/>
      </w:tblGrid>
      <w:tr>
        <w:tblPrEx>
          <w:tblCellMar>
            <w:top w:w="0" w:type="dxa"/>
            <w:left w:w="108" w:type="dxa"/>
            <w:bottom w:w="0" w:type="dxa"/>
            <w:right w:w="108" w:type="dxa"/>
          </w:tblCellMar>
        </w:tblPrEx>
        <w:trPr>
          <w:gridBefore w:val="1"/>
          <w:gridAfter w:val="1"/>
          <w:wBefore w:w="260" w:type="pct"/>
          <w:wAfter w:w="286" w:type="pct"/>
          <w:trHeight w:val="612" w:hRule="atLeast"/>
        </w:trPr>
        <w:tc>
          <w:tcPr>
            <w:tcW w:w="4452" w:type="pct"/>
            <w:gridSpan w:val="4"/>
            <w:tcBorders>
              <w:top w:val="nil"/>
              <w:left w:val="nil"/>
              <w:bottom w:val="nil"/>
              <w:right w:val="nil"/>
            </w:tcBorders>
            <w:noWrap w:val="0"/>
            <w:vAlign w:val="center"/>
          </w:tcPr>
          <w:p>
            <w:pPr>
              <w:widowControl/>
              <w:jc w:val="center"/>
              <w:textAlignment w:val="center"/>
              <w:rPr>
                <w:rFonts w:ascii="宋体" w:hAnsi="宋体" w:cs="宋体"/>
                <w:b/>
                <w:bCs/>
                <w:color w:val="auto"/>
                <w:sz w:val="30"/>
                <w:szCs w:val="30"/>
              </w:rPr>
            </w:pPr>
            <w:r>
              <w:rPr>
                <w:rFonts w:hint="eastAsia" w:ascii="仿宋_GB2312" w:hAnsi="宋体" w:eastAsia="仿宋_GB2312" w:cs="宋体"/>
                <w:b/>
                <w:bCs/>
                <w:color w:val="auto"/>
                <w:kern w:val="0"/>
                <w:sz w:val="32"/>
                <w:szCs w:val="32"/>
                <w:lang w:bidi="ar"/>
              </w:rPr>
              <w:t>202</w:t>
            </w:r>
            <w:r>
              <w:rPr>
                <w:rFonts w:hint="eastAsia" w:ascii="仿宋_GB2312" w:hAnsi="宋体" w:eastAsia="仿宋_GB2312" w:cs="宋体"/>
                <w:b/>
                <w:bCs/>
                <w:color w:val="auto"/>
                <w:kern w:val="0"/>
                <w:sz w:val="32"/>
                <w:szCs w:val="32"/>
                <w:lang w:val="en-US" w:eastAsia="zh-CN" w:bidi="ar"/>
              </w:rPr>
              <w:t>4</w:t>
            </w:r>
            <w:r>
              <w:rPr>
                <w:rFonts w:ascii="仿宋_GB2312" w:hAnsi="宋体" w:eastAsia="仿宋_GB2312" w:cs="宋体"/>
                <w:b/>
                <w:bCs/>
                <w:color w:val="auto"/>
                <w:kern w:val="0"/>
                <w:sz w:val="32"/>
                <w:szCs w:val="32"/>
                <w:lang w:bidi="ar"/>
              </w:rPr>
              <w:t>年度</w:t>
            </w:r>
            <w:r>
              <w:rPr>
                <w:rFonts w:hint="eastAsia" w:ascii="仿宋_GB2312" w:hAnsi="宋体" w:eastAsia="仿宋_GB2312" w:cs="宋体"/>
                <w:b/>
                <w:bCs/>
                <w:color w:val="auto"/>
                <w:kern w:val="0"/>
                <w:sz w:val="32"/>
                <w:szCs w:val="32"/>
                <w:lang w:eastAsia="zh-CN" w:bidi="ar"/>
              </w:rPr>
              <w:t>和田地区</w:t>
            </w:r>
            <w:r>
              <w:rPr>
                <w:rFonts w:ascii="仿宋_GB2312" w:hAnsi="宋体" w:eastAsia="仿宋_GB2312" w:cs="宋体"/>
                <w:b/>
                <w:bCs/>
                <w:color w:val="auto"/>
                <w:kern w:val="0"/>
                <w:sz w:val="32"/>
                <w:szCs w:val="32"/>
                <w:lang w:bidi="ar"/>
              </w:rPr>
              <w:t>还本付息决算情况表</w:t>
            </w:r>
          </w:p>
        </w:tc>
      </w:tr>
      <w:tr>
        <w:tblPrEx>
          <w:tblCellMar>
            <w:top w:w="0" w:type="dxa"/>
            <w:left w:w="108" w:type="dxa"/>
            <w:bottom w:w="0" w:type="dxa"/>
            <w:right w:w="108" w:type="dxa"/>
          </w:tblCellMar>
        </w:tblPrEx>
        <w:trPr>
          <w:gridBefore w:val="1"/>
          <w:gridAfter w:val="1"/>
          <w:wBefore w:w="260" w:type="pct"/>
          <w:wAfter w:w="286" w:type="pct"/>
          <w:trHeight w:val="340" w:hRule="atLeast"/>
        </w:trPr>
        <w:tc>
          <w:tcPr>
            <w:tcW w:w="4452" w:type="pct"/>
            <w:gridSpan w:val="4"/>
            <w:tcBorders>
              <w:top w:val="nil"/>
              <w:left w:val="nil"/>
              <w:bottom w:val="nil"/>
              <w:right w:val="nil"/>
            </w:tcBorders>
            <w:noWrap w:val="0"/>
            <w:vAlign w:val="center"/>
          </w:tcPr>
          <w:p>
            <w:pPr>
              <w:widowControl/>
              <w:jc w:val="right"/>
              <w:textAlignment w:val="center"/>
              <w:rPr>
                <w:rFonts w:hint="eastAsia" w:ascii="宋体" w:hAnsi="宋体" w:cs="宋体"/>
                <w:b/>
                <w:bCs/>
                <w:color w:val="auto"/>
                <w:sz w:val="22"/>
                <w:szCs w:val="22"/>
              </w:rPr>
            </w:pPr>
            <w:r>
              <w:rPr>
                <w:rFonts w:hint="eastAsia" w:ascii="宋体" w:hAnsi="宋体" w:cs="宋体"/>
                <w:b/>
                <w:bCs/>
                <w:color w:val="auto"/>
                <w:kern w:val="0"/>
                <w:sz w:val="22"/>
                <w:szCs w:val="22"/>
                <w:lang w:bidi="ar"/>
              </w:rPr>
              <w:t>单位：亿元</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项目</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本地区</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lang w:bidi="ar"/>
              </w:rPr>
              <w:t>本级</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所属县市区  合计</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一、上年末地方政府债务余额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1"/>
                <w:szCs w:val="21"/>
                <w:u w:val="none"/>
                <w:lang w:val="en-US" w:eastAsia="zh-CN" w:bidi="ar"/>
              </w:rPr>
              <w:t>551.20</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1"/>
                <w:szCs w:val="21"/>
                <w:u w:val="none"/>
                <w:lang w:val="en-US" w:eastAsia="zh-CN" w:bidi="ar"/>
              </w:rPr>
              <w:t>17.80</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1"/>
                <w:szCs w:val="21"/>
                <w:u w:val="none"/>
                <w:lang w:val="en-US" w:eastAsia="zh-CN" w:bidi="ar"/>
              </w:rPr>
              <w:t>533.40</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其中：一般债务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268.36</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17.18</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251.18</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282.84</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0.62</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282.22</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二、上年地方政府债务限额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569.55</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19.24</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550.31</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其中：一般债务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286.26</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18.62</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267.64</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283.29</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0.62</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i w:val="0"/>
                <w:color w:val="auto"/>
                <w:kern w:val="0"/>
                <w:sz w:val="21"/>
                <w:szCs w:val="21"/>
                <w:u w:val="none"/>
                <w:lang w:val="en-US" w:eastAsia="zh-CN" w:bidi="ar"/>
              </w:rPr>
              <w:t>282.67</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三、当年地方政府债务发行决算数</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127.98</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7.05</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120.93</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新增一般债券发行额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23.18</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0.80</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22.38</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再融资一般债券发行额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11.40</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3.70</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7.70</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新增专项债券发行额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90.10</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2.20</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87.90</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再融资专项债券发行额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3.30</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0.35</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2.95</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置换一般债券发行额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置换专项债券发行额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国际金融组织和外国政府贷款</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四、当年地方政府债务还本决算数</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14.3</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4.13</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10.17</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lang w:val="en-US" w:eastAsia="zh-CN"/>
              </w:rPr>
              <w:t>14.3</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lang w:val="en-US" w:eastAsia="zh-CN"/>
              </w:rPr>
              <w:t>4.13</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lang w:val="en-US" w:eastAsia="zh-CN"/>
              </w:rPr>
              <w:t>10.17</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rPr>
            </w:pP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五、当年地方政府债务付息决算数</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18.31</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0.61</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17.70</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9.09</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0.59</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8.50</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9.22</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0.02</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9.20</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六、当年地方政府债务余额决算数</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664.76</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68.03</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596.73</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其中：一般债务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288.52</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64.86</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223.66</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376.24</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3.17</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373.07</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七、当年地方政府债务限额</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675.63</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68.72</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606.91</w:t>
            </w:r>
          </w:p>
        </w:tc>
      </w:tr>
      <w:tr>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其中：一般债务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299.10</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65.55</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233.55</w:t>
            </w:r>
          </w:p>
        </w:tc>
      </w:tr>
      <w:tr>
        <w:tblPrEx>
          <w:tblCellMar>
            <w:top w:w="0" w:type="dxa"/>
            <w:left w:w="108" w:type="dxa"/>
            <w:bottom w:w="0" w:type="dxa"/>
            <w:right w:w="108" w:type="dxa"/>
          </w:tblCellMar>
        </w:tblPrEx>
        <w:trPr>
          <w:trHeight w:val="397" w:hRule="atLeast"/>
        </w:trPr>
        <w:tc>
          <w:tcPr>
            <w:tcW w:w="216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bidi="ar"/>
              </w:rPr>
              <w:t>专项债务</w:t>
            </w:r>
          </w:p>
        </w:tc>
        <w:tc>
          <w:tcPr>
            <w:tcW w:w="8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376.53</w:t>
            </w:r>
          </w:p>
        </w:tc>
        <w:tc>
          <w:tcPr>
            <w:tcW w:w="9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3.17</w:t>
            </w:r>
          </w:p>
        </w:tc>
        <w:tc>
          <w:tcPr>
            <w:tcW w:w="95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color w:val="auto"/>
                <w:kern w:val="2"/>
                <w:sz w:val="22"/>
                <w:szCs w:val="22"/>
                <w:u w:val="none"/>
                <w:lang w:val="en-US" w:eastAsia="zh-CN" w:bidi="ar-SA"/>
              </w:rPr>
            </w:pPr>
            <w:r>
              <w:rPr>
                <w:rFonts w:hint="eastAsia" w:ascii="仿宋_GB2312" w:hAnsi="仿宋_GB2312" w:eastAsia="仿宋_GB2312" w:cs="仿宋_GB2312"/>
                <w:b w:val="0"/>
                <w:bCs w:val="0"/>
                <w:i w:val="0"/>
                <w:color w:val="auto"/>
                <w:kern w:val="0"/>
                <w:sz w:val="22"/>
                <w:szCs w:val="22"/>
                <w:u w:val="none"/>
                <w:lang w:val="en-US" w:eastAsia="zh-CN" w:bidi="ar"/>
              </w:rPr>
              <w:t>373.36</w:t>
            </w:r>
          </w:p>
        </w:tc>
      </w:tr>
    </w:tbl>
    <w:p>
      <w:pPr>
        <w:pStyle w:val="2"/>
        <w:rPr>
          <w:rFonts w:hint="eastAsia"/>
          <w:color w:val="auto"/>
          <w:lang w:eastAsia="zh-Hans"/>
        </w:rPr>
        <w:sectPr>
          <w:pgSz w:w="11906" w:h="16838"/>
          <w:pgMar w:top="1440" w:right="1800" w:bottom="1440" w:left="1800" w:header="851" w:footer="992" w:gutter="0"/>
          <w:pgNumType w:fmt="decimal"/>
          <w:cols w:space="425" w:num="1"/>
          <w:docGrid w:type="lines" w:linePitch="312" w:charSpace="0"/>
        </w:sectPr>
      </w:pPr>
    </w:p>
    <w:p>
      <w:pPr>
        <w:pStyle w:val="2"/>
        <w:rPr>
          <w:rFonts w:hint="eastAsia"/>
          <w:color w:val="auto"/>
          <w:lang w:eastAsia="zh-Hans"/>
        </w:rPr>
      </w:pPr>
    </w:p>
    <w:p>
      <w:pPr>
        <w:pStyle w:val="3"/>
        <w:spacing w:before="156" w:beforeLines="50" w:after="156" w:afterLines="50"/>
        <w:rPr>
          <w:rFonts w:hint="eastAsia"/>
          <w:b/>
          <w:bCs/>
          <w:color w:val="auto"/>
        </w:rPr>
      </w:pPr>
      <w:bookmarkStart w:id="40" w:name="_Toc9655"/>
      <w:bookmarkStart w:id="41" w:name="_Toc27760"/>
      <w:r>
        <w:rPr>
          <w:b/>
          <w:bCs/>
          <w:color w:val="auto"/>
          <w:lang w:eastAsia="zh-Hans"/>
        </w:rPr>
        <w:t>第</w:t>
      </w:r>
      <w:r>
        <w:rPr>
          <w:rFonts w:hint="eastAsia"/>
          <w:b/>
          <w:bCs/>
          <w:color w:val="auto"/>
        </w:rPr>
        <w:t>七</w:t>
      </w:r>
      <w:r>
        <w:rPr>
          <w:b/>
          <w:bCs/>
          <w:color w:val="auto"/>
          <w:lang w:eastAsia="zh-Hans"/>
        </w:rPr>
        <w:t>部分</w:t>
      </w:r>
      <w:r>
        <w:rPr>
          <w:rFonts w:hint="eastAsia"/>
          <w:b/>
          <w:bCs/>
          <w:color w:val="auto"/>
          <w:lang w:eastAsia="zh-Hans"/>
        </w:rPr>
        <w:t>：</w:t>
      </w:r>
      <w:r>
        <w:rPr>
          <w:rFonts w:hint="eastAsia"/>
          <w:b/>
          <w:bCs/>
          <w:color w:val="auto"/>
        </w:rPr>
        <w:t>预算绩效管理工作情况</w:t>
      </w:r>
      <w:bookmarkEnd w:id="40"/>
    </w:p>
    <w:bookmarkEnd w:id="41"/>
    <w:p>
      <w:pPr>
        <w:pStyle w:val="5"/>
        <w:numPr>
          <w:ilvl w:val="0"/>
          <w:numId w:val="12"/>
        </w:numPr>
        <w:bidi w:val="0"/>
        <w:rPr>
          <w:rFonts w:hint="eastAsia"/>
          <w:color w:val="auto"/>
          <w:lang w:eastAsia="zh-Hans"/>
        </w:rPr>
      </w:pPr>
      <w:bookmarkStart w:id="42" w:name="_Toc30550"/>
      <w:r>
        <w:rPr>
          <w:rFonts w:hint="eastAsia"/>
          <w:color w:val="auto"/>
          <w:lang w:eastAsia="zh-Hans"/>
        </w:rPr>
        <w:t>公开</w:t>
      </w:r>
      <w:r>
        <w:rPr>
          <w:color w:val="auto"/>
          <w:lang w:eastAsia="zh-Hans"/>
        </w:rPr>
        <w:t>本级</w:t>
      </w:r>
      <w:r>
        <w:rPr>
          <w:rFonts w:hint="eastAsia"/>
          <w:color w:val="auto"/>
          <w:lang w:eastAsia="zh-Hans"/>
        </w:rPr>
        <w:t>重大政策和重点项目绩效执行结果</w:t>
      </w:r>
      <w:bookmarkEnd w:id="42"/>
    </w:p>
    <w:p>
      <w:pPr>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2024年度，</w:t>
      </w:r>
      <w:r>
        <w:rPr>
          <w:rFonts w:hint="eastAsia" w:ascii="仿宋_GB2312" w:eastAsia="仿宋_GB2312"/>
          <w:color w:val="auto"/>
          <w:sz w:val="32"/>
          <w:szCs w:val="32"/>
          <w:lang w:val="en-US" w:eastAsia="zh-CN"/>
        </w:rPr>
        <w:t>和田地区</w:t>
      </w:r>
      <w:r>
        <w:rPr>
          <w:rFonts w:hint="eastAsia" w:ascii="仿宋_GB2312" w:eastAsia="仿宋_GB2312"/>
          <w:color w:val="auto"/>
          <w:sz w:val="32"/>
          <w:szCs w:val="32"/>
        </w:rPr>
        <w:t>财政对2023年度重点绩效评价共选取</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个评价对象(包括部门整体评价</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个，下级政府财政综合运行绩效评价</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个，财政政策评价</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个、政府采购项目</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个、政府购买服务项目</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个，以及</w:t>
      </w:r>
      <w:r>
        <w:rPr>
          <w:rFonts w:hint="eastAsia" w:ascii="仿宋_GB2312" w:eastAsia="仿宋_GB2312"/>
          <w:color w:val="auto"/>
          <w:sz w:val="32"/>
          <w:szCs w:val="32"/>
          <w:lang w:val="en-US" w:eastAsia="zh-CN"/>
        </w:rPr>
        <w:t>基建</w:t>
      </w:r>
      <w:r>
        <w:rPr>
          <w:rFonts w:hint="eastAsia" w:ascii="仿宋_GB2312" w:eastAsia="仿宋_GB2312"/>
          <w:color w:val="auto"/>
          <w:sz w:val="32"/>
          <w:szCs w:val="32"/>
        </w:rPr>
        <w:t>项目</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个)，评价资金总额达</w:t>
      </w:r>
      <w:r>
        <w:rPr>
          <w:rFonts w:hint="eastAsia" w:ascii="仿宋_GB2312" w:eastAsia="仿宋_GB2312"/>
          <w:color w:val="auto"/>
          <w:sz w:val="32"/>
          <w:szCs w:val="32"/>
          <w:lang w:val="en-US" w:eastAsia="zh-CN"/>
        </w:rPr>
        <w:t>108.89</w:t>
      </w:r>
      <w:r>
        <w:rPr>
          <w:rFonts w:hint="eastAsia" w:ascii="仿宋_GB2312" w:eastAsia="仿宋_GB2312"/>
          <w:color w:val="auto"/>
          <w:sz w:val="32"/>
          <w:szCs w:val="32"/>
        </w:rPr>
        <w:t>亿元。评价类型覆盖“四本预算”及部门整体、下级政府财政运行、财政政策、政府采购、政府购买服务等方面。目前整体评价工作已完成，形成了</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个评价报告。</w:t>
      </w:r>
    </w:p>
    <w:p>
      <w:pPr>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落实重大政策和重点项目评价结果公开有关要求，</w:t>
      </w:r>
      <w:r>
        <w:rPr>
          <w:rFonts w:hint="eastAsia" w:ascii="仿宋_GB2312" w:eastAsia="仿宋_GB2312"/>
          <w:color w:val="auto"/>
          <w:sz w:val="32"/>
          <w:szCs w:val="32"/>
          <w:lang w:val="en-US" w:eastAsia="zh-CN"/>
        </w:rPr>
        <w:t>和田地区</w:t>
      </w:r>
      <w:r>
        <w:rPr>
          <w:rFonts w:hint="eastAsia" w:ascii="仿宋_GB2312" w:eastAsia="仿宋_GB2312"/>
          <w:color w:val="auto"/>
          <w:sz w:val="32"/>
          <w:szCs w:val="32"/>
        </w:rPr>
        <w:t>财政局组织局相关业务</w:t>
      </w:r>
      <w:r>
        <w:rPr>
          <w:rFonts w:hint="default" w:ascii="仿宋_GB2312" w:eastAsia="仿宋_GB2312"/>
          <w:color w:val="auto"/>
          <w:sz w:val="32"/>
          <w:szCs w:val="32"/>
        </w:rPr>
        <w:t>科室</w:t>
      </w:r>
      <w:r>
        <w:rPr>
          <w:rFonts w:hint="eastAsia" w:ascii="仿宋_GB2312" w:eastAsia="仿宋_GB2312"/>
          <w:color w:val="auto"/>
          <w:sz w:val="32"/>
          <w:szCs w:val="32"/>
        </w:rPr>
        <w:t>、被评价单位已在</w:t>
      </w:r>
      <w:r>
        <w:rPr>
          <w:rFonts w:hint="default" w:ascii="仿宋_GB2312" w:eastAsia="仿宋_GB2312"/>
          <w:color w:val="auto"/>
          <w:sz w:val="32"/>
          <w:szCs w:val="32"/>
        </w:rPr>
        <w:t>同级</w:t>
      </w:r>
      <w:r>
        <w:rPr>
          <w:rFonts w:hint="eastAsia" w:ascii="仿宋_GB2312" w:eastAsia="仿宋_GB2312"/>
          <w:color w:val="auto"/>
          <w:sz w:val="32"/>
          <w:szCs w:val="32"/>
        </w:rPr>
        <w:t>政府门户网站对重点项目绩效评价报告进行了公开。（具体项目见附表，相关报告公开情况可在</w:t>
      </w:r>
      <w:r>
        <w:rPr>
          <w:rFonts w:hint="default" w:ascii="仿宋_GB2312" w:eastAsia="仿宋_GB2312"/>
          <w:color w:val="auto"/>
          <w:sz w:val="32"/>
          <w:szCs w:val="32"/>
        </w:rPr>
        <w:t>同级</w:t>
      </w:r>
      <w:r>
        <w:rPr>
          <w:rFonts w:hint="eastAsia" w:ascii="仿宋_GB2312" w:eastAsia="仿宋_GB2312"/>
          <w:color w:val="auto"/>
          <w:sz w:val="32"/>
          <w:szCs w:val="32"/>
        </w:rPr>
        <w:t>人民政府门户网站查阅。</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w:t>
      </w:r>
      <w:r>
        <w:rPr>
          <w:rFonts w:hint="eastAsia" w:ascii="仿宋_GB2312" w:eastAsia="仿宋_GB2312"/>
          <w:color w:val="auto"/>
          <w:sz w:val="32"/>
          <w:szCs w:val="32"/>
          <w:lang w:val="en-US" w:eastAsia="zh-CN"/>
        </w:rPr>
        <w:t>下级财政运行</w:t>
      </w:r>
      <w:r>
        <w:rPr>
          <w:rFonts w:hint="eastAsia" w:ascii="仿宋_GB2312" w:eastAsia="仿宋_GB2312"/>
          <w:color w:val="auto"/>
          <w:sz w:val="32"/>
          <w:szCs w:val="32"/>
        </w:rPr>
        <w:t>报告涉及涉密及敏感信息，不予公开）。</w:t>
      </w:r>
    </w:p>
    <w:p>
      <w:pPr>
        <w:pStyle w:val="14"/>
        <w:pageBreakBefore w:val="0"/>
        <w:widowControl w:val="0"/>
        <w:kinsoku/>
        <w:wordWrap/>
        <w:overflowPunct/>
        <w:topLinePunct w:val="0"/>
        <w:autoSpaceDE/>
        <w:autoSpaceDN/>
        <w:bidi w:val="0"/>
        <w:adjustRightInd/>
        <w:spacing w:line="560" w:lineRule="exact"/>
        <w:textAlignment w:val="auto"/>
        <w:rPr>
          <w:rFonts w:hint="eastAsia"/>
          <w:color w:val="auto"/>
        </w:rPr>
      </w:pPr>
    </w:p>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年度</w:t>
      </w:r>
      <w:r>
        <w:rPr>
          <w:rFonts w:hint="eastAsia" w:ascii="仿宋_GB2312" w:eastAsia="仿宋_GB2312"/>
          <w:color w:val="auto"/>
          <w:sz w:val="32"/>
          <w:szCs w:val="32"/>
          <w:lang w:val="en-US" w:eastAsia="zh-CN"/>
        </w:rPr>
        <w:t>和田地区</w:t>
      </w:r>
      <w:r>
        <w:rPr>
          <w:rFonts w:hint="eastAsia" w:ascii="仿宋_GB2312" w:eastAsia="仿宋_GB2312"/>
          <w:color w:val="auto"/>
          <w:sz w:val="32"/>
          <w:szCs w:val="32"/>
        </w:rPr>
        <w:t>本级财政重点绩效评价报告</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7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2"/>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序号</w:t>
            </w:r>
          </w:p>
        </w:tc>
        <w:tc>
          <w:tcPr>
            <w:tcW w:w="7167"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1</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rPr>
              <w:t>和田地区红十字会</w:t>
            </w:r>
            <w:r>
              <w:rPr>
                <w:rFonts w:hint="eastAsia" w:ascii="仿宋_GB2312" w:hAnsi="Calibri" w:eastAsia="仿宋_GB2312" w:cs="Arial"/>
                <w:color w:val="auto"/>
                <w:lang w:val="en-US" w:eastAsia="zh-CN"/>
              </w:rPr>
              <w:t>部门整体绩效</w:t>
            </w:r>
            <w:r>
              <w:rPr>
                <w:rFonts w:hint="eastAsia" w:ascii="仿宋_GB2312" w:hAnsi="Calibri" w:eastAsia="仿宋_GB2312" w:cs="Arial"/>
                <w:color w:val="auto"/>
              </w:rPr>
              <w:t>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2</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lang w:val="en-US" w:eastAsia="zh-CN"/>
              </w:rPr>
              <w:t>和田地区2024年</w:t>
            </w:r>
            <w:r>
              <w:rPr>
                <w:rFonts w:hint="eastAsia" w:ascii="仿宋_GB2312" w:hAnsi="Calibri" w:eastAsia="仿宋_GB2312" w:cs="Arial"/>
                <w:color w:val="auto"/>
              </w:rPr>
              <w:t>消费品以旧换新</w:t>
            </w:r>
            <w:r>
              <w:rPr>
                <w:rFonts w:hint="eastAsia" w:ascii="仿宋_GB2312" w:hAnsi="Calibri" w:eastAsia="仿宋_GB2312" w:cs="Arial"/>
                <w:color w:val="auto"/>
                <w:lang w:val="en-US" w:eastAsia="zh-CN"/>
              </w:rPr>
              <w:t>政策绩效</w:t>
            </w:r>
            <w:r>
              <w:rPr>
                <w:rFonts w:hint="eastAsia" w:ascii="仿宋_GB2312" w:hAnsi="Calibri" w:eastAsia="仿宋_GB2312" w:cs="Arial"/>
                <w:color w:val="auto"/>
              </w:rPr>
              <w:t>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rPr>
            </w:pPr>
            <w:r>
              <w:rPr>
                <w:rFonts w:hint="eastAsia" w:ascii="仿宋_GB2312" w:hAnsi="Calibri" w:eastAsia="仿宋_GB2312" w:cs="Arial"/>
                <w:color w:val="auto"/>
              </w:rPr>
              <w:t>3</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lang w:val="en-US" w:eastAsia="zh-CN"/>
              </w:rPr>
              <w:t>和田地区2024年</w:t>
            </w:r>
            <w:r>
              <w:rPr>
                <w:rFonts w:hint="eastAsia" w:ascii="仿宋_GB2312" w:hAnsi="Calibri" w:eastAsia="仿宋_GB2312" w:cs="Arial"/>
                <w:color w:val="auto"/>
              </w:rPr>
              <w:t>汽车以旧换新</w:t>
            </w:r>
            <w:r>
              <w:rPr>
                <w:rFonts w:hint="eastAsia" w:ascii="仿宋_GB2312" w:hAnsi="Calibri" w:eastAsia="仿宋_GB2312" w:cs="Arial"/>
                <w:color w:val="auto"/>
                <w:lang w:val="en-US" w:eastAsia="zh-CN"/>
              </w:rPr>
              <w:t>政策绩效</w:t>
            </w:r>
            <w:r>
              <w:rPr>
                <w:rFonts w:hint="eastAsia" w:ascii="仿宋_GB2312" w:hAnsi="Calibri" w:eastAsia="仿宋_GB2312" w:cs="Arial"/>
                <w:color w:val="auto"/>
              </w:rPr>
              <w:t>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4</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rPr>
              <w:t>2024年度环塔拉力赛项目</w:t>
            </w:r>
            <w:r>
              <w:rPr>
                <w:rFonts w:hint="eastAsia" w:ascii="仿宋_GB2312" w:hAnsi="Calibri" w:eastAsia="仿宋_GB2312" w:cs="Arial"/>
                <w:color w:val="auto"/>
                <w:lang w:val="en-US" w:eastAsia="zh-CN"/>
              </w:rPr>
              <w:t>绩效评价报告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5</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rPr>
              <w:t>自然灾害应急能力提升工程补助资金项目</w:t>
            </w:r>
            <w:r>
              <w:rPr>
                <w:rFonts w:hint="eastAsia" w:ascii="仿宋_GB2312" w:hAnsi="Calibri" w:eastAsia="仿宋_GB2312" w:cs="Arial"/>
                <w:color w:val="auto"/>
                <w:lang w:val="en-US" w:eastAsia="zh-CN"/>
              </w:rPr>
              <w:t>绩效评价报告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6</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rPr>
              <w:t>2024年中央农业防灾减灾和水利救灾资金（动物防疫补助）</w:t>
            </w:r>
            <w:r>
              <w:rPr>
                <w:rFonts w:hint="eastAsia" w:ascii="仿宋_GB2312" w:hAnsi="Calibri" w:eastAsia="仿宋_GB2312" w:cs="Arial"/>
                <w:color w:val="auto"/>
                <w:lang w:val="en-US" w:eastAsia="zh-CN"/>
              </w:rPr>
              <w:t>项目绩效评价报告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7</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eastAsia" w:ascii="仿宋_GB2312" w:hAnsi="Calibri" w:eastAsia="仿宋_GB2312" w:cs="Arial"/>
                <w:color w:val="auto"/>
              </w:rPr>
            </w:pPr>
            <w:r>
              <w:rPr>
                <w:rFonts w:hint="eastAsia" w:ascii="仿宋_GB2312" w:hAnsi="Calibri" w:eastAsia="仿宋_GB2312" w:cs="Arial"/>
                <w:color w:val="auto"/>
              </w:rPr>
              <w:t>2024年救灾物资储备库基础建设及设备配置资金项目</w:t>
            </w:r>
            <w:r>
              <w:rPr>
                <w:rFonts w:hint="eastAsia" w:ascii="仿宋_GB2312" w:hAnsi="Calibri" w:eastAsia="仿宋_GB2312" w:cs="Arial"/>
                <w:color w:val="auto"/>
                <w:lang w:val="en-US" w:eastAsia="zh-CN"/>
              </w:rPr>
              <w:t>绩效评价报告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8</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default" w:ascii="仿宋_GB2312" w:hAnsi="Calibri" w:eastAsia="仿宋_GB2312" w:cs="Arial"/>
                <w:color w:val="auto"/>
                <w:lang w:val="en-US" w:eastAsia="zh-CN"/>
              </w:rPr>
            </w:pPr>
            <w:r>
              <w:rPr>
                <w:rFonts w:hint="eastAsia" w:ascii="仿宋_GB2312" w:hAnsi="Calibri" w:eastAsia="仿宋_GB2312" w:cs="Arial"/>
                <w:color w:val="auto"/>
              </w:rPr>
              <w:t>应急救灾物资储备采购</w:t>
            </w:r>
            <w:r>
              <w:rPr>
                <w:rFonts w:hint="eastAsia" w:ascii="仿宋_GB2312" w:hAnsi="Calibri" w:eastAsia="仿宋_GB2312" w:cs="Arial"/>
                <w:color w:val="auto"/>
                <w:lang w:val="en-US" w:eastAsia="zh-CN"/>
              </w:rPr>
              <w:t>项目绩效评价报告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eastAsia" w:ascii="仿宋_GB2312" w:hAnsi="Calibri" w:eastAsia="仿宋_GB2312" w:cs="Arial"/>
                <w:color w:val="auto"/>
                <w:lang w:val="en-US" w:eastAsia="zh-CN"/>
              </w:rPr>
            </w:pPr>
            <w:r>
              <w:rPr>
                <w:rFonts w:hint="eastAsia" w:ascii="仿宋_GB2312" w:hAnsi="Calibri" w:eastAsia="仿宋_GB2312" w:cs="Arial"/>
                <w:color w:val="auto"/>
                <w:lang w:val="en-US" w:eastAsia="zh-CN"/>
              </w:rPr>
              <w:t>9</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default" w:ascii="仿宋_GB2312" w:hAnsi="Calibri" w:eastAsia="仿宋_GB2312" w:cs="Arial"/>
                <w:color w:val="auto"/>
                <w:lang w:val="en-US" w:eastAsia="zh-CN"/>
              </w:rPr>
            </w:pPr>
            <w:r>
              <w:rPr>
                <w:rFonts w:hint="eastAsia" w:ascii="仿宋_GB2312" w:hAnsi="Calibri" w:eastAsia="仿宋_GB2312" w:cs="Arial"/>
                <w:color w:val="auto"/>
                <w:lang w:val="en-US" w:eastAsia="zh-CN"/>
              </w:rPr>
              <w:t>于田县下级财政运行报告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29" w:type="dxa"/>
            <w:noWrap w:val="0"/>
            <w:vAlign w:val="center"/>
          </w:tcPr>
          <w:p>
            <w:pPr>
              <w:pageBreakBefore w:val="0"/>
              <w:widowControl w:val="0"/>
              <w:kinsoku/>
              <w:wordWrap/>
              <w:overflowPunct/>
              <w:topLinePunct w:val="0"/>
              <w:autoSpaceDE/>
              <w:autoSpaceDN/>
              <w:bidi w:val="0"/>
              <w:adjustRightInd/>
              <w:spacing w:line="560" w:lineRule="exact"/>
              <w:jc w:val="center"/>
              <w:textAlignment w:val="auto"/>
              <w:rPr>
                <w:rFonts w:hint="default" w:ascii="仿宋_GB2312" w:hAnsi="Calibri" w:eastAsia="仿宋_GB2312" w:cs="Arial"/>
                <w:color w:val="auto"/>
                <w:lang w:val="en-US" w:eastAsia="zh-CN"/>
              </w:rPr>
            </w:pPr>
            <w:r>
              <w:rPr>
                <w:rFonts w:hint="eastAsia" w:ascii="仿宋_GB2312" w:hAnsi="Calibri" w:eastAsia="仿宋_GB2312" w:cs="Arial"/>
                <w:color w:val="auto"/>
                <w:lang w:val="en-US" w:eastAsia="zh-CN"/>
              </w:rPr>
              <w:t>10</w:t>
            </w:r>
          </w:p>
        </w:tc>
        <w:tc>
          <w:tcPr>
            <w:tcW w:w="7167" w:type="dxa"/>
            <w:noWrap w:val="0"/>
            <w:vAlign w:val="center"/>
          </w:tcPr>
          <w:p>
            <w:pPr>
              <w:pageBreakBefore w:val="0"/>
              <w:widowControl w:val="0"/>
              <w:kinsoku/>
              <w:wordWrap/>
              <w:overflowPunct/>
              <w:topLinePunct w:val="0"/>
              <w:autoSpaceDE/>
              <w:autoSpaceDN/>
              <w:bidi w:val="0"/>
              <w:adjustRightInd/>
              <w:spacing w:line="560" w:lineRule="exact"/>
              <w:textAlignment w:val="auto"/>
              <w:rPr>
                <w:rFonts w:hint="default" w:ascii="仿宋_GB2312" w:hAnsi="Calibri" w:eastAsia="仿宋_GB2312" w:cs="Arial"/>
                <w:color w:val="auto"/>
                <w:lang w:val="en-US" w:eastAsia="zh-CN"/>
              </w:rPr>
            </w:pPr>
            <w:r>
              <w:rPr>
                <w:rFonts w:hint="eastAsia" w:ascii="仿宋_GB2312" w:hAnsi="Calibri" w:eastAsia="仿宋_GB2312" w:cs="Arial"/>
                <w:color w:val="auto"/>
                <w:lang w:val="en-US" w:eastAsia="zh-CN"/>
              </w:rPr>
              <w:t>策勒县下级财政运行报告</w:t>
            </w:r>
          </w:p>
        </w:tc>
      </w:tr>
    </w:tbl>
    <w:p>
      <w:pPr>
        <w:pStyle w:val="14"/>
        <w:pageBreakBefore w:val="0"/>
        <w:widowControl w:val="0"/>
        <w:kinsoku/>
        <w:wordWrap/>
        <w:overflowPunct/>
        <w:topLinePunct w:val="0"/>
        <w:autoSpaceDE/>
        <w:autoSpaceDN/>
        <w:bidi w:val="0"/>
        <w:adjustRightInd/>
        <w:spacing w:line="560" w:lineRule="exact"/>
        <w:textAlignment w:val="auto"/>
        <w:rPr>
          <w:rFonts w:hint="eastAsia"/>
          <w:color w:val="auto"/>
        </w:rPr>
      </w:pPr>
    </w:p>
    <w:p>
      <w:pPr>
        <w:pStyle w:val="5"/>
        <w:bidi w:val="0"/>
        <w:rPr>
          <w:color w:val="auto"/>
          <w:lang w:eastAsia="zh-Hans"/>
        </w:rPr>
      </w:pPr>
      <w:bookmarkStart w:id="43" w:name="_Toc21763"/>
      <w:r>
        <w:rPr>
          <w:rFonts w:hint="eastAsia"/>
          <w:color w:val="auto"/>
          <w:lang w:eastAsia="zh-Hans"/>
        </w:rPr>
        <w:t>二、预算绩效工作开展情况说明</w:t>
      </w:r>
      <w:bookmarkEnd w:id="43"/>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b/>
          <w:bCs/>
          <w:color w:val="auto"/>
          <w:sz w:val="32"/>
          <w:szCs w:val="32"/>
        </w:rPr>
      </w:pP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一</w:t>
      </w: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高度重视、完善机制，不断规范预算绩效管理</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1.</w:t>
      </w:r>
      <w:r>
        <w:rPr>
          <w:rFonts w:hint="eastAsia" w:ascii="仿宋_GB2312" w:eastAsia="仿宋_GB2312"/>
          <w:b/>
          <w:bCs/>
          <w:color w:val="auto"/>
          <w:sz w:val="32"/>
          <w:szCs w:val="32"/>
        </w:rPr>
        <w:t>提高认识，全力推进。</w:t>
      </w:r>
      <w:r>
        <w:rPr>
          <w:rFonts w:hint="eastAsia" w:ascii="仿宋_GB2312" w:eastAsia="仿宋_GB2312"/>
          <w:color w:val="auto"/>
          <w:sz w:val="32"/>
          <w:szCs w:val="32"/>
        </w:rPr>
        <w:t>坚决把全面实施预算绩效管理作为政治任务，牢固树立“讲绩效、重绩效、用绩效”“花钱必问效，无效必问责”的绩效理念，持续提升全过程绩效管理水平，不断推进“全方位、全过程、全覆盖”预算绩效管理体系建设，不折不扣落实预算绩效管理各项工作任务和工作要求，财政资源配置效率和资金使用效益不断提高，有效发挥了绩效管理指挥棒作用。</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深化改革，精细管理。</w:t>
      </w:r>
      <w:r>
        <w:rPr>
          <w:rFonts w:hint="eastAsia" w:ascii="仿宋_GB2312" w:eastAsia="仿宋_GB2312"/>
          <w:color w:val="auto"/>
          <w:sz w:val="32"/>
          <w:szCs w:val="32"/>
        </w:rPr>
        <w:t>建立全面透明、标准科学、约束有力的预算制度，持续深化预算制度改革，强化预算支出的责任和效率，严格落实全面实施预算绩效管理措施，加强地县两级预算绩效管理信息系统应用管理和人员培训，形成“纵向到底，横向到边”责任体系。成立专门机构，配齐配强人员，积极引导第三方机构参与，确保地县两级所有财政收支预算、各部门单位整体预算和全口径项目支出预算绩效管理工作上下联动、整体推进。</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3.</w:t>
      </w:r>
      <w:r>
        <w:rPr>
          <w:rFonts w:hint="eastAsia" w:ascii="仿宋_GB2312" w:eastAsia="仿宋_GB2312"/>
          <w:b/>
          <w:bCs/>
          <w:color w:val="auto"/>
          <w:sz w:val="32"/>
          <w:szCs w:val="32"/>
        </w:rPr>
        <w:t>完善制度，强化管理。</w:t>
      </w:r>
      <w:r>
        <w:rPr>
          <w:rFonts w:hint="eastAsia" w:ascii="仿宋_GB2312" w:eastAsia="仿宋_GB2312"/>
          <w:color w:val="auto"/>
          <w:sz w:val="32"/>
          <w:szCs w:val="32"/>
        </w:rPr>
        <w:t>坚持把制度建设作为开展绩效管理的关键环节，完善《和田地区关于全面实施预算绩效管理实施方案》《关于加强和规范和田地区项目支出“全过程”预算绩效管理结果应用的通知》等办法措施，形成“事前开展绩效评估、预算编制设定绩效目标、预算执行进行监控、预算执行后开展绩效评价、评价结果与次年预算安排挂钩”的绩效管理闭环，做到了全过程绩效管理，有效提升了政府执行力和公信力。</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b/>
          <w:bCs/>
          <w:color w:val="auto"/>
          <w:sz w:val="32"/>
          <w:szCs w:val="32"/>
        </w:rPr>
      </w:pP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二</w:t>
      </w: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精准评估、科学评价，确保预算绩效管理扎实有效</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eastAsia="zh-CN"/>
        </w:rPr>
        <w:t>1</w:t>
      </w:r>
      <w:r>
        <w:rPr>
          <w:rFonts w:hint="eastAsia" w:ascii="仿宋_GB2312" w:eastAsia="仿宋_GB2312"/>
          <w:b/>
          <w:bCs/>
          <w:color w:val="auto"/>
          <w:sz w:val="32"/>
          <w:szCs w:val="32"/>
          <w:lang w:val="en-US" w:eastAsia="zh-CN"/>
        </w:rPr>
        <w:t>.</w:t>
      </w:r>
      <w:r>
        <w:rPr>
          <w:rFonts w:hint="eastAsia" w:ascii="仿宋_GB2312" w:eastAsia="仿宋_GB2312"/>
          <w:b/>
          <w:bCs/>
          <w:color w:val="auto"/>
          <w:sz w:val="32"/>
          <w:szCs w:val="32"/>
        </w:rPr>
        <w:t>抓好2023年度绩效目标评价。</w:t>
      </w:r>
      <w:r>
        <w:rPr>
          <w:rFonts w:hint="eastAsia" w:ascii="仿宋_GB2312" w:eastAsia="仿宋_GB2312"/>
          <w:color w:val="auto"/>
          <w:sz w:val="32"/>
          <w:szCs w:val="32"/>
        </w:rPr>
        <w:t>按照单位自评全覆盖、部门评价选重点、财政评价5年一循环的相关要求，完成2023年度部门单位整体支出和项目支出绩效评价工作。一是整体支出评价。完成2023年部门单位整体支出绩效评价1304个、资金482.43亿元。其中，地区本级135个、资金62.46亿元，县市1169个、资金419.97亿元。二是全口径项目支出评价。完成2023年项目支出绩效评价6980个、资金265.34亿元。其中，地区本级698个、资金51.05亿元，县市6282个、资金214.29亿元。完成2023年部门支出绩效评价990个、资金107.09亿元。其中，地区本级128个、资金23.48亿元，县市862个、资金83.61亿元。三是第三方机构重点项目支出评价。地县两级财政引入第三方机构，对全地区2023年重点项目实施评价61个、资金91.18亿元。其中，地区本级10个、资金67.38亿元，县市51个、资金23.8亿元。四是强化绩效评价结果应用。严格按照《关于加强和规范自治区本级项目支出“全过程”预算绩效管理结果应用的通知》要求，充分应用绩效评价结果，对低效无效资金一律消减或取消。2024年消减部门单位项目支出0.5亿元，实现了预算绩效评价结果与预算安排挂钩。</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抓好2024年度绩效目标设置。</w:t>
      </w:r>
      <w:r>
        <w:rPr>
          <w:rFonts w:hint="eastAsia" w:ascii="仿宋_GB2312" w:eastAsia="仿宋_GB2312"/>
          <w:color w:val="auto"/>
          <w:sz w:val="32"/>
          <w:szCs w:val="32"/>
        </w:rPr>
        <w:t>坚持把绩效目标作为建设项目库、编制部门预算、实施绩效监控、开展绩效评价的重要基础和依据，按照“谁使用资金、谁设置目标”“谁分配资金、谁审核目标”原则，完成部门单位整体支出和项目支出绩效目标设置审核工作。一是整体支出绩效目标。完成2024年设置审核整体支出绩效目标1304个、资金397.06亿元。其中，地区本级144个、资金95.89亿元，县市1160个、资金301.17亿元。二是全口径项目支出绩效目标。完成2024年设置审核项目支出绩效目标3839个、资金184.33亿元。其中，地区本级650个、资金51.93亿元，县市3189个、资金132.4亿元。</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3.</w:t>
      </w:r>
      <w:r>
        <w:rPr>
          <w:rFonts w:hint="eastAsia" w:ascii="仿宋_GB2312" w:eastAsia="仿宋_GB2312"/>
          <w:b/>
          <w:bCs/>
          <w:color w:val="auto"/>
          <w:sz w:val="32"/>
          <w:szCs w:val="32"/>
        </w:rPr>
        <w:t>抓好2024年度绩效运行跟踪监控。</w:t>
      </w:r>
      <w:r>
        <w:rPr>
          <w:rFonts w:hint="eastAsia" w:ascii="仿宋_GB2312" w:eastAsia="仿宋_GB2312"/>
          <w:color w:val="auto"/>
          <w:sz w:val="32"/>
          <w:szCs w:val="32"/>
        </w:rPr>
        <w:t>以绩效目标为导向，以5月底(项目支出)、6月底(整体支出)、8月底(项目支出)为监控节点，按照“谁使用、谁监控”原则，对2024年绩效目标开展“双监控”。一是整体支出绩效监控。完成2024年整体支出绩效目标跟踪监控部门资金397.06亿元。二是全口径项目支出绩效监控。完成2024年项目支出绩效目标跟踪监控3839个、资金184.33亿元。</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eastAsia="zh-CN"/>
        </w:rPr>
        <w:t>4</w:t>
      </w:r>
      <w:r>
        <w:rPr>
          <w:rFonts w:hint="eastAsia" w:ascii="仿宋_GB2312" w:eastAsia="仿宋_GB2312"/>
          <w:b/>
          <w:bCs/>
          <w:color w:val="auto"/>
          <w:sz w:val="32"/>
          <w:szCs w:val="32"/>
          <w:lang w:val="en-US" w:eastAsia="zh-CN"/>
        </w:rPr>
        <w:t>.</w:t>
      </w:r>
      <w:r>
        <w:rPr>
          <w:rFonts w:hint="eastAsia" w:ascii="仿宋_GB2312" w:eastAsia="仿宋_GB2312"/>
          <w:b/>
          <w:bCs/>
          <w:color w:val="auto"/>
          <w:sz w:val="32"/>
          <w:szCs w:val="32"/>
        </w:rPr>
        <w:t>抓好2024年度新增项目事前评估。</w:t>
      </w:r>
      <w:r>
        <w:rPr>
          <w:rFonts w:hint="eastAsia" w:ascii="仿宋_GB2312" w:eastAsia="仿宋_GB2312"/>
          <w:color w:val="auto"/>
          <w:sz w:val="32"/>
          <w:szCs w:val="32"/>
        </w:rPr>
        <w:t>建立健全重大政策、项目事前绩效评估机制，将绩效关口前移，对各部门单位新出台的重大政策、项目，组织开展事前绩效评估，推进预算绩效管理制度化、规范化，提高预算编制的科学性和准确性。完成2024年新增项目事前绩效评估10个、资金0.24亿元。其中，地区本级7个、资金0.04亿元，县市3个、资金0.2亿元。</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eastAsia="zh-CN"/>
        </w:rPr>
        <w:t>5</w:t>
      </w:r>
      <w:r>
        <w:rPr>
          <w:rFonts w:hint="eastAsia" w:ascii="仿宋_GB2312" w:eastAsia="仿宋_GB2312"/>
          <w:b/>
          <w:bCs/>
          <w:color w:val="auto"/>
          <w:sz w:val="32"/>
          <w:szCs w:val="32"/>
          <w:lang w:val="en-US" w:eastAsia="zh-CN"/>
        </w:rPr>
        <w:t>.</w:t>
      </w:r>
      <w:r>
        <w:rPr>
          <w:rFonts w:hint="eastAsia" w:ascii="仿宋_GB2312" w:eastAsia="仿宋_GB2312"/>
          <w:b/>
          <w:bCs/>
          <w:color w:val="auto"/>
          <w:sz w:val="32"/>
          <w:szCs w:val="32"/>
        </w:rPr>
        <w:t>抓好预算绩效信息公开。</w:t>
      </w:r>
      <w:r>
        <w:rPr>
          <w:rFonts w:hint="eastAsia" w:ascii="仿宋_GB2312" w:eastAsia="仿宋_GB2312"/>
          <w:color w:val="auto"/>
          <w:sz w:val="32"/>
          <w:szCs w:val="32"/>
        </w:rPr>
        <w:t>目前已将2023年绩效评价结果和2024年绩效目标在政府门户网站公开。</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eastAsia="zh-CN"/>
        </w:rPr>
        <w:t>6</w:t>
      </w:r>
      <w:r>
        <w:rPr>
          <w:rFonts w:hint="eastAsia" w:ascii="仿宋_GB2312" w:eastAsia="仿宋_GB2312"/>
          <w:b/>
          <w:bCs/>
          <w:color w:val="auto"/>
          <w:sz w:val="32"/>
          <w:szCs w:val="32"/>
          <w:lang w:val="en-US" w:eastAsia="zh-CN"/>
        </w:rPr>
        <w:t>.</w:t>
      </w:r>
      <w:r>
        <w:rPr>
          <w:rFonts w:hint="eastAsia" w:ascii="仿宋_GB2312" w:eastAsia="仿宋_GB2312"/>
          <w:b/>
          <w:bCs/>
          <w:color w:val="auto"/>
          <w:sz w:val="32"/>
          <w:szCs w:val="32"/>
        </w:rPr>
        <w:t>做好绩效管理工作考核。</w:t>
      </w:r>
      <w:r>
        <w:rPr>
          <w:rFonts w:hint="eastAsia" w:ascii="仿宋_GB2312" w:eastAsia="仿宋_GB2312"/>
          <w:color w:val="auto"/>
          <w:sz w:val="32"/>
          <w:szCs w:val="32"/>
        </w:rPr>
        <w:t>完善绩效管理工作考核机制，细化考核指标体系，对各县市和行政事业单位全面实施预算绩效管理情况进行考核，并对考核结果进行通报，推动县市、部门单位绩效管理工作提质增效，为优化部门下年度预算和部门履职情况提供依据。</w:t>
      </w:r>
    </w:p>
    <w:p>
      <w:pPr>
        <w:pStyle w:val="14"/>
        <w:pageBreakBefore w:val="0"/>
        <w:widowControl w:val="0"/>
        <w:kinsoku/>
        <w:wordWrap/>
        <w:overflowPunct/>
        <w:topLinePunct w:val="0"/>
        <w:autoSpaceDE/>
        <w:autoSpaceDN/>
        <w:bidi w:val="0"/>
        <w:adjustRightInd/>
        <w:spacing w:line="560" w:lineRule="exact"/>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三</w:t>
      </w:r>
      <w:r>
        <w:rPr>
          <w:rFonts w:hint="eastAsia" w:ascii="仿宋_GB2312" w:eastAsia="仿宋_GB2312"/>
          <w:b/>
          <w:bCs/>
          <w:color w:val="auto"/>
          <w:sz w:val="32"/>
          <w:szCs w:val="32"/>
          <w:lang w:eastAsia="zh-CN"/>
        </w:rPr>
        <w:t>）</w:t>
      </w:r>
      <w:r>
        <w:rPr>
          <w:rFonts w:hint="eastAsia" w:ascii="仿宋_GB2312" w:eastAsia="仿宋_GB2312"/>
          <w:b/>
          <w:bCs/>
          <w:color w:val="auto"/>
          <w:sz w:val="32"/>
          <w:szCs w:val="32"/>
        </w:rPr>
        <w:t>树牢导向、补强弱项，持续提高预算绩效管理成效</w:t>
      </w:r>
    </w:p>
    <w:p>
      <w:pPr>
        <w:pStyle w:val="14"/>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加强组织领导，调整绩效目标。根据相关预算管理政策制度，在牢固树立绩效理念的同时，更加关注各项目资金使用效果。按照“一个部门、一本预算”原则，对各部门单位只有起点、没有终点的“万岁项目”,及时评估论证、规范清理。指导预算单位根据项目阶段性完成数量、质量、时效、成本等情况，重新审视项目预期的效益指标、满意度指标。</w:t>
      </w:r>
    </w:p>
    <w:p>
      <w:pPr>
        <w:pStyle w:val="14"/>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加强培训指导，强化制度落实。将绩效理念和方法深度融入预算编制全过程，采取集中培训、发放相关文件汇编等方式，提高预算单位绩效管理工作水平。严格落实事前绩效评估、绩效目标编制、绩效运行监控、绩效评价等环节各项制度，压实预算单位绩效管理责任，保障预算绩效管理按流程规范执行。</w:t>
      </w:r>
    </w:p>
    <w:p>
      <w:pPr>
        <w:pStyle w:val="14"/>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强化绩效管理，推动工作考核。坚持把预算绩效管理纳入政府目标管理绩效考核范围，完善绩效管理工作考核机制，细化完善考核指标体系，夯实绩效管理基础。对全地区行政事业单位全面实施预算绩效管理改革落实情况进行考核，进一步推动部门绩效管理工作提质增效。</w:t>
      </w:r>
    </w:p>
    <w:p>
      <w:pPr>
        <w:pStyle w:val="23"/>
        <w:pageBreakBefore w:val="0"/>
        <w:widowControl w:val="0"/>
        <w:kinsoku/>
        <w:wordWrap/>
        <w:overflowPunct/>
        <w:topLinePunct w:val="0"/>
        <w:autoSpaceDE/>
        <w:autoSpaceDN/>
        <w:bidi w:val="0"/>
        <w:adjustRightInd/>
        <w:spacing w:line="560" w:lineRule="exact"/>
        <w:textAlignment w:val="auto"/>
        <w:rPr>
          <w:rFonts w:hint="eastAsia" w:ascii="仿宋_GB2312" w:eastAsia="仿宋_GB2312"/>
          <w:color w:val="auto"/>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加强结果运用，合理安排预算。严格审核各级部门单位绩效，将绩效监控、评价结果作为预算调整和预算安排的重要依据。对评价等级为优、良的，根据情况予以支持；对评价等级为较差、差的，完善政策、改进管理，并根据情况核减预算，甚至取消预算安排。对预算执行率偏低、偏离绩效目标超过20%、自评结果较差的，查明原因，提出整改措施。对不进行整改或整改不到位的，根据情况相应调减预算或整改到位后再予以安排。</w:t>
      </w:r>
    </w:p>
    <w:p>
      <w:pPr>
        <w:pStyle w:val="3"/>
        <w:spacing w:before="156" w:beforeLines="50" w:after="156" w:afterLines="50"/>
        <w:rPr>
          <w:rFonts w:hint="eastAsia"/>
          <w:b/>
          <w:bCs/>
          <w:color w:val="auto"/>
        </w:rPr>
      </w:pPr>
      <w:bookmarkStart w:id="44" w:name="_Toc6348"/>
      <w:r>
        <w:rPr>
          <w:b/>
          <w:bCs/>
          <w:color w:val="auto"/>
          <w:lang w:eastAsia="zh-Hans"/>
        </w:rPr>
        <w:t>第</w:t>
      </w:r>
      <w:r>
        <w:rPr>
          <w:rFonts w:hint="eastAsia"/>
          <w:b/>
          <w:bCs/>
          <w:color w:val="auto"/>
        </w:rPr>
        <w:t>八</w:t>
      </w:r>
      <w:r>
        <w:rPr>
          <w:b/>
          <w:bCs/>
          <w:color w:val="auto"/>
          <w:lang w:eastAsia="zh-Hans"/>
        </w:rPr>
        <w:t>部分</w:t>
      </w:r>
      <w:r>
        <w:rPr>
          <w:rFonts w:hint="eastAsia"/>
          <w:b/>
          <w:bCs/>
          <w:color w:val="auto"/>
          <w:lang w:eastAsia="zh-Hans"/>
        </w:rPr>
        <w:t>：</w:t>
      </w:r>
      <w:r>
        <w:rPr>
          <w:rFonts w:hint="eastAsia"/>
          <w:b/>
          <w:bCs/>
          <w:color w:val="auto"/>
        </w:rPr>
        <w:t>其他情况说明</w:t>
      </w:r>
      <w:bookmarkEnd w:id="44"/>
    </w:p>
    <w:p>
      <w:pPr>
        <w:pStyle w:val="23"/>
        <w:pageBreakBefore w:val="0"/>
        <w:widowControl w:val="0"/>
        <w:kinsoku/>
        <w:wordWrap/>
        <w:overflowPunct/>
        <w:topLinePunct w:val="0"/>
        <w:autoSpaceDE/>
        <w:autoSpaceDN/>
        <w:bidi w:val="0"/>
        <w:adjustRightInd/>
        <w:spacing w:line="560" w:lineRule="exact"/>
        <w:textAlignment w:val="auto"/>
        <w:rPr>
          <w:rFonts w:hint="default" w:ascii="仿宋_GB2312" w:eastAsia="仿宋_GB2312"/>
          <w:color w:val="auto"/>
          <w:sz w:val="32"/>
          <w:szCs w:val="32"/>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right"/>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right"/>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689F6"/>
    <w:multiLevelType w:val="singleLevel"/>
    <w:tmpl w:val="8F9689F6"/>
    <w:lvl w:ilvl="0" w:tentative="0">
      <w:start w:val="1"/>
      <w:numFmt w:val="chineseCounting"/>
      <w:suff w:val="nothing"/>
      <w:lvlText w:val="%1、"/>
      <w:lvlJc w:val="left"/>
      <w:rPr>
        <w:rFonts w:hint="eastAsia"/>
      </w:rPr>
    </w:lvl>
  </w:abstractNum>
  <w:abstractNum w:abstractNumId="1">
    <w:nsid w:val="BA7297F9"/>
    <w:multiLevelType w:val="singleLevel"/>
    <w:tmpl w:val="BA7297F9"/>
    <w:lvl w:ilvl="0" w:tentative="0">
      <w:start w:val="1"/>
      <w:numFmt w:val="chineseCounting"/>
      <w:suff w:val="nothing"/>
      <w:lvlText w:val="%1、"/>
      <w:lvlJc w:val="left"/>
      <w:rPr>
        <w:rFonts w:hint="eastAsia"/>
      </w:rPr>
    </w:lvl>
  </w:abstractNum>
  <w:abstractNum w:abstractNumId="2">
    <w:nsid w:val="D43D44E0"/>
    <w:multiLevelType w:val="singleLevel"/>
    <w:tmpl w:val="D43D44E0"/>
    <w:lvl w:ilvl="0" w:tentative="0">
      <w:start w:val="1"/>
      <w:numFmt w:val="chineseCounting"/>
      <w:suff w:val="nothing"/>
      <w:lvlText w:val="%1、"/>
      <w:lvlJc w:val="left"/>
      <w:rPr>
        <w:rFonts w:hint="eastAsia"/>
      </w:rPr>
    </w:lvl>
  </w:abstractNum>
  <w:abstractNum w:abstractNumId="3">
    <w:nsid w:val="E2C0D3E4"/>
    <w:multiLevelType w:val="singleLevel"/>
    <w:tmpl w:val="E2C0D3E4"/>
    <w:lvl w:ilvl="0" w:tentative="0">
      <w:start w:val="1"/>
      <w:numFmt w:val="chineseCounting"/>
      <w:suff w:val="nothing"/>
      <w:lvlText w:val="%1、"/>
      <w:lvlJc w:val="left"/>
      <w:rPr>
        <w:rFonts w:hint="eastAsia"/>
      </w:rPr>
    </w:lvl>
  </w:abstractNum>
  <w:abstractNum w:abstractNumId="4">
    <w:nsid w:val="13E5742B"/>
    <w:multiLevelType w:val="singleLevel"/>
    <w:tmpl w:val="13E5742B"/>
    <w:lvl w:ilvl="0" w:tentative="0">
      <w:start w:val="1"/>
      <w:numFmt w:val="decimal"/>
      <w:pStyle w:val="9"/>
      <w:lvlText w:val="%1."/>
      <w:lvlJc w:val="left"/>
      <w:pPr>
        <w:tabs>
          <w:tab w:val="left" w:pos="2040"/>
        </w:tabs>
        <w:ind w:left="2040" w:hanging="360"/>
      </w:pPr>
    </w:lvl>
  </w:abstractNum>
  <w:abstractNum w:abstractNumId="5">
    <w:nsid w:val="162BC7A2"/>
    <w:multiLevelType w:val="singleLevel"/>
    <w:tmpl w:val="162BC7A2"/>
    <w:lvl w:ilvl="0" w:tentative="0">
      <w:start w:val="1"/>
      <w:numFmt w:val="chineseCounting"/>
      <w:suff w:val="nothing"/>
      <w:lvlText w:val="%1、"/>
      <w:lvlJc w:val="left"/>
      <w:rPr>
        <w:rFonts w:hint="eastAsia"/>
      </w:rPr>
    </w:lvl>
  </w:abstractNum>
  <w:abstractNum w:abstractNumId="6">
    <w:nsid w:val="167F28C0"/>
    <w:multiLevelType w:val="multilevel"/>
    <w:tmpl w:val="167F28C0"/>
    <w:lvl w:ilvl="0" w:tentative="0">
      <w:start w:val="2"/>
      <w:numFmt w:val="japaneseCounting"/>
      <w:lvlText w:val="%1、"/>
      <w:lvlJc w:val="left"/>
      <w:pPr>
        <w:ind w:left="1363" w:hanging="72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abstractNum w:abstractNumId="7">
    <w:nsid w:val="22C44444"/>
    <w:multiLevelType w:val="singleLevel"/>
    <w:tmpl w:val="22C44444"/>
    <w:lvl w:ilvl="0" w:tentative="0">
      <w:start w:val="1"/>
      <w:numFmt w:val="decimal"/>
      <w:suff w:val="space"/>
      <w:lvlText w:val="%1."/>
      <w:lvlJc w:val="left"/>
    </w:lvl>
  </w:abstractNum>
  <w:abstractNum w:abstractNumId="8">
    <w:nsid w:val="282BA7DC"/>
    <w:multiLevelType w:val="singleLevel"/>
    <w:tmpl w:val="282BA7DC"/>
    <w:lvl w:ilvl="0" w:tentative="0">
      <w:start w:val="1"/>
      <w:numFmt w:val="chineseCounting"/>
      <w:suff w:val="nothing"/>
      <w:lvlText w:val="%1、"/>
      <w:lvlJc w:val="left"/>
      <w:rPr>
        <w:rFonts w:hint="eastAsia"/>
      </w:rPr>
    </w:lvl>
  </w:abstractNum>
  <w:abstractNum w:abstractNumId="9">
    <w:nsid w:val="2BDDEFE9"/>
    <w:multiLevelType w:val="singleLevel"/>
    <w:tmpl w:val="2BDDEFE9"/>
    <w:lvl w:ilvl="0" w:tentative="0">
      <w:start w:val="1"/>
      <w:numFmt w:val="decimal"/>
      <w:suff w:val="space"/>
      <w:lvlText w:val="%1."/>
      <w:lvlJc w:val="left"/>
    </w:lvl>
  </w:abstractNum>
  <w:abstractNum w:abstractNumId="10">
    <w:nsid w:val="3D011ED1"/>
    <w:multiLevelType w:val="multilevel"/>
    <w:tmpl w:val="3D011ED1"/>
    <w:lvl w:ilvl="0" w:tentative="0">
      <w:start w:val="1"/>
      <w:numFmt w:val="japaneseCounting"/>
      <w:lvlText w:val="%1、"/>
      <w:lvlJc w:val="left"/>
      <w:pPr>
        <w:ind w:left="1303" w:hanging="66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abstractNum w:abstractNumId="11">
    <w:nsid w:val="63660D25"/>
    <w:multiLevelType w:val="multilevel"/>
    <w:tmpl w:val="63660D25"/>
    <w:lvl w:ilvl="0" w:tentative="0">
      <w:start w:val="1"/>
      <w:numFmt w:val="japaneseCounting"/>
      <w:lvlText w:val="%1、"/>
      <w:lvlJc w:val="left"/>
      <w:pPr>
        <w:ind w:left="1363" w:hanging="72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num w:numId="1">
    <w:abstractNumId w:val="4"/>
  </w:num>
  <w:num w:numId="2">
    <w:abstractNumId w:val="10"/>
  </w:num>
  <w:num w:numId="3">
    <w:abstractNumId w:val="2"/>
  </w:num>
  <w:num w:numId="4">
    <w:abstractNumId w:val="7"/>
  </w:num>
  <w:num w:numId="5">
    <w:abstractNumId w:val="9"/>
  </w:num>
  <w:num w:numId="6">
    <w:abstractNumId w:val="5"/>
  </w:num>
  <w:num w:numId="7">
    <w:abstractNumId w:val="1"/>
  </w:num>
  <w:num w:numId="8">
    <w:abstractNumId w:val="11"/>
  </w:num>
  <w:num w:numId="9">
    <w:abstractNumId w:val="3"/>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710EA"/>
    <w:rsid w:val="05C70F77"/>
    <w:rsid w:val="07E5385B"/>
    <w:rsid w:val="0A052866"/>
    <w:rsid w:val="0B7455B5"/>
    <w:rsid w:val="13216D07"/>
    <w:rsid w:val="1325605E"/>
    <w:rsid w:val="1C121C36"/>
    <w:rsid w:val="1C8B7306"/>
    <w:rsid w:val="25B95E84"/>
    <w:rsid w:val="281D7B08"/>
    <w:rsid w:val="2B605C54"/>
    <w:rsid w:val="2ECA0F15"/>
    <w:rsid w:val="32FD72C3"/>
    <w:rsid w:val="36E453F9"/>
    <w:rsid w:val="37C348D7"/>
    <w:rsid w:val="37D02EC6"/>
    <w:rsid w:val="37E57A26"/>
    <w:rsid w:val="3AD000DB"/>
    <w:rsid w:val="490F4871"/>
    <w:rsid w:val="4E606D65"/>
    <w:rsid w:val="52FA78AB"/>
    <w:rsid w:val="538710EA"/>
    <w:rsid w:val="541D7EEA"/>
    <w:rsid w:val="591B28C7"/>
    <w:rsid w:val="67A83AC0"/>
    <w:rsid w:val="6B9869CE"/>
    <w:rsid w:val="77453774"/>
    <w:rsid w:val="78567CD8"/>
    <w:rsid w:val="7C9654AB"/>
    <w:rsid w:val="BA7B23C6"/>
    <w:rsid w:val="FEF75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600" w:lineRule="exact"/>
      <w:jc w:val="center"/>
      <w:outlineLvl w:val="0"/>
    </w:pPr>
    <w:rPr>
      <w:rFonts w:eastAsia="黑体"/>
      <w:kern w:val="44"/>
      <w:sz w:val="32"/>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10" w:beforeLines="10" w:after="10" w:afterLines="10" w:line="560" w:lineRule="exact"/>
      <w:outlineLvl w:val="2"/>
    </w:pPr>
    <w:rPr>
      <w:rFonts w:eastAsia="楷体_GB2312"/>
      <w:b/>
      <w:sz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rPr>
      <w:rFonts w:ascii="Calibri" w:hAnsi="Calibri" w:eastAsia="宋体" w:cs="Times New Roman"/>
      <w:szCs w:val="24"/>
    </w:rPr>
  </w:style>
  <w:style w:type="paragraph" w:styleId="6">
    <w:name w:val="Body Text Indent"/>
    <w:basedOn w:val="1"/>
    <w:next w:val="7"/>
    <w:qFormat/>
    <w:uiPriority w:val="0"/>
    <w:pPr>
      <w:spacing w:after="120"/>
      <w:ind w:left="420" w:leftChars="200"/>
    </w:pPr>
  </w:style>
  <w:style w:type="paragraph" w:styleId="7">
    <w:name w:val="Body Text First Indent 2"/>
    <w:basedOn w:val="6"/>
    <w:next w:val="8"/>
    <w:qFormat/>
    <w:uiPriority w:val="0"/>
    <w:pPr>
      <w:ind w:firstLine="420" w:firstLineChars="200"/>
    </w:pPr>
  </w:style>
  <w:style w:type="paragraph" w:styleId="8">
    <w:name w:val="Plain Text"/>
    <w:basedOn w:val="1"/>
    <w:next w:val="9"/>
    <w:qFormat/>
    <w:uiPriority w:val="0"/>
    <w:rPr>
      <w:rFonts w:ascii="宋体" w:hAnsi="Courier New" w:eastAsia="宋体" w:cs="Times New Roman"/>
      <w:sz w:val="28"/>
      <w:szCs w:val="20"/>
    </w:rPr>
  </w:style>
  <w:style w:type="paragraph" w:styleId="9">
    <w:name w:val="List Number 5"/>
    <w:basedOn w:val="1"/>
    <w:qFormat/>
    <w:uiPriority w:val="0"/>
    <w:pPr>
      <w:numPr>
        <w:ilvl w:val="0"/>
        <w:numId w:val="1"/>
      </w:numPr>
    </w:pPr>
  </w:style>
  <w:style w:type="paragraph" w:styleId="10">
    <w:name w:val="toc 3"/>
    <w:basedOn w:val="1"/>
    <w:next w:val="1"/>
    <w:qFormat/>
    <w:uiPriority w:val="39"/>
    <w:pPr>
      <w:ind w:left="840" w:leftChars="400"/>
    </w:pPr>
    <w:rPr>
      <w:rFonts w:ascii="Times New Roman" w:hAnsi="Times New Roman" w:eastAsia="仿宋_GB2312"/>
      <w:sz w:val="32"/>
    </w:rPr>
  </w:style>
  <w:style w:type="paragraph" w:styleId="11">
    <w:name w:val="footer"/>
    <w:basedOn w:val="1"/>
    <w:qFormat/>
    <w:uiPriority w:val="99"/>
    <w:pPr>
      <w:tabs>
        <w:tab w:val="center" w:pos="4153"/>
        <w:tab w:val="right" w:pos="8306"/>
      </w:tabs>
      <w:snapToGrid w:val="0"/>
      <w:jc w:val="left"/>
    </w:pPr>
    <w:rPr>
      <w:rFonts w:eastAsia="黑体"/>
      <w:snapToGrid w:val="0"/>
      <w:kern w:val="0"/>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39"/>
  </w:style>
  <w:style w:type="paragraph" w:styleId="14">
    <w:name w:val="footnote text"/>
    <w:basedOn w:val="1"/>
    <w:qFormat/>
    <w:uiPriority w:val="0"/>
    <w:pPr>
      <w:snapToGrid w:val="0"/>
      <w:jc w:val="left"/>
    </w:pPr>
    <w:rPr>
      <w:sz w:val="18"/>
    </w:rPr>
  </w:style>
  <w:style w:type="paragraph" w:customStyle="1" w:styleId="17">
    <w:name w:val="Char"/>
    <w:basedOn w:val="1"/>
    <w:qFormat/>
    <w:uiPriority w:val="0"/>
    <w:pPr>
      <w:tabs>
        <w:tab w:val="left" w:pos="360"/>
      </w:tabs>
      <w:spacing w:line="300" w:lineRule="auto"/>
      <w:ind w:left="360" w:firstLine="560"/>
    </w:pPr>
    <w:rPr>
      <w:rFonts w:ascii="Tahoma" w:hAnsi="Tahoma" w:eastAsia="仿宋_GB2312"/>
      <w:sz w:val="28"/>
    </w:rPr>
  </w:style>
  <w:style w:type="character" w:customStyle="1" w:styleId="18">
    <w:name w:val="font31"/>
    <w:basedOn w:val="16"/>
    <w:qFormat/>
    <w:uiPriority w:val="0"/>
    <w:rPr>
      <w:rFonts w:hint="eastAsia" w:ascii="仿宋_GB2312" w:eastAsia="仿宋_GB2312" w:cs="仿宋_GB2312"/>
      <w:b/>
      <w:bCs/>
      <w:color w:val="000000"/>
      <w:sz w:val="30"/>
      <w:szCs w:val="30"/>
      <w:u w:val="none"/>
    </w:rPr>
  </w:style>
  <w:style w:type="character" w:customStyle="1" w:styleId="19">
    <w:name w:val="font71"/>
    <w:basedOn w:val="16"/>
    <w:qFormat/>
    <w:uiPriority w:val="0"/>
    <w:rPr>
      <w:rFonts w:ascii="仿宋_GB2312" w:eastAsia="仿宋_GB2312" w:cs="仿宋_GB2312"/>
      <w:b/>
      <w:bCs/>
      <w:color w:val="000000"/>
      <w:sz w:val="30"/>
      <w:szCs w:val="30"/>
      <w:u w:val="none"/>
    </w:rPr>
  </w:style>
  <w:style w:type="character" w:customStyle="1" w:styleId="20">
    <w:name w:val="font41"/>
    <w:basedOn w:val="16"/>
    <w:qFormat/>
    <w:uiPriority w:val="0"/>
    <w:rPr>
      <w:rFonts w:hint="eastAsia" w:ascii="宋体" w:hAnsi="宋体" w:eastAsia="宋体" w:cs="宋体"/>
      <w:b/>
      <w:bCs/>
      <w:color w:val="000000"/>
      <w:sz w:val="21"/>
      <w:szCs w:val="21"/>
      <w:u w:val="none"/>
    </w:rPr>
  </w:style>
  <w:style w:type="character" w:customStyle="1" w:styleId="21">
    <w:name w:val="font81"/>
    <w:basedOn w:val="16"/>
    <w:qFormat/>
    <w:uiPriority w:val="0"/>
    <w:rPr>
      <w:rFonts w:hint="eastAsia" w:ascii="宋体" w:hAnsi="宋体" w:eastAsia="宋体" w:cs="宋体"/>
      <w:b/>
      <w:bCs/>
      <w:color w:val="000000"/>
      <w:sz w:val="18"/>
      <w:szCs w:val="18"/>
      <w:u w:val="none"/>
    </w:rPr>
  </w:style>
  <w:style w:type="character" w:customStyle="1" w:styleId="22">
    <w:name w:val="font51"/>
    <w:basedOn w:val="16"/>
    <w:qFormat/>
    <w:uiPriority w:val="0"/>
    <w:rPr>
      <w:rFonts w:hint="eastAsia" w:ascii="宋体" w:hAnsi="宋体" w:eastAsia="宋体" w:cs="宋体"/>
      <w:b/>
      <w:bCs/>
      <w:color w:val="000000"/>
      <w:sz w:val="18"/>
      <w:szCs w:val="18"/>
      <w:u w:val="none"/>
    </w:rPr>
  </w:style>
  <w:style w:type="paragraph" w:customStyle="1" w:styleId="23">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24">
    <w:name w:val="font11"/>
    <w:basedOn w:val="16"/>
    <w:qFormat/>
    <w:uiPriority w:val="0"/>
    <w:rPr>
      <w:rFonts w:hint="eastAsia" w:ascii="仿宋_GB2312" w:eastAsia="仿宋_GB2312" w:cs="仿宋_GB2312"/>
      <w:b/>
      <w:bCs/>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162</Pages>
  <Words>0</Words>
  <Characters>0</Characters>
  <Lines>0</Lines>
  <Paragraphs>0</Paragraphs>
  <TotalTime>299</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2025-07-15T00:12:00Z</dcterms:created>
  <dc:creator>Administrator</dc:creator>
  <cp:lastModifiedBy>user</cp:lastModifiedBy>
  <dcterms:modified xsi:type="dcterms:W3CDTF">2025-08-01T16:55:58Z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583757C2F60A4BAEBB8ACF027FD86CC8_13</vt:lpwstr>
  </property>
</Properties>
</file>