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before="0" w:beforeAutospacing="0" w:after="0" w:afterAutospacing="0" w:line="240" w:lineRule="auto"/>
        <w:jc w:val="both"/>
        <w:textAlignment w:val="baseline"/>
        <w:rPr>
          <w:rStyle w:val="6"/>
          <w:rFonts w:ascii="黑体" w:hAnsi="黑体" w:eastAsia="黑体"/>
          <w:b w:val="0"/>
          <w:i w:val="0"/>
          <w:caps w:val="0"/>
          <w:spacing w:val="0"/>
          <w:w w:val="100"/>
          <w:kern w:val="2"/>
          <w:sz w:val="32"/>
          <w:szCs w:val="32"/>
          <w:lang w:val="en-US" w:eastAsia="zh-CN" w:bidi="ar-SA"/>
        </w:rPr>
      </w:pPr>
      <w:r>
        <w:rPr>
          <w:rStyle w:val="6"/>
          <w:rFonts w:ascii="黑体" w:hAnsi="黑体" w:eastAsia="黑体"/>
          <w:b w:val="0"/>
          <w:i w:val="0"/>
          <w:caps w:val="0"/>
          <w:spacing w:val="0"/>
          <w:w w:val="100"/>
          <w:kern w:val="2"/>
          <w:sz w:val="32"/>
          <w:szCs w:val="32"/>
          <w:lang w:val="en-US" w:eastAsia="zh-CN" w:bidi="ar-SA"/>
        </w:rPr>
        <w:t>附件：</w:t>
      </w:r>
    </w:p>
    <w:p>
      <w:pPr>
        <w:snapToGrid/>
        <w:spacing w:before="0" w:beforeAutospacing="0" w:after="0" w:afterAutospacing="0" w:line="240" w:lineRule="auto"/>
        <w:jc w:val="center"/>
        <w:textAlignment w:val="baseline"/>
        <w:rPr>
          <w:rStyle w:val="6"/>
          <w:rFonts w:ascii="方正小标宋_GBK" w:hAnsi="宋体" w:eastAsia="方正小标宋_GBK"/>
          <w:b w:val="0"/>
          <w:i w:val="0"/>
          <w:caps w:val="0"/>
          <w:spacing w:val="0"/>
          <w:w w:val="100"/>
          <w:kern w:val="2"/>
          <w:sz w:val="44"/>
          <w:szCs w:val="44"/>
          <w:lang w:val="en-US" w:eastAsia="zh-CN" w:bidi="ar-SA"/>
        </w:rPr>
      </w:pPr>
    </w:p>
    <w:p>
      <w:pPr>
        <w:snapToGrid/>
        <w:spacing w:before="0" w:beforeAutospacing="0" w:after="0" w:afterAutospacing="0" w:line="240" w:lineRule="auto"/>
        <w:jc w:val="center"/>
        <w:textAlignment w:val="baseline"/>
        <w:rPr>
          <w:rStyle w:val="6"/>
          <w:rFonts w:ascii="方正小标宋_GBK" w:hAnsi="宋体" w:eastAsia="方正小标宋_GBK"/>
          <w:b w:val="0"/>
          <w:i w:val="0"/>
          <w:caps w:val="0"/>
          <w:spacing w:val="0"/>
          <w:w w:val="100"/>
          <w:kern w:val="2"/>
          <w:sz w:val="44"/>
          <w:szCs w:val="44"/>
          <w:lang w:val="en-US" w:eastAsia="zh-CN" w:bidi="ar-SA"/>
        </w:rPr>
      </w:pPr>
    </w:p>
    <w:p>
      <w:pPr>
        <w:snapToGrid/>
        <w:spacing w:before="0" w:beforeAutospacing="0" w:after="0" w:afterAutospacing="0" w:line="240" w:lineRule="auto"/>
        <w:jc w:val="center"/>
        <w:textAlignment w:val="baseline"/>
        <w:rPr>
          <w:rStyle w:val="6"/>
          <w:rFonts w:ascii="方正小标宋_GBK" w:hAnsi="宋体" w:eastAsia="方正小标宋_GBK"/>
          <w:b w:val="0"/>
          <w:i w:val="0"/>
          <w:caps w:val="0"/>
          <w:spacing w:val="0"/>
          <w:w w:val="100"/>
          <w:kern w:val="2"/>
          <w:sz w:val="44"/>
          <w:szCs w:val="44"/>
          <w:lang w:val="en-US" w:eastAsia="zh-CN" w:bidi="ar-SA"/>
        </w:rPr>
      </w:pPr>
    </w:p>
    <w:p>
      <w:pPr>
        <w:snapToGrid/>
        <w:spacing w:before="0" w:beforeAutospacing="0" w:after="0" w:afterAutospacing="0" w:line="240" w:lineRule="auto"/>
        <w:jc w:val="center"/>
        <w:textAlignment w:val="baseline"/>
        <w:rPr>
          <w:rStyle w:val="6"/>
          <w:rFonts w:ascii="方正小标宋_GBK" w:hAnsi="宋体" w:eastAsia="方正小标宋_GBK"/>
          <w:b w:val="0"/>
          <w:i w:val="0"/>
          <w:caps w:val="0"/>
          <w:spacing w:val="0"/>
          <w:w w:val="100"/>
          <w:kern w:val="2"/>
          <w:sz w:val="44"/>
          <w:szCs w:val="44"/>
          <w:lang w:val="en-US" w:eastAsia="zh-CN" w:bidi="ar-SA"/>
        </w:rPr>
      </w:pPr>
    </w:p>
    <w:p>
      <w:pPr>
        <w:snapToGrid/>
        <w:spacing w:before="0" w:beforeAutospacing="0" w:after="0" w:afterAutospacing="0" w:line="240" w:lineRule="auto"/>
        <w:jc w:val="center"/>
        <w:textAlignment w:val="baseline"/>
        <w:rPr>
          <w:rStyle w:val="6"/>
          <w:rFonts w:ascii="方正小标宋_GBK" w:hAnsi="宋体" w:eastAsia="方正小标宋_GBK"/>
          <w:b w:val="0"/>
          <w:i w:val="0"/>
          <w:caps w:val="0"/>
          <w:spacing w:val="0"/>
          <w:w w:val="100"/>
          <w:kern w:val="2"/>
          <w:sz w:val="44"/>
          <w:szCs w:val="44"/>
          <w:lang w:val="en-US" w:eastAsia="zh-CN" w:bidi="ar-SA"/>
        </w:rPr>
      </w:pPr>
      <w:r>
        <w:rPr>
          <w:rStyle w:val="6"/>
          <w:rFonts w:ascii="方正小标宋_GBK" w:hAnsi="宋体" w:eastAsia="方正小标宋_GBK"/>
          <w:b w:val="0"/>
          <w:i w:val="0"/>
          <w:caps w:val="0"/>
          <w:spacing w:val="0"/>
          <w:w w:val="100"/>
          <w:kern w:val="2"/>
          <w:sz w:val="44"/>
          <w:szCs w:val="44"/>
          <w:lang w:val="en-US" w:eastAsia="zh-CN" w:bidi="ar-SA"/>
        </w:rPr>
        <w:t>和田地区文化体育活动中心2020年度</w:t>
      </w:r>
    </w:p>
    <w:p>
      <w:pPr>
        <w:snapToGrid/>
        <w:spacing w:before="0" w:beforeAutospacing="0" w:after="0" w:afterAutospacing="0" w:line="240" w:lineRule="auto"/>
        <w:jc w:val="center"/>
        <w:textAlignment w:val="baseline"/>
        <w:rPr>
          <w:rStyle w:val="6"/>
          <w:rFonts w:ascii="方正小标宋_GBK" w:hAnsi="宋体" w:eastAsia="方正小标宋_GBK"/>
          <w:b w:val="0"/>
          <w:i w:val="0"/>
          <w:caps w:val="0"/>
          <w:spacing w:val="0"/>
          <w:w w:val="100"/>
          <w:kern w:val="2"/>
          <w:sz w:val="44"/>
          <w:szCs w:val="44"/>
          <w:lang w:val="en-US" w:eastAsia="zh-CN" w:bidi="ar-SA"/>
        </w:rPr>
      </w:pPr>
      <w:r>
        <w:rPr>
          <w:rStyle w:val="6"/>
          <w:rFonts w:ascii="方正小标宋_GBK" w:hAnsi="宋体" w:eastAsia="方正小标宋_GBK"/>
          <w:b w:val="0"/>
          <w:i w:val="0"/>
          <w:caps w:val="0"/>
          <w:spacing w:val="0"/>
          <w:w w:val="100"/>
          <w:kern w:val="2"/>
          <w:sz w:val="44"/>
          <w:szCs w:val="44"/>
          <w:lang w:val="en-US" w:eastAsia="zh-CN" w:bidi="ar-SA"/>
        </w:rPr>
        <w:t>部门决算公开说明</w:t>
      </w:r>
    </w:p>
    <w:p>
      <w:pPr>
        <w:snapToGrid/>
        <w:spacing w:before="0" w:beforeAutospacing="0" w:after="0" w:afterAutospacing="0" w:line="240" w:lineRule="auto"/>
        <w:jc w:val="center"/>
        <w:textAlignment w:val="baseline"/>
        <w:rPr>
          <w:rStyle w:val="6"/>
          <w:rFonts w:ascii="方正小标宋_GBK" w:hAnsi="宋体" w:eastAsia="方正小标宋_GBK"/>
          <w:b w:val="0"/>
          <w:i w:val="0"/>
          <w:caps w:val="0"/>
          <w:spacing w:val="0"/>
          <w:w w:val="100"/>
          <w:kern w:val="2"/>
          <w:sz w:val="44"/>
          <w:szCs w:val="44"/>
          <w:lang w:val="en-US" w:eastAsia="zh-CN" w:bidi="ar-SA"/>
        </w:rPr>
      </w:pPr>
      <w:r>
        <w:rPr>
          <w:rStyle w:val="6"/>
          <w:rFonts w:ascii="方正小标宋_GBK" w:hAnsi="宋体" w:eastAsia="方正小标宋_GBK"/>
          <w:b w:val="0"/>
          <w:i w:val="0"/>
          <w:caps w:val="0"/>
          <w:spacing w:val="0"/>
          <w:w w:val="100"/>
          <w:kern w:val="2"/>
          <w:sz w:val="44"/>
          <w:szCs w:val="44"/>
          <w:lang w:val="en-US" w:eastAsia="zh-CN" w:bidi="ar-SA"/>
        </w:rPr>
        <w:br w:type="page"/>
      </w:r>
    </w:p>
    <w:p>
      <w:pPr>
        <w:snapToGrid/>
        <w:spacing w:before="0" w:beforeAutospacing="0" w:after="0" w:afterAutospacing="0" w:line="240" w:lineRule="auto"/>
        <w:jc w:val="center"/>
        <w:textAlignment w:val="baseline"/>
        <w:rPr>
          <w:rStyle w:val="6"/>
          <w:rFonts w:ascii="仿宋_GB2312" w:hAnsi="仿宋_GB2312" w:eastAsia="仿宋_GB2312" w:cs="仿宋_GB2312"/>
          <w:b w:val="0"/>
          <w:bCs/>
          <w:i w:val="0"/>
          <w:caps w:val="0"/>
          <w:spacing w:val="0"/>
          <w:w w:val="100"/>
          <w:kern w:val="0"/>
          <w:sz w:val="32"/>
          <w:szCs w:val="32"/>
          <w:lang w:val="en-US" w:eastAsia="zh-CN" w:bidi="ar-SA"/>
        </w:rPr>
      </w:pPr>
      <w:r>
        <w:rPr>
          <w:rStyle w:val="6"/>
          <w:rFonts w:ascii="仿宋_GB2312" w:hAnsi="仿宋_GB2312" w:eastAsia="仿宋_GB2312"/>
          <w:b/>
          <w:i w:val="0"/>
          <w:caps w:val="0"/>
          <w:spacing w:val="0"/>
          <w:w w:val="100"/>
          <w:kern w:val="0"/>
          <w:sz w:val="36"/>
          <w:szCs w:val="36"/>
          <w:lang w:val="en-US" w:eastAsia="zh-CN" w:bidi="ar-SA"/>
        </w:rPr>
        <w:t>目  录</w:t>
      </w:r>
    </w:p>
    <w:p>
      <w:pPr>
        <w:pStyle w:val="9"/>
        <w:widowControl/>
        <w:tabs>
          <w:tab w:val="right" w:pos="8306"/>
        </w:tabs>
        <w:snapToGrid/>
        <w:spacing w:before="0" w:beforeAutospacing="0" w:after="0" w:afterAutospacing="0" w:line="240" w:lineRule="auto"/>
        <w:jc w:val="both"/>
        <w:textAlignment w:val="baseline"/>
        <w:rPr>
          <w:rStyle w:val="6"/>
          <w:rFonts w:ascii="仿宋_GB2312" w:hAnsi="仿宋_GB2312" w:eastAsia="仿宋_GB2312" w:cs="仿宋_GB2312"/>
          <w:b/>
          <w:bCs/>
          <w:i w:val="0"/>
          <w:caps w:val="0"/>
          <w:spacing w:val="0"/>
          <w:w w:val="100"/>
          <w:sz w:val="32"/>
          <w:szCs w:val="32"/>
        </w:rPr>
      </w:pPr>
      <w:r>
        <w:rPr>
          <w:rStyle w:val="6"/>
          <w:rFonts w:ascii="仿宋_GB2312" w:hAnsi="仿宋_GB2312" w:eastAsia="仿宋_GB2312" w:cs="仿宋_GB2312"/>
          <w:b/>
          <w:bCs/>
          <w:i w:val="0"/>
          <w:caps w:val="0"/>
          <w:spacing w:val="0"/>
          <w:w w:val="100"/>
          <w:sz w:val="32"/>
          <w:szCs w:val="32"/>
        </w:rPr>
        <w:t>第一部分 部门单位概况</w:t>
      </w:r>
    </w:p>
    <w:p>
      <w:pPr>
        <w:pStyle w:val="12"/>
        <w:widowControl/>
        <w:tabs>
          <w:tab w:val="right" w:pos="8306"/>
        </w:tabs>
        <w:snapToGrid/>
        <w:spacing w:before="0" w:beforeAutospacing="0" w:after="0" w:afterAutospacing="0" w:line="240" w:lineRule="auto"/>
        <w:ind w:left="0" w:leftChars="0"/>
        <w:jc w:val="both"/>
        <w:textAlignment w:val="baseline"/>
        <w:rPr>
          <w:rStyle w:val="6"/>
          <w:rFonts w:ascii="仿宋_GB2312" w:hAnsi="仿宋_GB2312" w:eastAsia="仿宋_GB2312"/>
          <w:b w:val="0"/>
          <w:i w:val="0"/>
          <w:caps w:val="0"/>
          <w:spacing w:val="0"/>
          <w:w w:val="100"/>
          <w:sz w:val="32"/>
          <w:szCs w:val="32"/>
        </w:rPr>
      </w:pPr>
      <w:r>
        <w:rPr>
          <w:rStyle w:val="6"/>
          <w:rFonts w:ascii="仿宋_GB2312" w:hAnsi="仿宋_GB2312" w:eastAsia="仿宋_GB2312" w:cs="仿宋_GB2312"/>
          <w:b w:val="0"/>
          <w:bCs/>
          <w:i w:val="0"/>
          <w:caps w:val="0"/>
          <w:spacing w:val="0"/>
          <w:w w:val="100"/>
          <w:kern w:val="0"/>
          <w:sz w:val="32"/>
          <w:szCs w:val="32"/>
        </w:rPr>
        <w:t>一、主要职能</w:t>
      </w:r>
    </w:p>
    <w:p>
      <w:pPr>
        <w:pStyle w:val="12"/>
        <w:widowControl/>
        <w:tabs>
          <w:tab w:val="right" w:pos="8306"/>
        </w:tabs>
        <w:snapToGrid/>
        <w:spacing w:before="0" w:beforeAutospacing="0" w:after="0" w:afterAutospacing="0" w:line="240" w:lineRule="auto"/>
        <w:ind w:left="0" w:leftChars="0"/>
        <w:jc w:val="both"/>
        <w:textAlignment w:val="baseline"/>
        <w:rPr>
          <w:rStyle w:val="6"/>
          <w:rFonts w:ascii="仿宋_GB2312" w:hAnsi="仿宋_GB2312" w:eastAsia="仿宋_GB2312"/>
          <w:b w:val="0"/>
          <w:i w:val="0"/>
          <w:caps w:val="0"/>
          <w:spacing w:val="0"/>
          <w:w w:val="100"/>
          <w:sz w:val="32"/>
          <w:szCs w:val="32"/>
        </w:rPr>
      </w:pPr>
      <w:r>
        <w:rPr>
          <w:rStyle w:val="6"/>
          <w:rFonts w:ascii="仿宋_GB2312" w:hAnsi="仿宋_GB2312" w:eastAsia="仿宋_GB2312" w:cs="仿宋_GB2312"/>
          <w:b w:val="0"/>
          <w:bCs/>
          <w:i w:val="0"/>
          <w:caps w:val="0"/>
          <w:spacing w:val="0"/>
          <w:w w:val="100"/>
          <w:kern w:val="0"/>
          <w:sz w:val="32"/>
          <w:szCs w:val="32"/>
        </w:rPr>
        <w:t>二、机构设置及人员情况</w:t>
      </w:r>
    </w:p>
    <w:p>
      <w:pPr>
        <w:pStyle w:val="9"/>
        <w:widowControl/>
        <w:tabs>
          <w:tab w:val="right" w:pos="8306"/>
        </w:tabs>
        <w:snapToGrid/>
        <w:spacing w:before="0" w:beforeAutospacing="0" w:after="0" w:afterAutospacing="0" w:line="240" w:lineRule="auto"/>
        <w:jc w:val="both"/>
        <w:textAlignment w:val="baseline"/>
        <w:rPr>
          <w:rStyle w:val="6"/>
          <w:rFonts w:ascii="仿宋_GB2312" w:hAnsi="仿宋_GB2312" w:eastAsia="仿宋_GB2312" w:cs="仿宋_GB2312"/>
          <w:b/>
          <w:bCs/>
          <w:i w:val="0"/>
          <w:caps w:val="0"/>
          <w:spacing w:val="0"/>
          <w:w w:val="100"/>
          <w:sz w:val="32"/>
          <w:szCs w:val="32"/>
        </w:rPr>
      </w:pPr>
      <w:r>
        <w:rPr>
          <w:rStyle w:val="6"/>
          <w:rFonts w:ascii="仿宋_GB2312" w:hAnsi="仿宋_GB2312" w:eastAsia="仿宋_GB2312" w:cs="仿宋_GB2312"/>
          <w:b/>
          <w:bCs/>
          <w:i w:val="0"/>
          <w:caps w:val="0"/>
          <w:spacing w:val="0"/>
          <w:w w:val="100"/>
          <w:sz w:val="32"/>
          <w:szCs w:val="32"/>
        </w:rPr>
        <w:t>第二部分 部门决算情况说明</w:t>
      </w:r>
    </w:p>
    <w:p>
      <w:pPr>
        <w:pStyle w:val="12"/>
        <w:widowControl/>
        <w:tabs>
          <w:tab w:val="right" w:pos="8306"/>
        </w:tabs>
        <w:snapToGrid/>
        <w:spacing w:before="0" w:beforeAutospacing="0" w:after="0" w:afterAutospacing="0" w:line="240" w:lineRule="auto"/>
        <w:ind w:left="0" w:leftChars="0"/>
        <w:jc w:val="both"/>
        <w:textAlignment w:val="baseline"/>
        <w:rPr>
          <w:rStyle w:val="6"/>
          <w:rFonts w:ascii="仿宋_GB2312" w:hAnsi="仿宋_GB2312" w:eastAsia="仿宋_GB2312"/>
          <w:b w:val="0"/>
          <w:i w:val="0"/>
          <w:caps w:val="0"/>
          <w:spacing w:val="0"/>
          <w:w w:val="100"/>
          <w:sz w:val="32"/>
          <w:szCs w:val="32"/>
        </w:rPr>
      </w:pPr>
      <w:r>
        <w:rPr>
          <w:rStyle w:val="6"/>
          <w:rFonts w:ascii="仿宋_GB2312" w:hAnsi="仿宋_GB2312" w:eastAsia="仿宋_GB2312" w:cs="仿宋_GB2312"/>
          <w:b w:val="0"/>
          <w:bCs/>
          <w:i w:val="0"/>
          <w:caps w:val="0"/>
          <w:spacing w:val="0"/>
          <w:w w:val="100"/>
          <w:kern w:val="0"/>
          <w:sz w:val="32"/>
          <w:szCs w:val="32"/>
        </w:rPr>
        <w:t>一、收入支出决算总体情况说明</w:t>
      </w:r>
    </w:p>
    <w:p>
      <w:pPr>
        <w:pStyle w:val="12"/>
        <w:widowControl/>
        <w:tabs>
          <w:tab w:val="right" w:pos="8306"/>
        </w:tabs>
        <w:snapToGrid/>
        <w:spacing w:before="0" w:beforeAutospacing="0" w:after="0" w:afterAutospacing="0" w:line="240" w:lineRule="auto"/>
        <w:ind w:left="0" w:leftChars="0"/>
        <w:jc w:val="both"/>
        <w:textAlignment w:val="baseline"/>
        <w:rPr>
          <w:rStyle w:val="6"/>
          <w:rFonts w:ascii="仿宋_GB2312" w:hAnsi="仿宋_GB2312" w:eastAsia="仿宋_GB2312"/>
          <w:b w:val="0"/>
          <w:i w:val="0"/>
          <w:caps w:val="0"/>
          <w:spacing w:val="0"/>
          <w:w w:val="100"/>
          <w:sz w:val="32"/>
          <w:szCs w:val="32"/>
        </w:rPr>
      </w:pPr>
      <w:r>
        <w:rPr>
          <w:rStyle w:val="6"/>
          <w:rFonts w:ascii="仿宋_GB2312" w:hAnsi="仿宋_GB2312" w:eastAsia="仿宋_GB2312" w:cs="仿宋_GB2312"/>
          <w:b w:val="0"/>
          <w:bCs/>
          <w:i w:val="0"/>
          <w:caps w:val="0"/>
          <w:spacing w:val="0"/>
          <w:w w:val="100"/>
          <w:kern w:val="0"/>
          <w:sz w:val="32"/>
          <w:szCs w:val="32"/>
        </w:rPr>
        <w:t>二、收入决算情况说明</w:t>
      </w:r>
    </w:p>
    <w:p>
      <w:pPr>
        <w:pStyle w:val="12"/>
        <w:widowControl/>
        <w:tabs>
          <w:tab w:val="right" w:pos="8306"/>
        </w:tabs>
        <w:snapToGrid/>
        <w:spacing w:before="0" w:beforeAutospacing="0" w:after="0" w:afterAutospacing="0" w:line="240" w:lineRule="auto"/>
        <w:ind w:left="0" w:leftChars="0"/>
        <w:jc w:val="both"/>
        <w:textAlignment w:val="baseline"/>
        <w:rPr>
          <w:rStyle w:val="6"/>
          <w:rFonts w:ascii="仿宋_GB2312" w:hAnsi="仿宋_GB2312" w:eastAsia="仿宋_GB2312"/>
          <w:b w:val="0"/>
          <w:i w:val="0"/>
          <w:caps w:val="0"/>
          <w:spacing w:val="0"/>
          <w:w w:val="100"/>
          <w:sz w:val="32"/>
          <w:szCs w:val="32"/>
        </w:rPr>
      </w:pPr>
      <w:r>
        <w:rPr>
          <w:rStyle w:val="6"/>
          <w:rFonts w:ascii="仿宋_GB2312" w:hAnsi="仿宋_GB2312" w:eastAsia="仿宋_GB2312" w:cs="仿宋_GB2312"/>
          <w:b w:val="0"/>
          <w:bCs/>
          <w:i w:val="0"/>
          <w:caps w:val="0"/>
          <w:spacing w:val="0"/>
          <w:w w:val="100"/>
          <w:kern w:val="0"/>
          <w:sz w:val="32"/>
          <w:szCs w:val="32"/>
        </w:rPr>
        <w:t>三、支出决算情况说明</w:t>
      </w:r>
    </w:p>
    <w:p>
      <w:pPr>
        <w:pStyle w:val="12"/>
        <w:widowControl/>
        <w:tabs>
          <w:tab w:val="right" w:pos="8306"/>
        </w:tabs>
        <w:snapToGrid/>
        <w:spacing w:before="0" w:beforeAutospacing="0" w:after="0" w:afterAutospacing="0" w:line="240" w:lineRule="auto"/>
        <w:ind w:left="0" w:leftChars="0"/>
        <w:jc w:val="both"/>
        <w:textAlignment w:val="baseline"/>
        <w:rPr>
          <w:rStyle w:val="6"/>
          <w:rFonts w:ascii="仿宋_GB2312" w:hAnsi="仿宋_GB2312" w:eastAsia="仿宋_GB2312"/>
          <w:b w:val="0"/>
          <w:i w:val="0"/>
          <w:caps w:val="0"/>
          <w:spacing w:val="0"/>
          <w:w w:val="100"/>
          <w:sz w:val="32"/>
          <w:szCs w:val="32"/>
        </w:rPr>
      </w:pPr>
      <w:r>
        <w:rPr>
          <w:rStyle w:val="6"/>
          <w:rFonts w:ascii="仿宋_GB2312" w:hAnsi="仿宋_GB2312" w:eastAsia="仿宋_GB2312" w:cs="仿宋_GB2312"/>
          <w:b w:val="0"/>
          <w:bCs/>
          <w:i w:val="0"/>
          <w:caps w:val="0"/>
          <w:spacing w:val="0"/>
          <w:w w:val="100"/>
          <w:kern w:val="0"/>
          <w:sz w:val="32"/>
          <w:szCs w:val="32"/>
        </w:rPr>
        <w:t>四、财政拨款收入支出决算总体情况说明</w:t>
      </w:r>
    </w:p>
    <w:p>
      <w:pPr>
        <w:pStyle w:val="12"/>
        <w:widowControl/>
        <w:tabs>
          <w:tab w:val="right" w:pos="8306"/>
        </w:tabs>
        <w:snapToGrid/>
        <w:spacing w:before="0" w:beforeAutospacing="0" w:after="0" w:afterAutospacing="0" w:line="240" w:lineRule="auto"/>
        <w:ind w:left="0" w:leftChars="0"/>
        <w:jc w:val="both"/>
        <w:textAlignment w:val="baseline"/>
        <w:rPr>
          <w:rStyle w:val="6"/>
          <w:rFonts w:ascii="仿宋_GB2312" w:hAnsi="仿宋_GB2312" w:eastAsia="仿宋_GB2312"/>
          <w:b w:val="0"/>
          <w:i w:val="0"/>
          <w:caps w:val="0"/>
          <w:spacing w:val="0"/>
          <w:w w:val="100"/>
          <w:sz w:val="32"/>
          <w:szCs w:val="32"/>
        </w:rPr>
      </w:pPr>
      <w:r>
        <w:rPr>
          <w:rStyle w:val="6"/>
          <w:rFonts w:ascii="仿宋_GB2312" w:hAnsi="仿宋_GB2312" w:eastAsia="仿宋_GB2312" w:cs="仿宋_GB2312"/>
          <w:b w:val="0"/>
          <w:bCs/>
          <w:i w:val="0"/>
          <w:caps w:val="0"/>
          <w:spacing w:val="0"/>
          <w:w w:val="100"/>
          <w:kern w:val="0"/>
          <w:sz w:val="32"/>
          <w:szCs w:val="32"/>
        </w:rPr>
        <w:t>五、一般公共预算财政拨款支出决算情况说明</w:t>
      </w:r>
    </w:p>
    <w:p>
      <w:pPr>
        <w:pStyle w:val="12"/>
        <w:widowControl/>
        <w:tabs>
          <w:tab w:val="right" w:pos="8306"/>
        </w:tabs>
        <w:snapToGrid/>
        <w:spacing w:before="0" w:beforeAutospacing="0" w:after="0" w:afterAutospacing="0" w:line="240" w:lineRule="auto"/>
        <w:ind w:left="0" w:leftChars="0"/>
        <w:jc w:val="both"/>
        <w:textAlignment w:val="baseline"/>
        <w:rPr>
          <w:rStyle w:val="6"/>
          <w:rFonts w:ascii="仿宋_GB2312" w:hAnsi="仿宋_GB2312" w:eastAsia="仿宋_GB2312"/>
          <w:b w:val="0"/>
          <w:i w:val="0"/>
          <w:caps w:val="0"/>
          <w:spacing w:val="0"/>
          <w:w w:val="100"/>
          <w:sz w:val="32"/>
          <w:szCs w:val="32"/>
        </w:rPr>
      </w:pPr>
      <w:r>
        <w:rPr>
          <w:rStyle w:val="6"/>
          <w:rFonts w:ascii="仿宋_GB2312" w:hAnsi="仿宋_GB2312" w:eastAsia="仿宋_GB2312" w:cs="仿宋_GB2312"/>
          <w:b w:val="0"/>
          <w:bCs/>
          <w:i w:val="0"/>
          <w:caps w:val="0"/>
          <w:spacing w:val="0"/>
          <w:w w:val="100"/>
          <w:kern w:val="0"/>
          <w:sz w:val="32"/>
          <w:szCs w:val="32"/>
        </w:rPr>
        <w:t>六、一般公共预算财政拨款基本支出决算情况说明</w:t>
      </w:r>
    </w:p>
    <w:p>
      <w:pPr>
        <w:pStyle w:val="12"/>
        <w:widowControl/>
        <w:tabs>
          <w:tab w:val="right" w:pos="8306"/>
        </w:tabs>
        <w:snapToGrid/>
        <w:spacing w:before="0" w:beforeAutospacing="0" w:after="0" w:afterAutospacing="0" w:line="240" w:lineRule="auto"/>
        <w:ind w:left="0" w:leftChars="0"/>
        <w:jc w:val="both"/>
        <w:textAlignment w:val="baseline"/>
        <w:rPr>
          <w:rStyle w:val="6"/>
          <w:rFonts w:ascii="仿宋_GB2312" w:hAnsi="仿宋_GB2312" w:eastAsia="仿宋_GB2312"/>
          <w:b w:val="0"/>
          <w:i w:val="0"/>
          <w:caps w:val="0"/>
          <w:spacing w:val="0"/>
          <w:w w:val="100"/>
          <w:sz w:val="32"/>
          <w:szCs w:val="32"/>
        </w:rPr>
      </w:pPr>
      <w:r>
        <w:rPr>
          <w:rStyle w:val="6"/>
          <w:rFonts w:ascii="仿宋_GB2312" w:hAnsi="仿宋_GB2312" w:eastAsia="仿宋_GB2312" w:cs="仿宋_GB2312"/>
          <w:b w:val="0"/>
          <w:bCs/>
          <w:i w:val="0"/>
          <w:caps w:val="0"/>
          <w:spacing w:val="0"/>
          <w:w w:val="100"/>
          <w:kern w:val="0"/>
          <w:sz w:val="32"/>
          <w:szCs w:val="32"/>
        </w:rPr>
        <w:t>七、一般公共预算财政拨款“三公”经费支出决算情况说明</w:t>
      </w:r>
    </w:p>
    <w:p>
      <w:pPr>
        <w:pStyle w:val="12"/>
        <w:widowControl/>
        <w:tabs>
          <w:tab w:val="right" w:pos="8306"/>
        </w:tabs>
        <w:snapToGrid/>
        <w:spacing w:before="0" w:beforeAutospacing="0" w:after="0" w:afterAutospacing="0" w:line="240" w:lineRule="auto"/>
        <w:ind w:left="0" w:leftChars="0"/>
        <w:jc w:val="both"/>
        <w:textAlignment w:val="baseline"/>
        <w:rPr>
          <w:rStyle w:val="6"/>
          <w:rFonts w:ascii="仿宋_GB2312" w:hAnsi="仿宋_GB2312" w:eastAsia="仿宋_GB2312"/>
          <w:b w:val="0"/>
          <w:i w:val="0"/>
          <w:caps w:val="0"/>
          <w:spacing w:val="0"/>
          <w:w w:val="100"/>
          <w:sz w:val="32"/>
          <w:szCs w:val="32"/>
        </w:rPr>
      </w:pPr>
      <w:r>
        <w:rPr>
          <w:rStyle w:val="6"/>
          <w:rFonts w:ascii="仿宋_GB2312" w:hAnsi="仿宋_GB2312" w:eastAsia="仿宋_GB2312" w:cs="仿宋_GB2312"/>
          <w:b w:val="0"/>
          <w:bCs/>
          <w:i w:val="0"/>
          <w:caps w:val="0"/>
          <w:spacing w:val="0"/>
          <w:w w:val="100"/>
          <w:kern w:val="0"/>
          <w:sz w:val="32"/>
          <w:szCs w:val="32"/>
        </w:rPr>
        <w:t>八、政府性基金预算财政拨款收入支出决算情况说明</w:t>
      </w:r>
    </w:p>
    <w:p>
      <w:pPr>
        <w:snapToGrid/>
        <w:spacing w:before="0" w:beforeAutospacing="0" w:after="0" w:afterAutospacing="0" w:line="240" w:lineRule="auto"/>
        <w:jc w:val="both"/>
        <w:textAlignment w:val="baseline"/>
        <w:rPr>
          <w:rStyle w:val="6"/>
          <w:rFonts w:ascii="Times New Roman" w:hAnsi="Times New Roman" w:eastAsia="宋体"/>
          <w:b w:val="0"/>
          <w:i w:val="0"/>
          <w:caps w:val="0"/>
          <w:spacing w:val="0"/>
          <w:w w:val="100"/>
          <w:kern w:val="2"/>
          <w:sz w:val="21"/>
          <w:szCs w:val="24"/>
          <w:lang w:val="en-US" w:eastAsia="zh-CN" w:bidi="ar-SA"/>
        </w:rPr>
      </w:pPr>
      <w:r>
        <w:rPr>
          <w:rStyle w:val="6"/>
          <w:rFonts w:ascii="仿宋_GB2312" w:hAnsi="仿宋_GB2312" w:eastAsia="仿宋_GB2312" w:cs="仿宋_GB2312"/>
          <w:b w:val="0"/>
          <w:bCs/>
          <w:i w:val="0"/>
          <w:caps w:val="0"/>
          <w:spacing w:val="0"/>
          <w:w w:val="100"/>
          <w:kern w:val="0"/>
          <w:sz w:val="32"/>
          <w:szCs w:val="32"/>
          <w:lang w:val="en-US" w:eastAsia="zh-CN" w:bidi="ar-SA"/>
        </w:rPr>
        <w:t>九、国有资本经营预算财政拨款收入支出决算情况说明</w:t>
      </w:r>
    </w:p>
    <w:p>
      <w:pPr>
        <w:pStyle w:val="12"/>
        <w:widowControl/>
        <w:tabs>
          <w:tab w:val="right" w:pos="8306"/>
        </w:tabs>
        <w:snapToGrid/>
        <w:spacing w:before="0" w:beforeAutospacing="0" w:after="0" w:afterAutospacing="0" w:line="240" w:lineRule="auto"/>
        <w:ind w:left="0" w:leftChars="0"/>
        <w:jc w:val="both"/>
        <w:textAlignment w:val="baseline"/>
        <w:rPr>
          <w:rStyle w:val="6"/>
          <w:rFonts w:ascii="仿宋_GB2312" w:hAnsi="仿宋_GB2312" w:eastAsia="仿宋_GB2312"/>
          <w:b w:val="0"/>
          <w:i w:val="0"/>
          <w:caps w:val="0"/>
          <w:spacing w:val="0"/>
          <w:w w:val="100"/>
          <w:sz w:val="32"/>
          <w:szCs w:val="32"/>
        </w:rPr>
      </w:pPr>
      <w:r>
        <w:rPr>
          <w:rStyle w:val="6"/>
          <w:rFonts w:ascii="仿宋_GB2312" w:hAnsi="仿宋_GB2312" w:eastAsia="仿宋_GB2312"/>
          <w:b w:val="0"/>
          <w:i w:val="0"/>
          <w:caps w:val="0"/>
          <w:spacing w:val="0"/>
          <w:w w:val="100"/>
          <w:sz w:val="32"/>
          <w:szCs w:val="32"/>
        </w:rPr>
        <w:t>十</w:t>
      </w:r>
      <w:r>
        <w:rPr>
          <w:rStyle w:val="6"/>
          <w:rFonts w:ascii="仿宋_GB2312" w:hAnsi="仿宋_GB2312" w:eastAsia="仿宋_GB2312" w:cs="仿宋_GB2312"/>
          <w:b w:val="0"/>
          <w:bCs/>
          <w:i w:val="0"/>
          <w:caps w:val="0"/>
          <w:spacing w:val="0"/>
          <w:w w:val="100"/>
          <w:kern w:val="0"/>
          <w:sz w:val="32"/>
          <w:szCs w:val="32"/>
        </w:rPr>
        <w:t>、其他重要事项的情况说明</w:t>
      </w:r>
    </w:p>
    <w:p>
      <w:pPr>
        <w:pStyle w:val="8"/>
        <w:widowControl/>
        <w:tabs>
          <w:tab w:val="right" w:pos="8306"/>
        </w:tabs>
        <w:snapToGrid/>
        <w:spacing w:before="0" w:beforeAutospacing="0" w:after="0" w:afterAutospacing="0" w:line="240" w:lineRule="auto"/>
        <w:ind w:left="0" w:leftChars="0"/>
        <w:jc w:val="both"/>
        <w:textAlignment w:val="baseline"/>
        <w:rPr>
          <w:rStyle w:val="6"/>
          <w:rFonts w:ascii="仿宋_GB2312" w:hAnsi="仿宋_GB2312" w:eastAsia="仿宋_GB2312"/>
          <w:b w:val="0"/>
          <w:i w:val="0"/>
          <w:caps w:val="0"/>
          <w:spacing w:val="0"/>
          <w:w w:val="100"/>
          <w:sz w:val="32"/>
          <w:szCs w:val="32"/>
        </w:rPr>
      </w:pPr>
      <w:r>
        <w:rPr>
          <w:rStyle w:val="6"/>
          <w:rFonts w:ascii="仿宋_GB2312" w:hAnsi="仿宋_GB2312" w:eastAsia="仿宋_GB2312"/>
          <w:b w:val="0"/>
          <w:i w:val="0"/>
          <w:caps w:val="0"/>
          <w:spacing w:val="0"/>
          <w:w w:val="100"/>
          <w:sz w:val="32"/>
          <w:szCs w:val="32"/>
        </w:rPr>
        <w:t>（一）机关运行经费支出情况</w:t>
      </w:r>
    </w:p>
    <w:p>
      <w:pPr>
        <w:pStyle w:val="8"/>
        <w:widowControl/>
        <w:tabs>
          <w:tab w:val="right" w:pos="8306"/>
        </w:tabs>
        <w:snapToGrid/>
        <w:spacing w:before="0" w:beforeAutospacing="0" w:after="0" w:afterAutospacing="0" w:line="240" w:lineRule="auto"/>
        <w:ind w:left="0" w:leftChars="0"/>
        <w:jc w:val="both"/>
        <w:textAlignment w:val="baseline"/>
        <w:rPr>
          <w:rStyle w:val="6"/>
          <w:rFonts w:ascii="仿宋_GB2312" w:hAnsi="仿宋_GB2312" w:eastAsia="仿宋_GB2312"/>
          <w:b w:val="0"/>
          <w:i w:val="0"/>
          <w:caps w:val="0"/>
          <w:spacing w:val="0"/>
          <w:w w:val="100"/>
          <w:sz w:val="32"/>
          <w:szCs w:val="32"/>
        </w:rPr>
      </w:pPr>
      <w:r>
        <w:rPr>
          <w:rStyle w:val="6"/>
          <w:rFonts w:ascii="仿宋_GB2312" w:hAnsi="仿宋_GB2312" w:eastAsia="仿宋_GB2312"/>
          <w:b w:val="0"/>
          <w:i w:val="0"/>
          <w:caps w:val="0"/>
          <w:spacing w:val="0"/>
          <w:w w:val="100"/>
          <w:sz w:val="32"/>
          <w:szCs w:val="32"/>
        </w:rPr>
        <w:t>（二）政府采购情况</w:t>
      </w:r>
    </w:p>
    <w:p>
      <w:pPr>
        <w:pStyle w:val="8"/>
        <w:widowControl/>
        <w:tabs>
          <w:tab w:val="right" w:pos="8306"/>
        </w:tabs>
        <w:snapToGrid/>
        <w:spacing w:before="0" w:beforeAutospacing="0" w:after="0" w:afterAutospacing="0" w:line="240" w:lineRule="auto"/>
        <w:ind w:left="0" w:leftChars="0"/>
        <w:jc w:val="both"/>
        <w:textAlignment w:val="baseline"/>
        <w:rPr>
          <w:rStyle w:val="6"/>
          <w:rFonts w:ascii="仿宋_GB2312" w:hAnsi="仿宋_GB2312" w:eastAsia="仿宋_GB2312"/>
          <w:b w:val="0"/>
          <w:i w:val="0"/>
          <w:caps w:val="0"/>
          <w:spacing w:val="0"/>
          <w:w w:val="100"/>
          <w:sz w:val="32"/>
          <w:szCs w:val="32"/>
        </w:rPr>
      </w:pPr>
      <w:r>
        <w:rPr>
          <w:rStyle w:val="6"/>
          <w:rFonts w:ascii="仿宋_GB2312" w:hAnsi="仿宋_GB2312" w:eastAsia="仿宋_GB2312"/>
          <w:b w:val="0"/>
          <w:i w:val="0"/>
          <w:caps w:val="0"/>
          <w:spacing w:val="0"/>
          <w:w w:val="100"/>
          <w:sz w:val="32"/>
          <w:szCs w:val="32"/>
        </w:rPr>
        <w:t>（三）国有资产占用情况说明</w:t>
      </w:r>
    </w:p>
    <w:p>
      <w:pPr>
        <w:pStyle w:val="12"/>
        <w:widowControl/>
        <w:tabs>
          <w:tab w:val="right" w:pos="8306"/>
        </w:tabs>
        <w:snapToGrid/>
        <w:spacing w:before="0" w:beforeAutospacing="0" w:after="0" w:afterAutospacing="0" w:line="240" w:lineRule="auto"/>
        <w:ind w:left="0" w:leftChars="0"/>
        <w:jc w:val="both"/>
        <w:textAlignment w:val="baseline"/>
        <w:rPr>
          <w:rStyle w:val="6"/>
          <w:rFonts w:ascii="仿宋_GB2312" w:hAnsi="仿宋_GB2312" w:eastAsia="仿宋_GB2312"/>
          <w:b w:val="0"/>
          <w:i w:val="0"/>
          <w:caps w:val="0"/>
          <w:spacing w:val="0"/>
          <w:w w:val="100"/>
          <w:sz w:val="32"/>
          <w:szCs w:val="32"/>
        </w:rPr>
      </w:pPr>
      <w:r>
        <w:rPr>
          <w:rStyle w:val="6"/>
          <w:rFonts w:ascii="仿宋_GB2312" w:hAnsi="仿宋_GB2312" w:eastAsia="仿宋_GB2312" w:cs="仿宋_GB2312"/>
          <w:b w:val="0"/>
          <w:bCs/>
          <w:i w:val="0"/>
          <w:caps w:val="0"/>
          <w:spacing w:val="0"/>
          <w:w w:val="100"/>
          <w:kern w:val="0"/>
          <w:sz w:val="32"/>
          <w:szCs w:val="32"/>
        </w:rPr>
        <w:t>十一、预算绩效的情况说明</w:t>
      </w:r>
    </w:p>
    <w:p>
      <w:pPr>
        <w:pStyle w:val="9"/>
        <w:widowControl/>
        <w:tabs>
          <w:tab w:val="right" w:pos="8306"/>
        </w:tabs>
        <w:snapToGrid/>
        <w:spacing w:before="0" w:beforeAutospacing="0" w:after="0" w:afterAutospacing="0" w:line="240" w:lineRule="auto"/>
        <w:jc w:val="both"/>
        <w:textAlignment w:val="baseline"/>
        <w:rPr>
          <w:rStyle w:val="6"/>
          <w:rFonts w:ascii="仿宋_GB2312" w:hAnsi="仿宋_GB2312" w:eastAsia="仿宋_GB2312" w:cs="仿宋_GB2312"/>
          <w:b/>
          <w:bCs/>
          <w:i w:val="0"/>
          <w:caps w:val="0"/>
          <w:spacing w:val="0"/>
          <w:w w:val="100"/>
          <w:sz w:val="32"/>
          <w:szCs w:val="32"/>
        </w:rPr>
      </w:pPr>
      <w:r>
        <w:rPr>
          <w:rStyle w:val="6"/>
          <w:rFonts w:ascii="仿宋_GB2312" w:hAnsi="仿宋_GB2312" w:eastAsia="仿宋_GB2312" w:cs="仿宋_GB2312"/>
          <w:b/>
          <w:bCs/>
          <w:i w:val="0"/>
          <w:caps w:val="0"/>
          <w:spacing w:val="0"/>
          <w:w w:val="100"/>
          <w:sz w:val="32"/>
          <w:szCs w:val="32"/>
        </w:rPr>
        <w:t>第三部分 专业名词解释</w:t>
      </w:r>
    </w:p>
    <w:p>
      <w:pPr>
        <w:pStyle w:val="9"/>
        <w:widowControl/>
        <w:tabs>
          <w:tab w:val="right" w:pos="8306"/>
        </w:tabs>
        <w:snapToGrid/>
        <w:spacing w:before="0" w:beforeAutospacing="0" w:after="0" w:afterAutospacing="0" w:line="240" w:lineRule="auto"/>
        <w:jc w:val="both"/>
        <w:textAlignment w:val="baseline"/>
        <w:rPr>
          <w:rStyle w:val="6"/>
          <w:rFonts w:ascii="仿宋_GB2312" w:hAnsi="仿宋_GB2312" w:eastAsia="仿宋_GB2312" w:cs="仿宋_GB2312"/>
          <w:b/>
          <w:bCs/>
          <w:i w:val="0"/>
          <w:caps w:val="0"/>
          <w:spacing w:val="0"/>
          <w:w w:val="100"/>
          <w:sz w:val="32"/>
          <w:szCs w:val="32"/>
        </w:rPr>
      </w:pPr>
      <w:r>
        <w:rPr>
          <w:rStyle w:val="6"/>
          <w:rFonts w:ascii="仿宋_GB2312" w:hAnsi="仿宋_GB2312" w:eastAsia="仿宋_GB2312" w:cs="仿宋_GB2312"/>
          <w:b/>
          <w:bCs/>
          <w:i w:val="0"/>
          <w:caps w:val="0"/>
          <w:spacing w:val="0"/>
          <w:w w:val="100"/>
          <w:sz w:val="32"/>
          <w:szCs w:val="32"/>
        </w:rPr>
        <w:t>第四部分 部门决算报表（见附表）</w:t>
      </w:r>
    </w:p>
    <w:p>
      <w:pPr>
        <w:pStyle w:val="12"/>
        <w:widowControl/>
        <w:tabs>
          <w:tab w:val="right" w:pos="8306"/>
        </w:tabs>
        <w:snapToGrid/>
        <w:spacing w:before="0" w:beforeAutospacing="0" w:after="0" w:afterAutospacing="0" w:line="240" w:lineRule="auto"/>
        <w:ind w:left="0" w:leftChars="0"/>
        <w:jc w:val="both"/>
        <w:textAlignment w:val="baseline"/>
        <w:rPr>
          <w:rStyle w:val="6"/>
          <w:rFonts w:ascii="仿宋_GB2312" w:hAnsi="仿宋_GB2312" w:eastAsia="仿宋_GB2312"/>
          <w:b w:val="0"/>
          <w:i w:val="0"/>
          <w:caps w:val="0"/>
          <w:spacing w:val="0"/>
          <w:w w:val="100"/>
          <w:sz w:val="32"/>
          <w:szCs w:val="32"/>
        </w:rPr>
      </w:pPr>
      <w:r>
        <w:rPr>
          <w:rStyle w:val="6"/>
          <w:rFonts w:ascii="仿宋_GB2312" w:hAnsi="仿宋_GB2312" w:eastAsia="仿宋_GB2312" w:cs="仿宋_GB2312"/>
          <w:b w:val="0"/>
          <w:bCs/>
          <w:i w:val="0"/>
          <w:caps w:val="0"/>
          <w:spacing w:val="0"/>
          <w:w w:val="100"/>
          <w:kern w:val="0"/>
          <w:sz w:val="32"/>
          <w:szCs w:val="32"/>
        </w:rPr>
        <w:t>一、《收入支出决算总表》</w:t>
      </w:r>
    </w:p>
    <w:p>
      <w:pPr>
        <w:pStyle w:val="12"/>
        <w:widowControl/>
        <w:tabs>
          <w:tab w:val="right" w:pos="8306"/>
        </w:tabs>
        <w:snapToGrid/>
        <w:spacing w:before="0" w:beforeAutospacing="0" w:after="0" w:afterAutospacing="0" w:line="240" w:lineRule="auto"/>
        <w:ind w:left="0" w:leftChars="0"/>
        <w:jc w:val="both"/>
        <w:textAlignment w:val="baseline"/>
        <w:rPr>
          <w:rStyle w:val="6"/>
          <w:rFonts w:ascii="仿宋_GB2312" w:hAnsi="仿宋_GB2312" w:eastAsia="仿宋_GB2312"/>
          <w:b w:val="0"/>
          <w:i w:val="0"/>
          <w:caps w:val="0"/>
          <w:spacing w:val="0"/>
          <w:w w:val="100"/>
          <w:sz w:val="32"/>
          <w:szCs w:val="32"/>
        </w:rPr>
      </w:pPr>
      <w:r>
        <w:rPr>
          <w:rStyle w:val="6"/>
          <w:rFonts w:ascii="仿宋_GB2312" w:hAnsi="仿宋_GB2312" w:eastAsia="仿宋_GB2312" w:cs="仿宋_GB2312"/>
          <w:b w:val="0"/>
          <w:bCs/>
          <w:i w:val="0"/>
          <w:caps w:val="0"/>
          <w:spacing w:val="0"/>
          <w:w w:val="100"/>
          <w:kern w:val="0"/>
          <w:sz w:val="32"/>
          <w:szCs w:val="32"/>
        </w:rPr>
        <w:t>二、《收入决算表》</w:t>
      </w:r>
    </w:p>
    <w:p>
      <w:pPr>
        <w:pStyle w:val="12"/>
        <w:widowControl/>
        <w:tabs>
          <w:tab w:val="right" w:pos="8306"/>
        </w:tabs>
        <w:snapToGrid/>
        <w:spacing w:before="0" w:beforeAutospacing="0" w:after="0" w:afterAutospacing="0" w:line="240" w:lineRule="auto"/>
        <w:ind w:left="0" w:leftChars="0"/>
        <w:jc w:val="both"/>
        <w:textAlignment w:val="baseline"/>
        <w:rPr>
          <w:rStyle w:val="6"/>
          <w:rFonts w:ascii="仿宋_GB2312" w:hAnsi="仿宋_GB2312" w:eastAsia="仿宋_GB2312"/>
          <w:b w:val="0"/>
          <w:i w:val="0"/>
          <w:caps w:val="0"/>
          <w:spacing w:val="0"/>
          <w:w w:val="100"/>
          <w:sz w:val="32"/>
          <w:szCs w:val="32"/>
        </w:rPr>
      </w:pPr>
      <w:r>
        <w:rPr>
          <w:rStyle w:val="6"/>
          <w:rFonts w:ascii="仿宋_GB2312" w:hAnsi="仿宋_GB2312" w:eastAsia="仿宋_GB2312" w:cs="仿宋_GB2312"/>
          <w:b w:val="0"/>
          <w:bCs/>
          <w:i w:val="0"/>
          <w:caps w:val="0"/>
          <w:spacing w:val="0"/>
          <w:w w:val="100"/>
          <w:kern w:val="0"/>
          <w:sz w:val="32"/>
          <w:szCs w:val="32"/>
        </w:rPr>
        <w:t>三、《支出决算表》</w:t>
      </w:r>
    </w:p>
    <w:p>
      <w:pPr>
        <w:pStyle w:val="12"/>
        <w:widowControl/>
        <w:tabs>
          <w:tab w:val="right" w:pos="8306"/>
        </w:tabs>
        <w:snapToGrid/>
        <w:spacing w:before="0" w:beforeAutospacing="0" w:after="0" w:afterAutospacing="0" w:line="240" w:lineRule="auto"/>
        <w:ind w:left="0" w:leftChars="0"/>
        <w:jc w:val="both"/>
        <w:textAlignment w:val="baseline"/>
        <w:rPr>
          <w:rStyle w:val="6"/>
          <w:rFonts w:ascii="仿宋_GB2312" w:hAnsi="仿宋_GB2312" w:eastAsia="仿宋_GB2312"/>
          <w:b w:val="0"/>
          <w:i w:val="0"/>
          <w:caps w:val="0"/>
          <w:spacing w:val="0"/>
          <w:w w:val="100"/>
          <w:sz w:val="32"/>
          <w:szCs w:val="32"/>
        </w:rPr>
      </w:pPr>
      <w:r>
        <w:rPr>
          <w:rStyle w:val="6"/>
          <w:rFonts w:ascii="仿宋_GB2312" w:hAnsi="仿宋_GB2312" w:eastAsia="仿宋_GB2312" w:cs="仿宋_GB2312"/>
          <w:b w:val="0"/>
          <w:bCs/>
          <w:i w:val="0"/>
          <w:caps w:val="0"/>
          <w:spacing w:val="0"/>
          <w:w w:val="100"/>
          <w:kern w:val="0"/>
          <w:sz w:val="32"/>
          <w:szCs w:val="32"/>
        </w:rPr>
        <w:t>四、《财政拨款收入支出决算总表》</w:t>
      </w:r>
    </w:p>
    <w:p>
      <w:pPr>
        <w:pStyle w:val="12"/>
        <w:widowControl/>
        <w:tabs>
          <w:tab w:val="right" w:pos="8306"/>
        </w:tabs>
        <w:snapToGrid/>
        <w:spacing w:before="0" w:beforeAutospacing="0" w:after="0" w:afterAutospacing="0" w:line="240" w:lineRule="auto"/>
        <w:ind w:left="0" w:leftChars="0"/>
        <w:jc w:val="both"/>
        <w:textAlignment w:val="baseline"/>
        <w:rPr>
          <w:rStyle w:val="6"/>
          <w:rFonts w:ascii="仿宋_GB2312" w:hAnsi="仿宋_GB2312" w:eastAsia="仿宋_GB2312"/>
          <w:b w:val="0"/>
          <w:i w:val="0"/>
          <w:caps w:val="0"/>
          <w:spacing w:val="0"/>
          <w:w w:val="100"/>
          <w:sz w:val="32"/>
          <w:szCs w:val="32"/>
        </w:rPr>
      </w:pPr>
      <w:r>
        <w:rPr>
          <w:rStyle w:val="6"/>
          <w:rFonts w:ascii="仿宋_GB2312" w:hAnsi="仿宋_GB2312" w:eastAsia="仿宋_GB2312" w:cs="仿宋_GB2312"/>
          <w:b w:val="0"/>
          <w:bCs/>
          <w:i w:val="0"/>
          <w:caps w:val="0"/>
          <w:spacing w:val="0"/>
          <w:w w:val="100"/>
          <w:kern w:val="0"/>
          <w:sz w:val="32"/>
          <w:szCs w:val="32"/>
        </w:rPr>
        <w:t>五、《一般公共预算财政拨款支出决算表》</w:t>
      </w:r>
    </w:p>
    <w:p>
      <w:pPr>
        <w:pStyle w:val="12"/>
        <w:widowControl/>
        <w:tabs>
          <w:tab w:val="right" w:pos="8306"/>
        </w:tabs>
        <w:snapToGrid/>
        <w:spacing w:before="0" w:beforeAutospacing="0" w:after="0" w:afterAutospacing="0" w:line="240" w:lineRule="auto"/>
        <w:ind w:left="0" w:leftChars="0"/>
        <w:jc w:val="both"/>
        <w:textAlignment w:val="baseline"/>
        <w:rPr>
          <w:rStyle w:val="6"/>
          <w:rFonts w:ascii="仿宋_GB2312" w:hAnsi="仿宋_GB2312" w:eastAsia="仿宋_GB2312"/>
          <w:b w:val="0"/>
          <w:i w:val="0"/>
          <w:caps w:val="0"/>
          <w:spacing w:val="0"/>
          <w:w w:val="100"/>
          <w:sz w:val="32"/>
          <w:szCs w:val="32"/>
        </w:rPr>
      </w:pPr>
      <w:r>
        <w:rPr>
          <w:rStyle w:val="6"/>
          <w:rFonts w:ascii="仿宋_GB2312" w:hAnsi="仿宋_GB2312" w:eastAsia="仿宋_GB2312" w:cs="仿宋_GB2312"/>
          <w:b w:val="0"/>
          <w:bCs/>
          <w:i w:val="0"/>
          <w:caps w:val="0"/>
          <w:spacing w:val="0"/>
          <w:w w:val="100"/>
          <w:kern w:val="0"/>
          <w:sz w:val="32"/>
          <w:szCs w:val="32"/>
        </w:rPr>
        <w:t>六、《一般公共预算财政拨款基本支出决算表》</w:t>
      </w:r>
    </w:p>
    <w:p>
      <w:pPr>
        <w:pStyle w:val="12"/>
        <w:widowControl/>
        <w:tabs>
          <w:tab w:val="right" w:pos="8306"/>
        </w:tabs>
        <w:snapToGrid/>
        <w:spacing w:before="0" w:beforeAutospacing="0" w:after="0" w:afterAutospacing="0" w:line="240" w:lineRule="auto"/>
        <w:ind w:left="0" w:leftChars="0"/>
        <w:jc w:val="both"/>
        <w:textAlignment w:val="baseline"/>
        <w:rPr>
          <w:rStyle w:val="6"/>
          <w:rFonts w:ascii="仿宋_GB2312" w:hAnsi="仿宋_GB2312" w:eastAsia="仿宋_GB2312"/>
          <w:b w:val="0"/>
          <w:i w:val="0"/>
          <w:caps w:val="0"/>
          <w:spacing w:val="0"/>
          <w:w w:val="100"/>
          <w:sz w:val="32"/>
          <w:szCs w:val="32"/>
        </w:rPr>
      </w:pPr>
      <w:r>
        <w:rPr>
          <w:rStyle w:val="6"/>
          <w:rFonts w:ascii="仿宋_GB2312" w:hAnsi="仿宋_GB2312" w:eastAsia="仿宋_GB2312" w:cs="仿宋_GB2312"/>
          <w:b w:val="0"/>
          <w:bCs/>
          <w:i w:val="0"/>
          <w:caps w:val="0"/>
          <w:spacing w:val="0"/>
          <w:w w:val="100"/>
          <w:kern w:val="0"/>
          <w:sz w:val="32"/>
          <w:szCs w:val="32"/>
        </w:rPr>
        <w:t>七、《一般公共预算财政拨款“三公”经费支出决算表》</w:t>
      </w:r>
    </w:p>
    <w:p>
      <w:pPr>
        <w:pStyle w:val="12"/>
        <w:widowControl/>
        <w:tabs>
          <w:tab w:val="right" w:pos="8306"/>
        </w:tabs>
        <w:snapToGrid/>
        <w:spacing w:before="0" w:beforeAutospacing="0" w:after="0" w:afterAutospacing="0" w:line="240" w:lineRule="auto"/>
        <w:ind w:left="0" w:leftChars="0"/>
        <w:jc w:val="both"/>
        <w:textAlignment w:val="baseline"/>
        <w:rPr>
          <w:rStyle w:val="6"/>
          <w:rFonts w:ascii="仿宋_GB2312" w:hAnsi="仿宋_GB2312" w:eastAsia="仿宋_GB2312" w:cs="仿宋_GB2312"/>
          <w:b w:val="0"/>
          <w:bCs/>
          <w:i w:val="0"/>
          <w:caps w:val="0"/>
          <w:spacing w:val="0"/>
          <w:w w:val="100"/>
          <w:kern w:val="0"/>
          <w:sz w:val="32"/>
          <w:szCs w:val="32"/>
        </w:rPr>
      </w:pPr>
      <w:r>
        <w:rPr>
          <w:rStyle w:val="6"/>
          <w:rFonts w:ascii="仿宋_GB2312" w:hAnsi="仿宋_GB2312" w:eastAsia="仿宋_GB2312" w:cs="仿宋_GB2312"/>
          <w:b w:val="0"/>
          <w:bCs/>
          <w:i w:val="0"/>
          <w:caps w:val="0"/>
          <w:spacing w:val="0"/>
          <w:w w:val="100"/>
          <w:kern w:val="0"/>
          <w:sz w:val="32"/>
          <w:szCs w:val="32"/>
        </w:rPr>
        <w:t>八、《政府性基金预算财政拨款收入支出决算表》</w:t>
      </w:r>
    </w:p>
    <w:p>
      <w:pPr>
        <w:pStyle w:val="12"/>
        <w:widowControl/>
        <w:tabs>
          <w:tab w:val="right" w:pos="8306"/>
        </w:tabs>
        <w:snapToGrid/>
        <w:spacing w:before="0" w:beforeAutospacing="0" w:after="0" w:afterAutospacing="0" w:line="240" w:lineRule="auto"/>
        <w:ind w:left="0" w:leftChars="0"/>
        <w:jc w:val="both"/>
        <w:textAlignment w:val="baseline"/>
        <w:rPr>
          <w:rStyle w:val="6"/>
          <w:rFonts w:ascii="仿宋_GB2312" w:hAnsi="仿宋_GB2312" w:eastAsia="仿宋_GB2312" w:cs="仿宋_GB2312"/>
          <w:b w:val="0"/>
          <w:bCs/>
          <w:i w:val="0"/>
          <w:caps w:val="0"/>
          <w:spacing w:val="0"/>
          <w:w w:val="100"/>
          <w:kern w:val="0"/>
          <w:sz w:val="32"/>
          <w:szCs w:val="32"/>
        </w:rPr>
      </w:pPr>
      <w:r>
        <w:rPr>
          <w:rStyle w:val="6"/>
          <w:rFonts w:ascii="仿宋_GB2312" w:hAnsi="仿宋_GB2312" w:eastAsia="仿宋_GB2312" w:cs="仿宋_GB2312"/>
          <w:b w:val="0"/>
          <w:bCs/>
          <w:i w:val="0"/>
          <w:caps w:val="0"/>
          <w:spacing w:val="0"/>
          <w:w w:val="100"/>
          <w:kern w:val="0"/>
          <w:sz w:val="32"/>
          <w:szCs w:val="32"/>
        </w:rPr>
        <w:t>九、《国有资本经营预算财政拨款收入支出决算表》</w:t>
      </w:r>
    </w:p>
    <w:p>
      <w:pPr>
        <w:snapToGrid/>
        <w:spacing w:before="0" w:beforeAutospacing="0" w:after="0" w:afterAutospacing="0" w:line="240" w:lineRule="auto"/>
        <w:jc w:val="both"/>
        <w:textAlignment w:val="baseline"/>
        <w:rPr>
          <w:rStyle w:val="6"/>
          <w:rFonts w:ascii="Times New Roman" w:hAnsi="Times New Roman" w:eastAsia="宋体"/>
          <w:b w:val="0"/>
          <w:i w:val="0"/>
          <w:caps w:val="0"/>
          <w:spacing w:val="0"/>
          <w:w w:val="100"/>
          <w:kern w:val="2"/>
          <w:sz w:val="21"/>
          <w:szCs w:val="24"/>
          <w:lang w:val="en-US" w:eastAsia="zh-CN" w:bidi="ar-SA"/>
        </w:rPr>
      </w:pPr>
    </w:p>
    <w:p>
      <w:pPr>
        <w:snapToGrid/>
        <w:spacing w:before="0" w:beforeAutospacing="0" w:after="0" w:afterAutospacing="0" w:line="240" w:lineRule="auto"/>
        <w:ind w:firstLine="640" w:firstLineChars="200"/>
        <w:jc w:val="center"/>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br w:type="page"/>
      </w:r>
    </w:p>
    <w:p>
      <w:pPr>
        <w:snapToGrid/>
        <w:spacing w:before="0" w:beforeAutospacing="0" w:after="0" w:afterAutospacing="0" w:line="240" w:lineRule="auto"/>
        <w:ind w:firstLine="640" w:firstLineChars="200"/>
        <w:jc w:val="center"/>
        <w:textAlignment w:val="baseline"/>
        <w:rPr>
          <w:rStyle w:val="6"/>
          <w:rFonts w:ascii="黑体" w:hAnsi="黑体" w:eastAsia="黑体"/>
          <w:b w:val="0"/>
          <w:i w:val="0"/>
          <w:caps w:val="0"/>
          <w:spacing w:val="0"/>
          <w:w w:val="100"/>
          <w:kern w:val="2"/>
          <w:sz w:val="32"/>
          <w:szCs w:val="32"/>
          <w:lang w:val="en-US" w:eastAsia="zh-CN" w:bidi="ar-SA"/>
        </w:rPr>
      </w:pPr>
      <w:r>
        <w:rPr>
          <w:rStyle w:val="6"/>
          <w:rFonts w:ascii="黑体" w:hAnsi="黑体" w:eastAsia="黑体"/>
          <w:b w:val="0"/>
          <w:i w:val="0"/>
          <w:caps w:val="0"/>
          <w:spacing w:val="0"/>
          <w:w w:val="100"/>
          <w:kern w:val="2"/>
          <w:sz w:val="32"/>
          <w:szCs w:val="32"/>
          <w:lang w:val="en-US" w:eastAsia="zh-CN" w:bidi="ar-SA"/>
        </w:rPr>
        <w:t>第一部分 部门单位概况</w:t>
      </w:r>
    </w:p>
    <w:p>
      <w:pPr>
        <w:snapToGrid/>
        <w:spacing w:before="0" w:beforeAutospacing="0" w:after="0" w:afterAutospacing="0" w:line="240" w:lineRule="auto"/>
        <w:ind w:firstLine="640" w:firstLineChars="200"/>
        <w:jc w:val="both"/>
        <w:textAlignment w:val="baseline"/>
        <w:rPr>
          <w:rStyle w:val="6"/>
          <w:rFonts w:ascii="黑体" w:hAnsi="黑体" w:eastAsia="黑体" w:cs="宋体"/>
          <w:b w:val="0"/>
          <w:bCs/>
          <w:i w:val="0"/>
          <w:caps w:val="0"/>
          <w:spacing w:val="0"/>
          <w:w w:val="100"/>
          <w:kern w:val="0"/>
          <w:sz w:val="32"/>
          <w:szCs w:val="32"/>
          <w:lang w:val="en-US" w:eastAsia="zh-CN" w:bidi="ar-SA"/>
        </w:rPr>
      </w:pPr>
      <w:r>
        <w:rPr>
          <w:rStyle w:val="6"/>
          <w:rFonts w:ascii="黑体" w:hAnsi="黑体" w:eastAsia="黑体" w:cs="宋体"/>
          <w:b w:val="0"/>
          <w:bCs/>
          <w:i w:val="0"/>
          <w:caps w:val="0"/>
          <w:spacing w:val="0"/>
          <w:w w:val="100"/>
          <w:kern w:val="0"/>
          <w:sz w:val="32"/>
          <w:szCs w:val="32"/>
          <w:lang w:val="en-US" w:eastAsia="zh-CN" w:bidi="ar-SA"/>
        </w:rPr>
        <w:t>一、主要职能</w:t>
      </w:r>
    </w:p>
    <w:p>
      <w:pPr>
        <w:snapToGrid/>
        <w:spacing w:before="0" w:beforeAutospacing="0" w:after="0" w:afterAutospacing="0" w:line="240" w:lineRule="auto"/>
        <w:ind w:firstLine="640"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1、组织群众文化活动，繁荣群众文化事业，文化宣传，文体活动组织；</w:t>
      </w:r>
    </w:p>
    <w:p>
      <w:pPr>
        <w:snapToGrid/>
        <w:spacing w:before="0" w:beforeAutospacing="0" w:after="0" w:afterAutospacing="0" w:line="240" w:lineRule="auto"/>
        <w:ind w:firstLine="640"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2、协助有关单位办好地区的广场文化活动及重大节日、纪念日的大型群众性文化体育活动。</w:t>
      </w:r>
    </w:p>
    <w:p>
      <w:pPr>
        <w:snapToGrid/>
        <w:spacing w:before="0" w:beforeAutospacing="0" w:after="0" w:afterAutospacing="0" w:line="240" w:lineRule="auto"/>
        <w:ind w:firstLine="640"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3、作好中心的图书馆、篮球场，青少年活动中心保障管理工作（相关服务）。</w:t>
      </w:r>
    </w:p>
    <w:p>
      <w:pPr>
        <w:snapToGrid/>
        <w:spacing w:before="0" w:beforeAutospacing="0" w:after="0" w:afterAutospacing="0" w:line="240" w:lineRule="auto"/>
        <w:ind w:firstLine="640" w:firstLineChars="200"/>
        <w:jc w:val="both"/>
        <w:textAlignment w:val="baseline"/>
        <w:rPr>
          <w:rStyle w:val="6"/>
          <w:rFonts w:ascii="黑体" w:hAnsi="黑体" w:eastAsia="黑体" w:cs="宋体"/>
          <w:b w:val="0"/>
          <w:bCs/>
          <w:i w:val="0"/>
          <w:caps w:val="0"/>
          <w:spacing w:val="0"/>
          <w:w w:val="100"/>
          <w:kern w:val="0"/>
          <w:sz w:val="32"/>
          <w:szCs w:val="32"/>
          <w:lang w:val="en-US" w:eastAsia="zh-CN" w:bidi="ar-SA"/>
        </w:rPr>
      </w:pPr>
      <w:r>
        <w:rPr>
          <w:rStyle w:val="6"/>
          <w:rFonts w:ascii="黑体" w:hAnsi="黑体" w:eastAsia="黑体" w:cs="宋体"/>
          <w:b w:val="0"/>
          <w:bCs/>
          <w:i w:val="0"/>
          <w:caps w:val="0"/>
          <w:spacing w:val="0"/>
          <w:w w:val="100"/>
          <w:kern w:val="0"/>
          <w:sz w:val="32"/>
          <w:szCs w:val="32"/>
          <w:lang w:val="en-US" w:eastAsia="zh-CN" w:bidi="ar-SA"/>
        </w:rPr>
        <w:t>二、机构设置及人员情况</w:t>
      </w:r>
    </w:p>
    <w:p>
      <w:pPr>
        <w:snapToGrid/>
        <w:spacing w:before="0" w:beforeAutospacing="0" w:after="0" w:afterAutospacing="0" w:line="240" w:lineRule="auto"/>
        <w:ind w:firstLine="640"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和田地区文化体育活动中心2020年度，实有人数4人，其中：在职人员4人，离休人员0人，退休人员0人。</w:t>
      </w:r>
    </w:p>
    <w:p>
      <w:pPr>
        <w:snapToGrid/>
        <w:spacing w:before="0" w:beforeAutospacing="0" w:after="0" w:afterAutospacing="0" w:line="240" w:lineRule="auto"/>
        <w:ind w:firstLine="640" w:firstLineChars="200"/>
        <w:jc w:val="both"/>
        <w:textAlignment w:val="baseline"/>
        <w:rPr>
          <w:rStyle w:val="6"/>
          <w:rFonts w:ascii="仿宋_GB2312" w:eastAsia="仿宋_GB2312"/>
          <w:b w:val="0"/>
          <w:i w:val="0"/>
          <w:caps w:val="0"/>
          <w:color w:val="000000"/>
          <w:spacing w:val="0"/>
          <w:w w:val="100"/>
          <w:kern w:val="2"/>
          <w:sz w:val="32"/>
          <w:szCs w:val="32"/>
          <w:lang w:val="en-US" w:eastAsia="zh-CN" w:bidi="ar-SA"/>
        </w:rPr>
      </w:pPr>
      <w:r>
        <w:rPr>
          <w:rStyle w:val="6"/>
          <w:rFonts w:ascii="仿宋_GB2312" w:eastAsia="仿宋_GB2312"/>
          <w:b w:val="0"/>
          <w:i w:val="0"/>
          <w:caps w:val="0"/>
          <w:color w:val="000000"/>
          <w:spacing w:val="0"/>
          <w:w w:val="100"/>
          <w:kern w:val="2"/>
          <w:sz w:val="32"/>
          <w:szCs w:val="32"/>
          <w:lang w:val="en-US" w:eastAsia="zh-CN" w:bidi="ar-SA"/>
        </w:rPr>
        <w:t>从部门决算单位构成看，和田地区文化体育活动中心部门决算包括：和田地区文化体育活动中心决算。</w:t>
      </w:r>
      <w:r>
        <w:rPr>
          <w:rStyle w:val="6"/>
          <w:rFonts w:ascii="仿宋_GB2312" w:hAnsi="黑体" w:eastAsia="仿宋_GB2312" w:cs="宋体"/>
          <w:b w:val="0"/>
          <w:bCs/>
          <w:i w:val="0"/>
          <w:caps w:val="0"/>
          <w:color w:val="000000"/>
          <w:spacing w:val="0"/>
          <w:w w:val="100"/>
          <w:kern w:val="0"/>
          <w:sz w:val="32"/>
          <w:szCs w:val="32"/>
          <w:lang w:val="en-US" w:eastAsia="zh-CN" w:bidi="ar-SA"/>
        </w:rPr>
        <w:t>单位无下属预算单位，下设</w:t>
      </w:r>
      <w:r>
        <w:rPr>
          <w:rStyle w:val="6"/>
          <w:rFonts w:ascii="仿宋_GB2312" w:eastAsia="仿宋_GB2312"/>
          <w:b w:val="0"/>
          <w:i w:val="0"/>
          <w:caps w:val="0"/>
          <w:color w:val="000000"/>
          <w:spacing w:val="0"/>
          <w:w w:val="100"/>
          <w:kern w:val="2"/>
          <w:sz w:val="32"/>
          <w:szCs w:val="32"/>
          <w:lang w:val="en-US" w:eastAsia="zh-CN" w:bidi="ar-SA"/>
        </w:rPr>
        <w:t>0</w:t>
      </w:r>
      <w:r>
        <w:rPr>
          <w:rStyle w:val="6"/>
          <w:rFonts w:ascii="仿宋_GB2312" w:hAnsi="黑体" w:eastAsia="仿宋_GB2312" w:cs="宋体"/>
          <w:b w:val="0"/>
          <w:bCs/>
          <w:i w:val="0"/>
          <w:caps w:val="0"/>
          <w:color w:val="000000"/>
          <w:spacing w:val="0"/>
          <w:w w:val="100"/>
          <w:kern w:val="0"/>
          <w:sz w:val="32"/>
          <w:szCs w:val="32"/>
          <w:lang w:val="en-US" w:eastAsia="zh-CN" w:bidi="ar-SA"/>
        </w:rPr>
        <w:t>个处室，</w:t>
      </w:r>
      <w:r>
        <w:rPr>
          <w:rStyle w:val="6"/>
          <w:rFonts w:hint="eastAsia" w:ascii="仿宋_GB2312" w:hAnsi="黑体" w:eastAsia="仿宋_GB2312" w:cs="宋体"/>
          <w:b w:val="0"/>
          <w:bCs/>
          <w:i w:val="0"/>
          <w:caps w:val="0"/>
          <w:color w:val="000000"/>
          <w:spacing w:val="0"/>
          <w:w w:val="100"/>
          <w:kern w:val="0"/>
          <w:sz w:val="32"/>
          <w:szCs w:val="32"/>
          <w:lang w:val="en-US" w:eastAsia="zh-CN" w:bidi="ar-SA"/>
        </w:rPr>
        <w:t>分别是：</w:t>
      </w:r>
      <w:r>
        <w:rPr>
          <w:rStyle w:val="6"/>
          <w:rFonts w:ascii="仿宋_GB2312" w:hAnsi="黑体" w:eastAsia="仿宋_GB2312" w:cs="宋体"/>
          <w:b w:val="0"/>
          <w:bCs/>
          <w:i w:val="0"/>
          <w:caps w:val="0"/>
          <w:color w:val="000000"/>
          <w:spacing w:val="0"/>
          <w:w w:val="100"/>
          <w:kern w:val="0"/>
          <w:sz w:val="32"/>
          <w:szCs w:val="32"/>
          <w:lang w:val="en-US" w:eastAsia="zh-CN" w:bidi="ar-SA"/>
        </w:rPr>
        <w:t>我单位</w:t>
      </w:r>
      <w:r>
        <w:rPr>
          <w:rStyle w:val="6"/>
          <w:rFonts w:hint="eastAsia" w:ascii="仿宋_GB2312" w:hAnsi="黑体" w:eastAsia="仿宋_GB2312" w:cs="宋体"/>
          <w:b w:val="0"/>
          <w:bCs/>
          <w:i w:val="0"/>
          <w:caps w:val="0"/>
          <w:color w:val="000000"/>
          <w:spacing w:val="0"/>
          <w:w w:val="100"/>
          <w:kern w:val="0"/>
          <w:sz w:val="32"/>
          <w:szCs w:val="32"/>
          <w:lang w:val="en-US" w:eastAsia="zh-CN" w:bidi="ar-SA"/>
        </w:rPr>
        <w:t>无下设处室</w:t>
      </w:r>
      <w:r>
        <w:rPr>
          <w:rStyle w:val="6"/>
          <w:rFonts w:ascii="仿宋_GB2312" w:hAnsi="宋体" w:eastAsia="仿宋_GB2312"/>
          <w:b w:val="0"/>
          <w:i w:val="0"/>
          <w:caps w:val="0"/>
          <w:color w:val="000000"/>
          <w:spacing w:val="0"/>
          <w:w w:val="100"/>
          <w:kern w:val="0"/>
          <w:sz w:val="32"/>
          <w:szCs w:val="32"/>
          <w:lang w:val="en-US" w:eastAsia="zh-CN" w:bidi="ar-SA"/>
        </w:rPr>
        <w:t>。</w:t>
      </w:r>
    </w:p>
    <w:p>
      <w:pPr>
        <w:snapToGrid/>
        <w:spacing w:before="0" w:beforeAutospacing="0" w:after="0" w:afterAutospacing="0" w:line="240" w:lineRule="auto"/>
        <w:ind w:firstLine="640" w:firstLineChars="200"/>
        <w:jc w:val="center"/>
        <w:textAlignment w:val="baseline"/>
        <w:rPr>
          <w:rStyle w:val="6"/>
          <w:rFonts w:ascii="黑体" w:hAnsi="黑体" w:eastAsia="黑体"/>
          <w:b w:val="0"/>
          <w:i w:val="0"/>
          <w:caps w:val="0"/>
          <w:spacing w:val="0"/>
          <w:w w:val="100"/>
          <w:kern w:val="2"/>
          <w:sz w:val="32"/>
          <w:szCs w:val="32"/>
          <w:lang w:val="en-US" w:eastAsia="zh-CN" w:bidi="ar-SA"/>
        </w:rPr>
      </w:pPr>
      <w:r>
        <w:rPr>
          <w:rStyle w:val="6"/>
          <w:rFonts w:ascii="黑体" w:hAnsi="黑体" w:eastAsia="黑体"/>
          <w:b w:val="0"/>
          <w:i w:val="0"/>
          <w:caps w:val="0"/>
          <w:spacing w:val="0"/>
          <w:w w:val="100"/>
          <w:kern w:val="2"/>
          <w:sz w:val="32"/>
          <w:szCs w:val="32"/>
          <w:lang w:val="en-US" w:eastAsia="zh-CN" w:bidi="ar-SA"/>
        </w:rPr>
        <w:t>第二部分 部门决算情况说明</w:t>
      </w:r>
    </w:p>
    <w:p>
      <w:pPr>
        <w:snapToGrid/>
        <w:spacing w:before="0" w:beforeAutospacing="0" w:after="0" w:afterAutospacing="0" w:line="240" w:lineRule="auto"/>
        <w:ind w:firstLine="640" w:firstLineChars="200"/>
        <w:jc w:val="both"/>
        <w:textAlignment w:val="baseline"/>
        <w:rPr>
          <w:rStyle w:val="6"/>
          <w:rFonts w:ascii="黑体" w:hAnsi="黑体" w:eastAsia="黑体" w:cs="宋体"/>
          <w:b w:val="0"/>
          <w:bCs/>
          <w:i w:val="0"/>
          <w:caps w:val="0"/>
          <w:spacing w:val="0"/>
          <w:w w:val="100"/>
          <w:kern w:val="0"/>
          <w:sz w:val="32"/>
          <w:szCs w:val="32"/>
          <w:lang w:val="en-US" w:eastAsia="zh-CN" w:bidi="ar-SA"/>
        </w:rPr>
      </w:pPr>
      <w:r>
        <w:rPr>
          <w:rStyle w:val="6"/>
          <w:rFonts w:ascii="黑体" w:hAnsi="黑体" w:eastAsia="黑体" w:cs="宋体"/>
          <w:b w:val="0"/>
          <w:bCs/>
          <w:i w:val="0"/>
          <w:caps w:val="0"/>
          <w:spacing w:val="0"/>
          <w:w w:val="100"/>
          <w:kern w:val="0"/>
          <w:sz w:val="32"/>
          <w:szCs w:val="32"/>
          <w:lang w:val="en-US" w:eastAsia="zh-CN" w:bidi="ar-SA"/>
        </w:rPr>
        <w:t>一、收入支出决算总体情况说明</w:t>
      </w:r>
    </w:p>
    <w:p>
      <w:pPr>
        <w:snapToGrid/>
        <w:spacing w:before="0" w:beforeAutospacing="0" w:after="0" w:afterAutospacing="0" w:line="240" w:lineRule="auto"/>
        <w:ind w:firstLine="640"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2020年度本年收入99.44万元，与上年相比，减少62.44万元，降低38.57%，主要原因是：工作经费减少。本年支出107.27万元，与上年相比，减少53.85万元，降低33.43%，主要原因是：工作经费减少。</w:t>
      </w:r>
    </w:p>
    <w:p>
      <w:pPr>
        <w:snapToGrid/>
        <w:spacing w:before="0" w:beforeAutospacing="0" w:after="0" w:afterAutospacing="0" w:line="240" w:lineRule="auto"/>
        <w:ind w:firstLine="640" w:firstLineChars="200"/>
        <w:jc w:val="both"/>
        <w:textAlignment w:val="baseline"/>
        <w:rPr>
          <w:rStyle w:val="6"/>
          <w:rFonts w:ascii="黑体" w:hAnsi="黑体" w:eastAsia="黑体" w:cs="宋体"/>
          <w:b w:val="0"/>
          <w:bCs/>
          <w:i w:val="0"/>
          <w:caps w:val="0"/>
          <w:spacing w:val="0"/>
          <w:w w:val="100"/>
          <w:kern w:val="0"/>
          <w:sz w:val="32"/>
          <w:szCs w:val="32"/>
          <w:lang w:val="en-US" w:eastAsia="zh-CN" w:bidi="ar-SA"/>
        </w:rPr>
      </w:pPr>
      <w:r>
        <w:rPr>
          <w:rStyle w:val="6"/>
          <w:rFonts w:ascii="黑体" w:hAnsi="黑体" w:eastAsia="黑体" w:cs="宋体"/>
          <w:b w:val="0"/>
          <w:bCs/>
          <w:i w:val="0"/>
          <w:caps w:val="0"/>
          <w:spacing w:val="0"/>
          <w:w w:val="100"/>
          <w:kern w:val="0"/>
          <w:sz w:val="32"/>
          <w:szCs w:val="32"/>
          <w:lang w:val="en-US" w:eastAsia="zh-CN" w:bidi="ar-SA"/>
        </w:rPr>
        <w:t>二、收入决算情况说明</w:t>
      </w:r>
    </w:p>
    <w:p>
      <w:pPr>
        <w:snapToGrid/>
        <w:spacing w:before="0" w:beforeAutospacing="0" w:after="0" w:afterAutospacing="0" w:line="240" w:lineRule="auto"/>
        <w:ind w:firstLine="640"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2020年度本年收入99.44万元，其中：财政拨款收入99.44万元，占100%；上级补助收入0万元，占0%；事业收入0万元，占0%；经营收入0万元，占0%；附属单位上缴收入0万元，占0%；其他收入0万元，占0%。</w:t>
      </w:r>
    </w:p>
    <w:p>
      <w:pPr>
        <w:snapToGrid/>
        <w:spacing w:before="0" w:beforeAutospacing="0" w:after="0" w:afterAutospacing="0" w:line="240" w:lineRule="auto"/>
        <w:ind w:firstLine="640" w:firstLineChars="200"/>
        <w:jc w:val="both"/>
        <w:textAlignment w:val="baseline"/>
        <w:rPr>
          <w:rStyle w:val="6"/>
          <w:rFonts w:ascii="黑体" w:hAnsi="黑体" w:eastAsia="黑体" w:cs="宋体"/>
          <w:b w:val="0"/>
          <w:bCs/>
          <w:i w:val="0"/>
          <w:caps w:val="0"/>
          <w:spacing w:val="0"/>
          <w:w w:val="100"/>
          <w:kern w:val="0"/>
          <w:sz w:val="32"/>
          <w:szCs w:val="32"/>
          <w:lang w:val="en-US" w:eastAsia="zh-CN" w:bidi="ar-SA"/>
        </w:rPr>
      </w:pPr>
      <w:r>
        <w:rPr>
          <w:rStyle w:val="6"/>
          <w:rFonts w:ascii="黑体" w:hAnsi="黑体" w:eastAsia="黑体" w:cs="宋体"/>
          <w:b w:val="0"/>
          <w:bCs/>
          <w:i w:val="0"/>
          <w:caps w:val="0"/>
          <w:spacing w:val="0"/>
          <w:w w:val="100"/>
          <w:kern w:val="0"/>
          <w:sz w:val="32"/>
          <w:szCs w:val="32"/>
          <w:lang w:val="en-US" w:eastAsia="zh-CN" w:bidi="ar-SA"/>
        </w:rPr>
        <w:t>三、支出决算情况说明</w:t>
      </w:r>
    </w:p>
    <w:p>
      <w:pPr>
        <w:snapToGrid/>
        <w:spacing w:before="0" w:beforeAutospacing="0" w:after="0" w:afterAutospacing="0" w:line="240" w:lineRule="auto"/>
        <w:ind w:firstLine="640"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2020年度本年支出107.27万元，其中：基本支出91.95万元，占85.72%；项目支出15.33万元，占14.28%；上缴上级支出0万元，占0%；经营支出0万元，占0%；对附属单位补助支出0万元，占0%。</w:t>
      </w:r>
    </w:p>
    <w:p>
      <w:pPr>
        <w:snapToGrid/>
        <w:spacing w:before="0" w:beforeAutospacing="0" w:after="0" w:afterAutospacing="0" w:line="240" w:lineRule="auto"/>
        <w:ind w:firstLine="640" w:firstLineChars="200"/>
        <w:jc w:val="both"/>
        <w:textAlignment w:val="baseline"/>
        <w:rPr>
          <w:rStyle w:val="6"/>
          <w:rFonts w:ascii="黑体" w:hAnsi="黑体" w:eastAsia="黑体" w:cs="宋体"/>
          <w:b w:val="0"/>
          <w:bCs/>
          <w:i w:val="0"/>
          <w:caps w:val="0"/>
          <w:spacing w:val="0"/>
          <w:w w:val="100"/>
          <w:kern w:val="0"/>
          <w:sz w:val="32"/>
          <w:szCs w:val="32"/>
          <w:lang w:val="en-US" w:eastAsia="zh-CN" w:bidi="ar-SA"/>
        </w:rPr>
      </w:pPr>
      <w:r>
        <w:rPr>
          <w:rStyle w:val="6"/>
          <w:rFonts w:ascii="黑体" w:hAnsi="黑体" w:eastAsia="黑体" w:cs="宋体"/>
          <w:b w:val="0"/>
          <w:bCs/>
          <w:i w:val="0"/>
          <w:caps w:val="0"/>
          <w:spacing w:val="0"/>
          <w:w w:val="100"/>
          <w:kern w:val="0"/>
          <w:sz w:val="32"/>
          <w:szCs w:val="32"/>
          <w:lang w:val="en-US" w:eastAsia="zh-CN" w:bidi="ar-SA"/>
        </w:rPr>
        <w:t>四、财政拨款收入支出决算总体情况说明</w:t>
      </w:r>
    </w:p>
    <w:p>
      <w:pPr>
        <w:snapToGrid/>
        <w:spacing w:before="0" w:beforeAutospacing="0" w:after="0" w:afterAutospacing="0" w:line="240" w:lineRule="auto"/>
        <w:ind w:firstLine="640"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2020年度财政拨款收入99.44万元，与上年相比，减少62.44万元，降低38.57%。主要原因是：工作经费减少。财政拨款支出102.27万元，与上年相比，减少53.86万元，降低33.43%，主要原因是：工作经费减少。</w:t>
      </w:r>
    </w:p>
    <w:p>
      <w:pPr>
        <w:snapToGrid/>
        <w:spacing w:before="0" w:beforeAutospacing="0" w:after="0" w:afterAutospacing="0" w:line="240" w:lineRule="auto"/>
        <w:ind w:firstLine="640"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与年初预算数相比情况：财政拨款收入年初预算数98.44万元，决算数99.44万元，预决算差异率1.02%，主要原因是：</w:t>
      </w:r>
      <w:r>
        <w:rPr>
          <w:rStyle w:val="6"/>
          <w:rFonts w:hint="eastAsia" w:ascii="仿宋_GB2312" w:eastAsia="仿宋_GB2312"/>
          <w:b w:val="0"/>
          <w:i w:val="0"/>
          <w:caps w:val="0"/>
          <w:spacing w:val="0"/>
          <w:w w:val="100"/>
          <w:kern w:val="2"/>
          <w:sz w:val="32"/>
          <w:szCs w:val="32"/>
          <w:lang w:val="en-US" w:eastAsia="zh-CN" w:bidi="ar-SA"/>
        </w:rPr>
        <w:t>年中项目</w:t>
      </w:r>
      <w:r>
        <w:rPr>
          <w:rStyle w:val="6"/>
          <w:rFonts w:ascii="仿宋_GB2312" w:eastAsia="仿宋_GB2312"/>
          <w:b w:val="0"/>
          <w:i w:val="0"/>
          <w:caps w:val="0"/>
          <w:spacing w:val="0"/>
          <w:w w:val="100"/>
          <w:kern w:val="2"/>
          <w:sz w:val="32"/>
          <w:szCs w:val="32"/>
          <w:lang w:val="en-US" w:eastAsia="zh-CN" w:bidi="ar-SA"/>
        </w:rPr>
        <w:t>增加。财政拨款支出年初预算数98.44万元，决算数107.27万元，预决算差异率8.97%，主要原因是：</w:t>
      </w:r>
      <w:r>
        <w:rPr>
          <w:rStyle w:val="6"/>
          <w:rFonts w:hint="eastAsia" w:ascii="仿宋_GB2312" w:eastAsia="仿宋_GB2312"/>
          <w:b w:val="0"/>
          <w:i w:val="0"/>
          <w:caps w:val="0"/>
          <w:spacing w:val="0"/>
          <w:w w:val="100"/>
          <w:kern w:val="2"/>
          <w:sz w:val="32"/>
          <w:szCs w:val="32"/>
          <w:lang w:val="en-US" w:eastAsia="zh-CN" w:bidi="ar-SA"/>
        </w:rPr>
        <w:t>年中项目</w:t>
      </w:r>
      <w:r>
        <w:rPr>
          <w:rStyle w:val="6"/>
          <w:rFonts w:ascii="仿宋_GB2312" w:eastAsia="仿宋_GB2312"/>
          <w:b w:val="0"/>
          <w:i w:val="0"/>
          <w:caps w:val="0"/>
          <w:spacing w:val="0"/>
          <w:w w:val="100"/>
          <w:kern w:val="2"/>
          <w:sz w:val="32"/>
          <w:szCs w:val="32"/>
          <w:lang w:val="en-US" w:eastAsia="zh-CN" w:bidi="ar-SA"/>
        </w:rPr>
        <w:t>增加。</w:t>
      </w:r>
    </w:p>
    <w:p>
      <w:pPr>
        <w:snapToGrid/>
        <w:spacing w:before="0" w:beforeAutospacing="0" w:after="0" w:afterAutospacing="0" w:line="240" w:lineRule="auto"/>
        <w:ind w:firstLine="640" w:firstLineChars="200"/>
        <w:jc w:val="both"/>
        <w:textAlignment w:val="baseline"/>
        <w:rPr>
          <w:rStyle w:val="6"/>
          <w:rFonts w:ascii="黑体" w:hAnsi="黑体" w:eastAsia="黑体" w:cs="宋体"/>
          <w:b w:val="0"/>
          <w:bCs/>
          <w:i w:val="0"/>
          <w:caps w:val="0"/>
          <w:spacing w:val="0"/>
          <w:w w:val="100"/>
          <w:kern w:val="0"/>
          <w:sz w:val="32"/>
          <w:szCs w:val="32"/>
          <w:lang w:val="en-US" w:eastAsia="zh-CN" w:bidi="ar-SA"/>
        </w:rPr>
      </w:pPr>
      <w:r>
        <w:rPr>
          <w:rStyle w:val="6"/>
          <w:rFonts w:ascii="黑体" w:hAnsi="黑体" w:eastAsia="黑体" w:cs="宋体"/>
          <w:b w:val="0"/>
          <w:bCs/>
          <w:i w:val="0"/>
          <w:caps w:val="0"/>
          <w:spacing w:val="0"/>
          <w:w w:val="100"/>
          <w:kern w:val="0"/>
          <w:sz w:val="32"/>
          <w:szCs w:val="32"/>
          <w:lang w:val="en-US" w:eastAsia="zh-CN" w:bidi="ar-SA"/>
        </w:rPr>
        <w:t>五、一般公共预算财政拨款支出决算情况说明</w:t>
      </w:r>
    </w:p>
    <w:p>
      <w:pPr>
        <w:snapToGrid/>
        <w:spacing w:before="0" w:beforeAutospacing="0" w:after="0" w:afterAutospacing="0" w:line="240" w:lineRule="auto"/>
        <w:ind w:firstLine="640"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2020年度一般公共预算财政拨款支出107.27万元。按功能分类科目项级科目公开，其中：</w:t>
      </w:r>
    </w:p>
    <w:p>
      <w:pPr>
        <w:snapToGrid/>
        <w:spacing w:before="0" w:beforeAutospacing="0" w:after="0" w:afterAutospacing="0" w:line="240" w:lineRule="auto"/>
        <w:ind w:firstLine="640"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2070101行政运行39.18万元；</w:t>
      </w:r>
    </w:p>
    <w:p>
      <w:pPr>
        <w:snapToGrid/>
        <w:spacing w:before="0" w:beforeAutospacing="0" w:after="0" w:afterAutospacing="0" w:line="240" w:lineRule="auto"/>
        <w:ind w:firstLine="640"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2070199其他文化和旅游支出52.72万元；</w:t>
      </w:r>
    </w:p>
    <w:p>
      <w:pPr>
        <w:snapToGrid/>
        <w:spacing w:before="0" w:beforeAutospacing="0" w:after="0" w:afterAutospacing="0" w:line="240" w:lineRule="auto"/>
        <w:ind w:firstLine="640"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2080505机关事业单位基本养老保险缴费支出7.07万元。</w:t>
      </w:r>
    </w:p>
    <w:p>
      <w:pPr>
        <w:snapToGrid/>
        <w:spacing w:before="0" w:beforeAutospacing="0" w:after="0" w:afterAutospacing="0" w:line="240" w:lineRule="auto"/>
        <w:ind w:firstLine="640"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2080506机关事业单位职业年金缴费支出3.30万元。</w:t>
      </w:r>
    </w:p>
    <w:p>
      <w:pPr>
        <w:snapToGrid/>
        <w:spacing w:before="0" w:beforeAutospacing="0" w:after="0" w:afterAutospacing="0" w:line="240" w:lineRule="auto"/>
        <w:ind w:firstLine="640" w:firstLineChars="200"/>
        <w:jc w:val="both"/>
        <w:textAlignment w:val="baseline"/>
        <w:rPr>
          <w:rStyle w:val="6"/>
          <w:rFonts w:ascii="黑体" w:hAnsi="黑体" w:eastAsia="黑体" w:cs="宋体"/>
          <w:b w:val="0"/>
          <w:bCs/>
          <w:i w:val="0"/>
          <w:caps w:val="0"/>
          <w:spacing w:val="0"/>
          <w:w w:val="100"/>
          <w:kern w:val="0"/>
          <w:sz w:val="32"/>
          <w:szCs w:val="32"/>
          <w:lang w:val="en-US" w:eastAsia="zh-CN" w:bidi="ar-SA"/>
        </w:rPr>
      </w:pPr>
      <w:r>
        <w:rPr>
          <w:rStyle w:val="6"/>
          <w:rFonts w:ascii="黑体" w:hAnsi="黑体" w:eastAsia="黑体" w:cs="宋体"/>
          <w:b w:val="0"/>
          <w:bCs/>
          <w:i w:val="0"/>
          <w:caps w:val="0"/>
          <w:spacing w:val="0"/>
          <w:w w:val="100"/>
          <w:kern w:val="0"/>
          <w:sz w:val="32"/>
          <w:szCs w:val="32"/>
          <w:lang w:val="en-US" w:eastAsia="zh-CN" w:bidi="ar-SA"/>
        </w:rPr>
        <w:t>六、一般公共预算财政拨款基本支出决算情况说明</w:t>
      </w:r>
    </w:p>
    <w:p>
      <w:pPr>
        <w:snapToGrid/>
        <w:spacing w:before="0" w:beforeAutospacing="0" w:after="0" w:afterAutospacing="0" w:line="240" w:lineRule="auto"/>
        <w:ind w:firstLine="640"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2020年度一般公共预算财政拨款基本支出91.95万元，其中：</w:t>
      </w:r>
    </w:p>
    <w:p>
      <w:pPr>
        <w:snapToGrid/>
        <w:spacing w:before="0" w:beforeAutospacing="0" w:after="0" w:afterAutospacing="0" w:line="240" w:lineRule="auto"/>
        <w:ind w:firstLine="640"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人员经费68.72万元，包括：基本工资、津贴补贴、绩效工资、机关事业单位基本养老保险缴费、职业年金缴费、职工基本医疗保险缴费、其他社会保障缴费、住房公积金、退休费、生活补助、奖励金。</w:t>
      </w:r>
    </w:p>
    <w:p>
      <w:pPr>
        <w:snapToGrid/>
        <w:spacing w:before="0" w:beforeAutospacing="0" w:after="0" w:afterAutospacing="0" w:line="240" w:lineRule="auto"/>
        <w:ind w:firstLine="640"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公用经费23.23万元，包括：办公费、手续费、电费、邮电费、取暖费、差旅费、劳务费、工会经费、福利费。</w:t>
      </w:r>
    </w:p>
    <w:p>
      <w:pPr>
        <w:snapToGrid/>
        <w:spacing w:before="0" w:beforeAutospacing="0" w:after="0" w:afterAutospacing="0" w:line="240" w:lineRule="auto"/>
        <w:ind w:firstLine="640" w:firstLineChars="200"/>
        <w:jc w:val="both"/>
        <w:textAlignment w:val="baseline"/>
        <w:rPr>
          <w:rStyle w:val="6"/>
          <w:rFonts w:ascii="黑体" w:hAnsi="黑体" w:eastAsia="黑体" w:cs="宋体"/>
          <w:b w:val="0"/>
          <w:bCs/>
          <w:i w:val="0"/>
          <w:caps w:val="0"/>
          <w:spacing w:val="0"/>
          <w:w w:val="100"/>
          <w:kern w:val="0"/>
          <w:sz w:val="32"/>
          <w:szCs w:val="32"/>
          <w:lang w:val="en-US" w:eastAsia="zh-CN" w:bidi="ar-SA"/>
        </w:rPr>
      </w:pPr>
      <w:r>
        <w:rPr>
          <w:rStyle w:val="6"/>
          <w:rFonts w:ascii="黑体" w:hAnsi="黑体" w:eastAsia="黑体" w:cs="宋体"/>
          <w:b w:val="0"/>
          <w:bCs/>
          <w:i w:val="0"/>
          <w:caps w:val="0"/>
          <w:spacing w:val="0"/>
          <w:w w:val="100"/>
          <w:kern w:val="0"/>
          <w:sz w:val="32"/>
          <w:szCs w:val="32"/>
          <w:lang w:val="en-US" w:eastAsia="zh-CN" w:bidi="ar-SA"/>
        </w:rPr>
        <w:t>七、一般公共预算财政拨款“三公”经费支出决算情况说明</w:t>
      </w:r>
    </w:p>
    <w:p>
      <w:pPr>
        <w:snapToGrid/>
        <w:spacing w:before="0" w:beforeAutospacing="0" w:after="0" w:afterAutospacing="0" w:line="240" w:lineRule="auto"/>
        <w:ind w:firstLine="640"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2020年度一般公共预算“三公”经费支出决算0万元，比上年减少1.50万元，降低100%，主要原因是工作经费减少。其中，因公出国（境）费支出0万元，占0%，比上年减少0万元，降低0%，主要原因是无因公出国（境）费；公务用车购置及运行维护费支出0万元，占0%，比上年减少1.50万元，降低100%，主要原因是作经费减少；公务接待费支出0万元，占0%，比上年减少0万元，降低0%，主要原因是无公务接待费。具体情况如下：</w:t>
      </w:r>
    </w:p>
    <w:p>
      <w:pPr>
        <w:snapToGrid/>
        <w:spacing w:before="0" w:beforeAutospacing="0" w:after="0" w:afterAutospacing="0" w:line="240" w:lineRule="auto"/>
        <w:ind w:firstLine="640"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因公出国（境）费支出0万元，开支内容包括：无</w:t>
      </w:r>
      <w:r>
        <w:rPr>
          <w:rStyle w:val="6"/>
          <w:rFonts w:hint="eastAsia" w:ascii="仿宋_GB2312" w:eastAsia="仿宋_GB2312"/>
          <w:b w:val="0"/>
          <w:i w:val="0"/>
          <w:caps w:val="0"/>
          <w:spacing w:val="0"/>
          <w:w w:val="100"/>
          <w:kern w:val="2"/>
          <w:sz w:val="32"/>
          <w:szCs w:val="32"/>
          <w:lang w:val="en-US" w:eastAsia="zh-CN" w:bidi="ar-SA"/>
        </w:rPr>
        <w:t>此项开支</w:t>
      </w:r>
      <w:r>
        <w:rPr>
          <w:rStyle w:val="6"/>
          <w:rFonts w:ascii="仿宋_GB2312" w:eastAsia="仿宋_GB2312"/>
          <w:b w:val="0"/>
          <w:i w:val="0"/>
          <w:caps w:val="0"/>
          <w:spacing w:val="0"/>
          <w:w w:val="100"/>
          <w:kern w:val="2"/>
          <w:sz w:val="32"/>
          <w:szCs w:val="32"/>
          <w:lang w:val="en-US" w:eastAsia="zh-CN" w:bidi="ar-SA"/>
        </w:rPr>
        <w:t>。单位全年安排的因公出国（境）团组0个，因公出国（境）0人次。</w:t>
      </w:r>
    </w:p>
    <w:p>
      <w:pPr>
        <w:snapToGrid/>
        <w:spacing w:before="0" w:beforeAutospacing="0" w:after="0" w:afterAutospacing="0" w:line="240" w:lineRule="auto"/>
        <w:ind w:firstLine="640"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公务用车购置及运行维护费0万元，其中，公务用车购置费0万元，公务用车运行维护费0万元。公务用车运行维护费开支内容包括无</w:t>
      </w:r>
      <w:r>
        <w:rPr>
          <w:rStyle w:val="6"/>
          <w:rFonts w:hint="eastAsia" w:ascii="仿宋_GB2312" w:eastAsia="仿宋_GB2312"/>
          <w:b w:val="0"/>
          <w:i w:val="0"/>
          <w:caps w:val="0"/>
          <w:spacing w:val="0"/>
          <w:w w:val="100"/>
          <w:kern w:val="2"/>
          <w:sz w:val="32"/>
          <w:szCs w:val="32"/>
          <w:lang w:val="en-US" w:eastAsia="zh-CN" w:bidi="ar-SA"/>
        </w:rPr>
        <w:t>此项开支</w:t>
      </w:r>
      <w:r>
        <w:rPr>
          <w:rStyle w:val="6"/>
          <w:rFonts w:ascii="仿宋_GB2312" w:eastAsia="仿宋_GB2312"/>
          <w:b w:val="0"/>
          <w:i w:val="0"/>
          <w:caps w:val="0"/>
          <w:spacing w:val="0"/>
          <w:w w:val="100"/>
          <w:kern w:val="2"/>
          <w:sz w:val="32"/>
          <w:szCs w:val="32"/>
          <w:lang w:val="en-US" w:eastAsia="zh-CN" w:bidi="ar-SA"/>
        </w:rPr>
        <w:t>。公务用车购置数0辆，公务用车保有量0辆。</w:t>
      </w:r>
    </w:p>
    <w:p>
      <w:pPr>
        <w:snapToGrid/>
        <w:spacing w:before="0" w:beforeAutospacing="0" w:after="0" w:afterAutospacing="0" w:line="240" w:lineRule="auto"/>
        <w:ind w:firstLine="640"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公务接待费0万元，开支内容包括无</w:t>
      </w:r>
      <w:r>
        <w:rPr>
          <w:rStyle w:val="6"/>
          <w:rFonts w:hint="eastAsia" w:ascii="仿宋_GB2312" w:eastAsia="仿宋_GB2312"/>
          <w:b w:val="0"/>
          <w:i w:val="0"/>
          <w:caps w:val="0"/>
          <w:spacing w:val="0"/>
          <w:w w:val="100"/>
          <w:kern w:val="2"/>
          <w:sz w:val="32"/>
          <w:szCs w:val="32"/>
          <w:lang w:val="en-US" w:eastAsia="zh-CN" w:bidi="ar-SA"/>
        </w:rPr>
        <w:t>此项开支</w:t>
      </w:r>
      <w:r>
        <w:rPr>
          <w:rStyle w:val="6"/>
          <w:rFonts w:ascii="仿宋_GB2312" w:eastAsia="仿宋_GB2312"/>
          <w:b w:val="0"/>
          <w:i w:val="0"/>
          <w:caps w:val="0"/>
          <w:spacing w:val="0"/>
          <w:w w:val="100"/>
          <w:kern w:val="2"/>
          <w:sz w:val="32"/>
          <w:szCs w:val="32"/>
          <w:lang w:val="en-US" w:eastAsia="zh-CN" w:bidi="ar-SA"/>
        </w:rPr>
        <w:t>。单位全年安排的国内公务接待0批次，0人次。</w:t>
      </w:r>
    </w:p>
    <w:p>
      <w:pPr>
        <w:snapToGrid/>
        <w:spacing w:before="0" w:beforeAutospacing="0" w:after="0" w:afterAutospacing="0" w:line="240" w:lineRule="auto"/>
        <w:ind w:firstLine="640"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与年初预算数相比情况：一般公共预算“三公”经费支出年初预算数0万元，决算数0万元，预决算差异率0%，主要原因是：预算与决算数一致，无差异。</w:t>
      </w:r>
      <w:r>
        <w:rPr>
          <w:rStyle w:val="6"/>
          <w:rFonts w:ascii="仿宋_GB2312" w:hAnsi="宋体" w:eastAsia="仿宋_GB2312"/>
          <w:b w:val="0"/>
          <w:i w:val="0"/>
          <w:caps w:val="0"/>
          <w:spacing w:val="0"/>
          <w:w w:val="100"/>
          <w:kern w:val="0"/>
          <w:sz w:val="32"/>
          <w:szCs w:val="32"/>
          <w:lang w:val="en-US" w:eastAsia="zh-CN" w:bidi="ar-SA"/>
        </w:rPr>
        <w:t>其中：因公出国（境）费</w:t>
      </w:r>
      <w:r>
        <w:rPr>
          <w:rStyle w:val="6"/>
          <w:rFonts w:ascii="仿宋_GB2312" w:eastAsia="仿宋_GB2312"/>
          <w:b w:val="0"/>
          <w:i w:val="0"/>
          <w:caps w:val="0"/>
          <w:spacing w:val="0"/>
          <w:w w:val="100"/>
          <w:kern w:val="2"/>
          <w:sz w:val="32"/>
          <w:szCs w:val="32"/>
          <w:lang w:val="en-US" w:eastAsia="zh-CN" w:bidi="ar-SA"/>
        </w:rPr>
        <w:t>预算数0万元，决算数0万元，预决算差异率0%，主要原因是：无</w:t>
      </w:r>
      <w:r>
        <w:rPr>
          <w:rStyle w:val="6"/>
          <w:rFonts w:ascii="仿宋_GB2312" w:hAnsi="宋体" w:eastAsia="仿宋_GB2312"/>
          <w:b w:val="0"/>
          <w:i w:val="0"/>
          <w:caps w:val="0"/>
          <w:spacing w:val="0"/>
          <w:w w:val="100"/>
          <w:kern w:val="0"/>
          <w:sz w:val="32"/>
          <w:szCs w:val="32"/>
          <w:lang w:val="en-US" w:eastAsia="zh-CN" w:bidi="ar-SA"/>
        </w:rPr>
        <w:t>因公出国（境）费</w:t>
      </w:r>
      <w:r>
        <w:rPr>
          <w:rStyle w:val="6"/>
          <w:rFonts w:ascii="仿宋_GB2312" w:eastAsia="仿宋_GB2312"/>
          <w:b w:val="0"/>
          <w:i w:val="0"/>
          <w:caps w:val="0"/>
          <w:spacing w:val="0"/>
          <w:w w:val="100"/>
          <w:kern w:val="2"/>
          <w:sz w:val="32"/>
          <w:szCs w:val="32"/>
          <w:lang w:val="en-US" w:eastAsia="zh-CN" w:bidi="ar-SA"/>
        </w:rPr>
        <w:t>预算；</w:t>
      </w:r>
      <w:r>
        <w:rPr>
          <w:rStyle w:val="6"/>
          <w:rFonts w:ascii="仿宋_GB2312" w:hAnsi="宋体" w:eastAsia="仿宋_GB2312"/>
          <w:b w:val="0"/>
          <w:i w:val="0"/>
          <w:caps w:val="0"/>
          <w:spacing w:val="0"/>
          <w:w w:val="100"/>
          <w:kern w:val="0"/>
          <w:sz w:val="32"/>
          <w:szCs w:val="32"/>
          <w:lang w:val="en-US" w:eastAsia="zh-CN" w:bidi="ar-SA"/>
        </w:rPr>
        <w:t>公务用车购置</w:t>
      </w:r>
      <w:r>
        <w:rPr>
          <w:rStyle w:val="6"/>
          <w:rFonts w:ascii="仿宋_GB2312" w:eastAsia="仿宋_GB2312"/>
          <w:b w:val="0"/>
          <w:i w:val="0"/>
          <w:caps w:val="0"/>
          <w:spacing w:val="0"/>
          <w:w w:val="100"/>
          <w:kern w:val="2"/>
          <w:sz w:val="32"/>
          <w:szCs w:val="32"/>
          <w:lang w:val="en-US" w:eastAsia="zh-CN" w:bidi="ar-SA"/>
        </w:rPr>
        <w:t>费预算数0万元，决算数0万元，预决算差异率0%，主要原因是：无</w:t>
      </w:r>
      <w:r>
        <w:rPr>
          <w:rStyle w:val="6"/>
          <w:rFonts w:ascii="仿宋_GB2312" w:hAnsi="宋体" w:eastAsia="仿宋_GB2312"/>
          <w:b w:val="0"/>
          <w:i w:val="0"/>
          <w:caps w:val="0"/>
          <w:spacing w:val="0"/>
          <w:w w:val="100"/>
          <w:kern w:val="0"/>
          <w:sz w:val="32"/>
          <w:szCs w:val="32"/>
          <w:lang w:val="en-US" w:eastAsia="zh-CN" w:bidi="ar-SA"/>
        </w:rPr>
        <w:t>公务用车购置</w:t>
      </w:r>
      <w:r>
        <w:rPr>
          <w:rStyle w:val="6"/>
          <w:rFonts w:ascii="仿宋_GB2312" w:eastAsia="仿宋_GB2312"/>
          <w:b w:val="0"/>
          <w:i w:val="0"/>
          <w:caps w:val="0"/>
          <w:spacing w:val="0"/>
          <w:w w:val="100"/>
          <w:kern w:val="2"/>
          <w:sz w:val="32"/>
          <w:szCs w:val="32"/>
          <w:lang w:val="en-US" w:eastAsia="zh-CN" w:bidi="ar-SA"/>
        </w:rPr>
        <w:t>费预算；</w:t>
      </w:r>
      <w:r>
        <w:rPr>
          <w:rStyle w:val="6"/>
          <w:rFonts w:ascii="仿宋_GB2312" w:hAnsi="宋体" w:eastAsia="仿宋_GB2312"/>
          <w:b w:val="0"/>
          <w:i w:val="0"/>
          <w:caps w:val="0"/>
          <w:spacing w:val="0"/>
          <w:w w:val="100"/>
          <w:kern w:val="0"/>
          <w:sz w:val="32"/>
          <w:szCs w:val="32"/>
          <w:lang w:val="en-US" w:eastAsia="zh-CN" w:bidi="ar-SA"/>
        </w:rPr>
        <w:t>公务用车运行费</w:t>
      </w:r>
      <w:r>
        <w:rPr>
          <w:rStyle w:val="6"/>
          <w:rFonts w:ascii="仿宋_GB2312" w:eastAsia="仿宋_GB2312"/>
          <w:b w:val="0"/>
          <w:i w:val="0"/>
          <w:caps w:val="0"/>
          <w:spacing w:val="0"/>
          <w:w w:val="100"/>
          <w:kern w:val="2"/>
          <w:sz w:val="32"/>
          <w:szCs w:val="32"/>
          <w:lang w:val="en-US" w:eastAsia="zh-CN" w:bidi="ar-SA"/>
        </w:rPr>
        <w:t>预算数0万元，决算数0万元，预决算差异率0%，主要原因是：无</w:t>
      </w:r>
      <w:r>
        <w:rPr>
          <w:rStyle w:val="6"/>
          <w:rFonts w:ascii="仿宋_GB2312" w:hAnsi="宋体" w:eastAsia="仿宋_GB2312"/>
          <w:b w:val="0"/>
          <w:i w:val="0"/>
          <w:caps w:val="0"/>
          <w:spacing w:val="0"/>
          <w:w w:val="100"/>
          <w:kern w:val="0"/>
          <w:sz w:val="32"/>
          <w:szCs w:val="32"/>
          <w:lang w:val="en-US" w:eastAsia="zh-CN" w:bidi="ar-SA"/>
        </w:rPr>
        <w:t>公务用车运行费</w:t>
      </w:r>
      <w:r>
        <w:rPr>
          <w:rStyle w:val="6"/>
          <w:rFonts w:ascii="仿宋_GB2312" w:eastAsia="仿宋_GB2312"/>
          <w:b w:val="0"/>
          <w:i w:val="0"/>
          <w:caps w:val="0"/>
          <w:spacing w:val="0"/>
          <w:w w:val="100"/>
          <w:kern w:val="2"/>
          <w:sz w:val="32"/>
          <w:szCs w:val="32"/>
          <w:lang w:val="en-US" w:eastAsia="zh-CN" w:bidi="ar-SA"/>
        </w:rPr>
        <w:t>预算；</w:t>
      </w:r>
      <w:r>
        <w:rPr>
          <w:rStyle w:val="6"/>
          <w:rFonts w:ascii="仿宋_GB2312" w:hAnsi="宋体" w:eastAsia="仿宋_GB2312"/>
          <w:b w:val="0"/>
          <w:i w:val="0"/>
          <w:caps w:val="0"/>
          <w:spacing w:val="0"/>
          <w:w w:val="100"/>
          <w:kern w:val="0"/>
          <w:sz w:val="32"/>
          <w:szCs w:val="32"/>
          <w:lang w:val="en-US" w:eastAsia="zh-CN" w:bidi="ar-SA"/>
        </w:rPr>
        <w:t>公务接待费</w:t>
      </w:r>
      <w:r>
        <w:rPr>
          <w:rStyle w:val="6"/>
          <w:rFonts w:ascii="仿宋_GB2312" w:eastAsia="仿宋_GB2312"/>
          <w:b w:val="0"/>
          <w:i w:val="0"/>
          <w:caps w:val="0"/>
          <w:spacing w:val="0"/>
          <w:w w:val="100"/>
          <w:kern w:val="2"/>
          <w:sz w:val="32"/>
          <w:szCs w:val="32"/>
          <w:lang w:val="en-US" w:eastAsia="zh-CN" w:bidi="ar-SA"/>
        </w:rPr>
        <w:t>预算数0万元，决算数0万元，预决算差异率0%，主要原因是：无</w:t>
      </w:r>
      <w:r>
        <w:rPr>
          <w:rStyle w:val="6"/>
          <w:rFonts w:ascii="仿宋_GB2312" w:hAnsi="宋体" w:eastAsia="仿宋_GB2312"/>
          <w:b w:val="0"/>
          <w:i w:val="0"/>
          <w:caps w:val="0"/>
          <w:spacing w:val="0"/>
          <w:w w:val="100"/>
          <w:kern w:val="0"/>
          <w:sz w:val="32"/>
          <w:szCs w:val="32"/>
          <w:lang w:val="en-US" w:eastAsia="zh-CN" w:bidi="ar-SA"/>
        </w:rPr>
        <w:t>公务接待费</w:t>
      </w:r>
      <w:r>
        <w:rPr>
          <w:rStyle w:val="6"/>
          <w:rFonts w:ascii="仿宋_GB2312" w:eastAsia="仿宋_GB2312"/>
          <w:b w:val="0"/>
          <w:i w:val="0"/>
          <w:caps w:val="0"/>
          <w:spacing w:val="0"/>
          <w:w w:val="100"/>
          <w:kern w:val="2"/>
          <w:sz w:val="32"/>
          <w:szCs w:val="32"/>
          <w:lang w:val="en-US" w:eastAsia="zh-CN" w:bidi="ar-SA"/>
        </w:rPr>
        <w:t>预算。</w:t>
      </w:r>
    </w:p>
    <w:p>
      <w:pPr>
        <w:snapToGrid/>
        <w:spacing w:before="0" w:beforeAutospacing="0" w:after="0" w:afterAutospacing="0" w:line="240" w:lineRule="auto"/>
        <w:ind w:firstLine="640" w:firstLineChars="200"/>
        <w:jc w:val="both"/>
        <w:textAlignment w:val="baseline"/>
        <w:rPr>
          <w:rStyle w:val="6"/>
          <w:rFonts w:ascii="黑体" w:hAnsi="黑体" w:eastAsia="黑体" w:cs="宋体"/>
          <w:b w:val="0"/>
          <w:bCs/>
          <w:i w:val="0"/>
          <w:caps w:val="0"/>
          <w:spacing w:val="0"/>
          <w:w w:val="100"/>
          <w:kern w:val="0"/>
          <w:sz w:val="32"/>
          <w:szCs w:val="32"/>
          <w:lang w:val="en-US" w:eastAsia="zh-CN" w:bidi="ar-SA"/>
        </w:rPr>
      </w:pPr>
      <w:r>
        <w:rPr>
          <w:rStyle w:val="6"/>
          <w:rFonts w:ascii="黑体" w:hAnsi="黑体" w:eastAsia="黑体" w:cs="宋体"/>
          <w:b w:val="0"/>
          <w:bCs/>
          <w:i w:val="0"/>
          <w:caps w:val="0"/>
          <w:spacing w:val="0"/>
          <w:w w:val="100"/>
          <w:kern w:val="0"/>
          <w:sz w:val="32"/>
          <w:szCs w:val="32"/>
          <w:lang w:val="en-US" w:eastAsia="zh-CN" w:bidi="ar-SA"/>
        </w:rPr>
        <w:t>八、政府性基金预算财政拨款收入支出决算情况说明</w:t>
      </w:r>
    </w:p>
    <w:p>
      <w:pPr>
        <w:snapToGrid/>
        <w:spacing w:before="0" w:beforeAutospacing="0" w:after="0" w:afterAutospacing="0" w:line="240" w:lineRule="auto"/>
        <w:ind w:firstLine="640"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我单位本年度无政府性基金预算财政拨款收入支出，政府性基金预算财政拨款收入支出决算表为空表。</w:t>
      </w:r>
    </w:p>
    <w:p>
      <w:pPr>
        <w:snapToGrid/>
        <w:spacing w:before="0" w:beforeAutospacing="0" w:after="0" w:afterAutospacing="0" w:line="240" w:lineRule="auto"/>
        <w:ind w:firstLine="640" w:firstLineChars="200"/>
        <w:jc w:val="both"/>
        <w:textAlignment w:val="baseline"/>
        <w:rPr>
          <w:rStyle w:val="6"/>
          <w:rFonts w:ascii="黑体" w:hAnsi="黑体" w:eastAsia="黑体" w:cs="宋体"/>
          <w:b w:val="0"/>
          <w:bCs/>
          <w:i w:val="0"/>
          <w:caps w:val="0"/>
          <w:spacing w:val="0"/>
          <w:w w:val="100"/>
          <w:kern w:val="0"/>
          <w:sz w:val="32"/>
          <w:szCs w:val="32"/>
          <w:lang w:val="en-US" w:eastAsia="zh-CN" w:bidi="ar-SA"/>
        </w:rPr>
      </w:pPr>
      <w:r>
        <w:rPr>
          <w:rStyle w:val="6"/>
          <w:rFonts w:ascii="黑体" w:hAnsi="黑体" w:eastAsia="黑体" w:cs="宋体"/>
          <w:b w:val="0"/>
          <w:bCs/>
          <w:i w:val="0"/>
          <w:caps w:val="0"/>
          <w:spacing w:val="0"/>
          <w:w w:val="100"/>
          <w:kern w:val="0"/>
          <w:sz w:val="32"/>
          <w:szCs w:val="32"/>
          <w:lang w:val="en-US" w:eastAsia="zh-CN" w:bidi="ar-SA"/>
        </w:rPr>
        <w:t>九、国有资本经营预算财政拨款收入支出决算情况说明</w:t>
      </w:r>
    </w:p>
    <w:p>
      <w:pPr>
        <w:snapToGrid/>
        <w:spacing w:before="0" w:beforeAutospacing="0" w:after="0" w:afterAutospacing="0" w:line="240" w:lineRule="auto"/>
        <w:ind w:firstLine="640"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我单位本年度无国有资本经营预算财政拨款收入支出，国有资本经营预算财政拨款收入支出决算表为空表。</w:t>
      </w:r>
    </w:p>
    <w:p>
      <w:pPr>
        <w:snapToGrid/>
        <w:spacing w:before="0" w:beforeAutospacing="0" w:after="0" w:afterAutospacing="0" w:line="240" w:lineRule="auto"/>
        <w:ind w:firstLine="640" w:firstLineChars="200"/>
        <w:jc w:val="both"/>
        <w:textAlignment w:val="baseline"/>
        <w:rPr>
          <w:rStyle w:val="6"/>
          <w:rFonts w:ascii="黑体" w:hAnsi="黑体" w:eastAsia="黑体" w:cs="宋体"/>
          <w:b w:val="0"/>
          <w:bCs/>
          <w:i w:val="0"/>
          <w:caps w:val="0"/>
          <w:spacing w:val="0"/>
          <w:w w:val="100"/>
          <w:kern w:val="0"/>
          <w:sz w:val="32"/>
          <w:szCs w:val="32"/>
          <w:lang w:val="en-US" w:eastAsia="zh-CN" w:bidi="ar-SA"/>
        </w:rPr>
      </w:pPr>
      <w:r>
        <w:rPr>
          <w:rStyle w:val="6"/>
          <w:rFonts w:ascii="黑体" w:hAnsi="黑体" w:eastAsia="黑体" w:cs="宋体"/>
          <w:b w:val="0"/>
          <w:bCs/>
          <w:i w:val="0"/>
          <w:caps w:val="0"/>
          <w:spacing w:val="0"/>
          <w:w w:val="100"/>
          <w:kern w:val="0"/>
          <w:sz w:val="32"/>
          <w:szCs w:val="32"/>
          <w:lang w:val="en-US" w:eastAsia="zh-CN" w:bidi="ar-SA"/>
        </w:rPr>
        <w:t>十、其他重要事项的情况说明</w:t>
      </w:r>
    </w:p>
    <w:p>
      <w:pPr>
        <w:snapToGrid/>
        <w:spacing w:before="0" w:beforeAutospacing="0" w:after="0" w:afterAutospacing="0" w:line="240" w:lineRule="auto"/>
        <w:ind w:firstLine="640" w:firstLineChars="200"/>
        <w:jc w:val="both"/>
        <w:textAlignment w:val="baseline"/>
        <w:rPr>
          <w:rStyle w:val="6"/>
          <w:rFonts w:ascii="黑体" w:hAnsi="黑体" w:eastAsia="黑体"/>
          <w:b w:val="0"/>
          <w:i w:val="0"/>
          <w:caps w:val="0"/>
          <w:spacing w:val="0"/>
          <w:w w:val="100"/>
          <w:kern w:val="2"/>
          <w:sz w:val="32"/>
          <w:szCs w:val="32"/>
          <w:lang w:val="en-US" w:eastAsia="zh-CN" w:bidi="ar-SA"/>
        </w:rPr>
      </w:pPr>
      <w:r>
        <w:rPr>
          <w:rStyle w:val="6"/>
          <w:rFonts w:ascii="黑体" w:hAnsi="黑体" w:eastAsia="黑体"/>
          <w:b w:val="0"/>
          <w:i w:val="0"/>
          <w:caps w:val="0"/>
          <w:spacing w:val="0"/>
          <w:w w:val="100"/>
          <w:kern w:val="2"/>
          <w:sz w:val="32"/>
          <w:szCs w:val="32"/>
          <w:lang w:val="en-US" w:eastAsia="zh-CN" w:bidi="ar-SA"/>
        </w:rPr>
        <w:t>（一）机关运行经费支出情况</w:t>
      </w:r>
    </w:p>
    <w:p>
      <w:pPr>
        <w:snapToGrid/>
        <w:spacing w:before="0" w:beforeAutospacing="0" w:after="0" w:afterAutospacing="0" w:line="240" w:lineRule="auto"/>
        <w:ind w:firstLine="640"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2020单位日常公用经费23.23万元，比上年减少11.44万元，减少33%，主要原因是人员变动，工作经费减少。</w:t>
      </w:r>
    </w:p>
    <w:p>
      <w:pPr>
        <w:snapToGrid/>
        <w:spacing w:before="0" w:beforeAutospacing="0" w:after="0" w:afterAutospacing="0" w:line="240" w:lineRule="auto"/>
        <w:ind w:firstLine="640" w:firstLineChars="200"/>
        <w:jc w:val="both"/>
        <w:textAlignment w:val="baseline"/>
        <w:rPr>
          <w:rStyle w:val="6"/>
          <w:rFonts w:ascii="黑体" w:hAnsi="黑体" w:eastAsia="黑体"/>
          <w:b w:val="0"/>
          <w:i w:val="0"/>
          <w:caps w:val="0"/>
          <w:spacing w:val="0"/>
          <w:w w:val="100"/>
          <w:kern w:val="2"/>
          <w:sz w:val="32"/>
          <w:szCs w:val="32"/>
          <w:lang w:val="en-US" w:eastAsia="zh-CN" w:bidi="ar-SA"/>
        </w:rPr>
      </w:pPr>
      <w:r>
        <w:rPr>
          <w:rStyle w:val="6"/>
          <w:rFonts w:ascii="黑体" w:hAnsi="黑体" w:eastAsia="黑体"/>
          <w:b w:val="0"/>
          <w:i w:val="0"/>
          <w:caps w:val="0"/>
          <w:spacing w:val="0"/>
          <w:w w:val="100"/>
          <w:kern w:val="2"/>
          <w:sz w:val="32"/>
          <w:szCs w:val="32"/>
          <w:lang w:val="en-US" w:eastAsia="zh-CN" w:bidi="ar-SA"/>
        </w:rPr>
        <w:t>（二）政府采购情况</w:t>
      </w:r>
    </w:p>
    <w:p>
      <w:pPr>
        <w:snapToGrid/>
        <w:spacing w:before="0" w:beforeAutospacing="0" w:after="0" w:afterAutospacing="0" w:line="240" w:lineRule="auto"/>
        <w:ind w:firstLine="640"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2020年度政府采购支出总额0万元，其中：政府采购货物支出0万元、政府采购工程支出0万元、政府采购服务支出0万元。</w:t>
      </w:r>
    </w:p>
    <w:p>
      <w:pPr>
        <w:snapToGrid/>
        <w:spacing w:before="0" w:beforeAutospacing="0" w:after="0" w:afterAutospacing="0" w:line="240" w:lineRule="auto"/>
        <w:ind w:firstLine="640"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授予中小企业合同金额0万元，占政府采购支出总额的0%，其中：授予小微企业合同金额0万元，占政府采购支出总额的0%。</w:t>
      </w:r>
    </w:p>
    <w:p>
      <w:pPr>
        <w:snapToGrid/>
        <w:spacing w:before="0" w:beforeAutospacing="0" w:after="0" w:afterAutospacing="0" w:line="240" w:lineRule="auto"/>
        <w:ind w:firstLine="640" w:firstLineChars="200"/>
        <w:jc w:val="both"/>
        <w:textAlignment w:val="baseline"/>
        <w:rPr>
          <w:rStyle w:val="6"/>
          <w:rFonts w:ascii="黑体" w:hAnsi="黑体" w:eastAsia="黑体"/>
          <w:b w:val="0"/>
          <w:i w:val="0"/>
          <w:caps w:val="0"/>
          <w:spacing w:val="0"/>
          <w:w w:val="100"/>
          <w:kern w:val="2"/>
          <w:sz w:val="32"/>
          <w:szCs w:val="32"/>
          <w:lang w:val="en-US" w:eastAsia="zh-CN" w:bidi="ar-SA"/>
        </w:rPr>
      </w:pPr>
      <w:r>
        <w:rPr>
          <w:rStyle w:val="6"/>
          <w:rFonts w:ascii="黑体" w:hAnsi="黑体" w:eastAsia="黑体"/>
          <w:b w:val="0"/>
          <w:i w:val="0"/>
          <w:caps w:val="0"/>
          <w:spacing w:val="0"/>
          <w:w w:val="100"/>
          <w:kern w:val="2"/>
          <w:sz w:val="32"/>
          <w:szCs w:val="32"/>
          <w:lang w:val="en-US" w:eastAsia="zh-CN" w:bidi="ar-SA"/>
        </w:rPr>
        <w:t>（三）国有资产占用情况说明</w:t>
      </w:r>
    </w:p>
    <w:p>
      <w:pPr>
        <w:snapToGrid/>
        <w:spacing w:before="0" w:beforeAutospacing="0" w:after="0" w:afterAutospacing="0" w:line="240" w:lineRule="auto"/>
        <w:ind w:firstLine="640"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截止2020年12月31日，单位共有房屋0（平方米），价值0万元。车辆0辆，价值0万元，其中：副部（省）级及以上领导用车0辆、主要领导干部用车0辆、机要通信用车0辆、应急保障用车0辆、执法执勤用车0辆、特种专业技术用车0辆、离退休干部用车0辆、其他用车0辆，其他用车主要是：无其他用车</w:t>
      </w:r>
      <w:bookmarkStart w:id="0" w:name="_GoBack"/>
      <w:bookmarkEnd w:id="0"/>
      <w:r>
        <w:rPr>
          <w:rStyle w:val="6"/>
          <w:rFonts w:ascii="仿宋_GB2312" w:eastAsia="仿宋_GB2312"/>
          <w:b w:val="0"/>
          <w:i w:val="0"/>
          <w:caps w:val="0"/>
          <w:spacing w:val="0"/>
          <w:w w:val="100"/>
          <w:kern w:val="2"/>
          <w:sz w:val="32"/>
          <w:szCs w:val="32"/>
          <w:lang w:val="en-US" w:eastAsia="zh-CN" w:bidi="ar-SA"/>
        </w:rPr>
        <w:t>；单位价值50万元以上通用设备0台（套）、单位价值100万元以上专用设备0台（套）。</w:t>
      </w:r>
    </w:p>
    <w:p>
      <w:pPr>
        <w:snapToGrid/>
        <w:spacing w:before="0" w:beforeAutospacing="0" w:after="0" w:afterAutospacing="0" w:line="240" w:lineRule="auto"/>
        <w:ind w:firstLine="640" w:firstLineChars="200"/>
        <w:jc w:val="both"/>
        <w:textAlignment w:val="baseline"/>
        <w:rPr>
          <w:rStyle w:val="6"/>
          <w:rFonts w:ascii="黑体" w:hAnsi="黑体" w:eastAsia="黑体" w:cs="宋体"/>
          <w:b w:val="0"/>
          <w:bCs/>
          <w:i w:val="0"/>
          <w:caps w:val="0"/>
          <w:spacing w:val="0"/>
          <w:w w:val="100"/>
          <w:kern w:val="0"/>
          <w:sz w:val="32"/>
          <w:szCs w:val="32"/>
          <w:lang w:val="en-US" w:eastAsia="zh-CN" w:bidi="ar-SA"/>
        </w:rPr>
      </w:pPr>
      <w:r>
        <w:rPr>
          <w:rStyle w:val="6"/>
          <w:rFonts w:ascii="黑体" w:hAnsi="黑体" w:eastAsia="黑体" w:cs="宋体"/>
          <w:b w:val="0"/>
          <w:bCs/>
          <w:i w:val="0"/>
          <w:caps w:val="0"/>
          <w:spacing w:val="0"/>
          <w:w w:val="100"/>
          <w:kern w:val="0"/>
          <w:sz w:val="32"/>
          <w:szCs w:val="32"/>
          <w:lang w:val="en-US" w:eastAsia="zh-CN" w:bidi="ar-SA"/>
        </w:rPr>
        <w:t>十一、预算绩效的情况说明</w:t>
      </w:r>
    </w:p>
    <w:p>
      <w:pPr>
        <w:snapToGrid/>
        <w:spacing w:before="0" w:beforeAutospacing="0" w:after="0" w:afterAutospacing="0" w:line="240" w:lineRule="auto"/>
        <w:ind w:firstLine="640"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根据预算绩效管理要求，我单位2020年度开展预算绩效评价项目1个，共涉及资金4.62万元。预算绩效管理取得的成效：一是完成了年初制定的所有目标，达到了预期的效果；二是通过该项目的实施，解决了实际的困难，保证了单位业务的正常运转。发现的问题及原因：有的指标年初预算不精准，有一定的偏差。下一步改进措施：一是加强培训，提升财务人员绩效申报、监控和财务业务知识能力，及时跟进监控绩效进度，对单位的项目准确有效的评价；二是进一步完善单位内控制度，建立健全各项规章制度，保证资金的合规运行。具体项目自评情况附项目支出绩效自评表。</w:t>
      </w:r>
    </w:p>
    <w:tbl>
      <w:tblPr>
        <w:tblStyle w:val="4"/>
        <w:tblW w:w="8339"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600"/>
        <w:gridCol w:w="651"/>
        <w:gridCol w:w="975"/>
        <w:gridCol w:w="1053"/>
        <w:gridCol w:w="1248"/>
        <w:gridCol w:w="894"/>
        <w:gridCol w:w="7"/>
        <w:gridCol w:w="355"/>
        <w:gridCol w:w="222"/>
        <w:gridCol w:w="360"/>
        <w:gridCol w:w="347"/>
        <w:gridCol w:w="16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8" w:hRule="atLeast"/>
        </w:trPr>
        <w:tc>
          <w:tcPr>
            <w:tcW w:w="8339" w:type="dxa"/>
            <w:gridSpan w:val="12"/>
            <w:tcBorders>
              <w:top w:val="nil"/>
              <w:left w:val="nil"/>
              <w:bottom w:val="nil"/>
              <w:right w:val="nil"/>
            </w:tcBorders>
            <w:vAlign w:val="center"/>
          </w:tcPr>
          <w:p>
            <w:pPr>
              <w:widowControl/>
              <w:snapToGrid/>
              <w:spacing w:before="0" w:beforeAutospacing="0" w:after="0" w:afterAutospacing="0" w:line="240" w:lineRule="auto"/>
              <w:jc w:val="center"/>
              <w:textAlignment w:val="center"/>
              <w:rPr>
                <w:rStyle w:val="6"/>
                <w:rFonts w:ascii="仿宋" w:hAnsi="仿宋" w:eastAsia="仿宋"/>
                <w:b/>
                <w:i w:val="0"/>
                <w:caps w:val="0"/>
                <w:color w:val="000000"/>
                <w:spacing w:val="0"/>
                <w:w w:val="100"/>
                <w:kern w:val="2"/>
                <w:sz w:val="32"/>
                <w:szCs w:val="32"/>
                <w:lang w:val="en-US" w:eastAsia="zh-CN" w:bidi="ar-SA"/>
              </w:rPr>
            </w:pPr>
            <w:r>
              <w:rPr>
                <w:rStyle w:val="6"/>
                <w:rFonts w:ascii="仿宋" w:hAnsi="仿宋" w:eastAsia="仿宋"/>
                <w:b/>
                <w:i w:val="0"/>
                <w:caps w:val="0"/>
                <w:color w:val="000000"/>
                <w:spacing w:val="0"/>
                <w:w w:val="100"/>
                <w:kern w:val="0"/>
                <w:sz w:val="32"/>
                <w:szCs w:val="32"/>
                <w:lang w:val="en-US" w:eastAsia="zh-CN"/>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8" w:hRule="atLeast"/>
        </w:trPr>
        <w:tc>
          <w:tcPr>
            <w:tcW w:w="8339" w:type="dxa"/>
            <w:gridSpan w:val="12"/>
            <w:tcBorders>
              <w:top w:val="nil"/>
              <w:left w:val="nil"/>
              <w:bottom w:val="nil"/>
              <w:right w:val="nil"/>
            </w:tcBorders>
            <w:vAlign w:val="top"/>
          </w:tcPr>
          <w:p>
            <w:pPr>
              <w:widowControl/>
              <w:snapToGrid/>
              <w:spacing w:before="0" w:beforeAutospacing="0" w:after="0" w:afterAutospacing="0" w:line="240" w:lineRule="auto"/>
              <w:jc w:val="center"/>
              <w:textAlignment w:val="top"/>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（2020年度）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8" w:hRule="atLeast"/>
        </w:trPr>
        <w:tc>
          <w:tcPr>
            <w:tcW w:w="1251"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项目名称</w:t>
            </w:r>
          </w:p>
        </w:tc>
        <w:tc>
          <w:tcPr>
            <w:tcW w:w="7088" w:type="dxa"/>
            <w:gridSpan w:val="10"/>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和田地区文化体育活动中心维修费项目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rPr>
        <w:tc>
          <w:tcPr>
            <w:tcW w:w="1251"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主管部门</w:t>
            </w:r>
          </w:p>
        </w:tc>
        <w:tc>
          <w:tcPr>
            <w:tcW w:w="3276" w:type="dxa"/>
            <w:gridSpan w:val="3"/>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和田地区文化体育活动中心</w:t>
            </w:r>
          </w:p>
        </w:tc>
        <w:tc>
          <w:tcPr>
            <w:tcW w:w="901"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实施单位</w:t>
            </w:r>
          </w:p>
        </w:tc>
        <w:tc>
          <w:tcPr>
            <w:tcW w:w="2911" w:type="dxa"/>
            <w:gridSpan w:val="5"/>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和田地区文化体育活动中心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rPr>
        <w:tc>
          <w:tcPr>
            <w:tcW w:w="1251"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项目资金（万元）</w:t>
            </w:r>
          </w:p>
        </w:tc>
        <w:tc>
          <w:tcPr>
            <w:tcW w:w="975"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c>
          <w:tcPr>
            <w:tcW w:w="1053"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年初预算数</w:t>
            </w:r>
          </w:p>
        </w:tc>
        <w:tc>
          <w:tcPr>
            <w:tcW w:w="1248"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全年预算数</w:t>
            </w:r>
          </w:p>
        </w:tc>
        <w:tc>
          <w:tcPr>
            <w:tcW w:w="901"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全年执行数</w:t>
            </w:r>
          </w:p>
        </w:tc>
        <w:tc>
          <w:tcPr>
            <w:tcW w:w="577"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分值</w:t>
            </w:r>
          </w:p>
        </w:tc>
        <w:tc>
          <w:tcPr>
            <w:tcW w:w="707"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执行率</w:t>
            </w:r>
          </w:p>
        </w:tc>
        <w:tc>
          <w:tcPr>
            <w:tcW w:w="1627"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rPr>
        <w:tc>
          <w:tcPr>
            <w:tcW w:w="1251" w:type="dxa"/>
            <w:gridSpan w:val="2"/>
            <w:vMerge w:val="continue"/>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c>
          <w:tcPr>
            <w:tcW w:w="975"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both"/>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年度资金总额</w:t>
            </w:r>
          </w:p>
        </w:tc>
        <w:tc>
          <w:tcPr>
            <w:tcW w:w="1053"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 xml:space="preserve">4.62 </w:t>
            </w:r>
          </w:p>
        </w:tc>
        <w:tc>
          <w:tcPr>
            <w:tcW w:w="1248"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 xml:space="preserve">4.62 </w:t>
            </w:r>
          </w:p>
        </w:tc>
        <w:tc>
          <w:tcPr>
            <w:tcW w:w="901"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 xml:space="preserve">4.62 </w:t>
            </w:r>
          </w:p>
        </w:tc>
        <w:tc>
          <w:tcPr>
            <w:tcW w:w="577"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10</w:t>
            </w:r>
          </w:p>
        </w:tc>
        <w:tc>
          <w:tcPr>
            <w:tcW w:w="707"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100.0%</w:t>
            </w:r>
          </w:p>
        </w:tc>
        <w:tc>
          <w:tcPr>
            <w:tcW w:w="1627"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rPr>
        <w:tc>
          <w:tcPr>
            <w:tcW w:w="1251" w:type="dxa"/>
            <w:gridSpan w:val="2"/>
            <w:vMerge w:val="continue"/>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c>
          <w:tcPr>
            <w:tcW w:w="975"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其中：当年财政拨款</w:t>
            </w:r>
          </w:p>
        </w:tc>
        <w:tc>
          <w:tcPr>
            <w:tcW w:w="1053"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 xml:space="preserve">4.62 </w:t>
            </w:r>
          </w:p>
        </w:tc>
        <w:tc>
          <w:tcPr>
            <w:tcW w:w="1248"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 xml:space="preserve">4.62 </w:t>
            </w:r>
          </w:p>
        </w:tc>
        <w:tc>
          <w:tcPr>
            <w:tcW w:w="901"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 xml:space="preserve">4.62 </w:t>
            </w:r>
          </w:p>
        </w:tc>
        <w:tc>
          <w:tcPr>
            <w:tcW w:w="577"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10</w:t>
            </w:r>
          </w:p>
        </w:tc>
        <w:tc>
          <w:tcPr>
            <w:tcW w:w="707"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100.0%</w:t>
            </w:r>
          </w:p>
        </w:tc>
        <w:tc>
          <w:tcPr>
            <w:tcW w:w="1627"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rPr>
        <w:tc>
          <w:tcPr>
            <w:tcW w:w="1251" w:type="dxa"/>
            <w:gridSpan w:val="2"/>
            <w:vMerge w:val="continue"/>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c>
          <w:tcPr>
            <w:tcW w:w="975"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right"/>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上年结转资金</w:t>
            </w:r>
          </w:p>
        </w:tc>
        <w:tc>
          <w:tcPr>
            <w:tcW w:w="1053"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 xml:space="preserve">0.00 </w:t>
            </w:r>
          </w:p>
        </w:tc>
        <w:tc>
          <w:tcPr>
            <w:tcW w:w="1248"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 xml:space="preserve">0.00 </w:t>
            </w:r>
          </w:p>
        </w:tc>
        <w:tc>
          <w:tcPr>
            <w:tcW w:w="901"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w:t>
            </w:r>
          </w:p>
        </w:tc>
        <w:tc>
          <w:tcPr>
            <w:tcW w:w="577"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w:t>
            </w:r>
          </w:p>
        </w:tc>
        <w:tc>
          <w:tcPr>
            <w:tcW w:w="707"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w:t>
            </w:r>
          </w:p>
        </w:tc>
        <w:tc>
          <w:tcPr>
            <w:tcW w:w="1627"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rPr>
        <w:tc>
          <w:tcPr>
            <w:tcW w:w="1251" w:type="dxa"/>
            <w:gridSpan w:val="2"/>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both"/>
              <w:textAlignment w:val="baseline"/>
              <w:rPr>
                <w:rStyle w:val="6"/>
                <w:rFonts w:ascii="仿宋" w:hAnsi="仿宋" w:eastAsia="仿宋"/>
                <w:b w:val="0"/>
                <w:i w:val="0"/>
                <w:caps w:val="0"/>
                <w:color w:val="000000"/>
                <w:spacing w:val="0"/>
                <w:w w:val="100"/>
                <w:kern w:val="2"/>
                <w:sz w:val="22"/>
                <w:szCs w:val="22"/>
                <w:lang w:val="en-US" w:eastAsia="zh-CN" w:bidi="ar-SA"/>
              </w:rPr>
            </w:pPr>
          </w:p>
        </w:tc>
        <w:tc>
          <w:tcPr>
            <w:tcW w:w="975"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right"/>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其他资金</w:t>
            </w:r>
          </w:p>
        </w:tc>
        <w:tc>
          <w:tcPr>
            <w:tcW w:w="1053"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 xml:space="preserve">0.00 </w:t>
            </w:r>
          </w:p>
        </w:tc>
        <w:tc>
          <w:tcPr>
            <w:tcW w:w="1248"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 xml:space="preserve">0.00 </w:t>
            </w:r>
          </w:p>
        </w:tc>
        <w:tc>
          <w:tcPr>
            <w:tcW w:w="901"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w:t>
            </w:r>
          </w:p>
        </w:tc>
        <w:tc>
          <w:tcPr>
            <w:tcW w:w="577"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w:t>
            </w:r>
          </w:p>
        </w:tc>
        <w:tc>
          <w:tcPr>
            <w:tcW w:w="707"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w:t>
            </w:r>
          </w:p>
        </w:tc>
        <w:tc>
          <w:tcPr>
            <w:tcW w:w="1627"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rPr>
        <w:tc>
          <w:tcPr>
            <w:tcW w:w="600" w:type="dxa"/>
            <w:vMerge w:val="restart"/>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年度总体目标</w:t>
            </w:r>
          </w:p>
        </w:tc>
        <w:tc>
          <w:tcPr>
            <w:tcW w:w="3927" w:type="dxa"/>
            <w:gridSpan w:val="4"/>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预期目标</w:t>
            </w:r>
          </w:p>
        </w:tc>
        <w:tc>
          <w:tcPr>
            <w:tcW w:w="3812" w:type="dxa"/>
            <w:gridSpan w:val="7"/>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75" w:hRule="atLeast"/>
        </w:trPr>
        <w:tc>
          <w:tcPr>
            <w:tcW w:w="600" w:type="dxa"/>
            <w:vMerge w:val="continue"/>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c>
          <w:tcPr>
            <w:tcW w:w="3927" w:type="dxa"/>
            <w:gridSpan w:val="4"/>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由于中心办公场所年久失修，设备陈旧，经常断水电，造成不能正常运转，在2020年申请了财政维修资金，主要用于采购材料不少于3次，服务对象人数不少于9人，购变压电缆线不低于20米，维修质量合格率不低于95%，日常维修及时性率不低于90%，维修工作均在9月底前完成，提高综合利用能力，按时完成上级交办的工作任务。</w:t>
            </w:r>
          </w:p>
        </w:tc>
        <w:tc>
          <w:tcPr>
            <w:tcW w:w="3812" w:type="dxa"/>
            <w:gridSpan w:val="7"/>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由于中心办公场所年久失修，设备陈旧，经常断水电，造成不能正常运转，在2020年申请了财政维修资金，主要用于采购材料5次，服务对象9人，购变压电缆线20米，维修质量合格率100%，日常维修及时率90%，维修工作均在9月底前完成，提高综合利用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600" w:type="dxa"/>
            <w:vMerge w:val="restart"/>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绩效指标</w:t>
            </w:r>
          </w:p>
        </w:tc>
        <w:tc>
          <w:tcPr>
            <w:tcW w:w="651"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一级指标</w:t>
            </w:r>
          </w:p>
        </w:tc>
        <w:tc>
          <w:tcPr>
            <w:tcW w:w="975"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二级指标</w:t>
            </w:r>
          </w:p>
        </w:tc>
        <w:tc>
          <w:tcPr>
            <w:tcW w:w="1053"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三级指标</w:t>
            </w:r>
          </w:p>
        </w:tc>
        <w:tc>
          <w:tcPr>
            <w:tcW w:w="1248"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年度指标值</w:t>
            </w:r>
          </w:p>
        </w:tc>
        <w:tc>
          <w:tcPr>
            <w:tcW w:w="894"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实际完成值</w:t>
            </w:r>
          </w:p>
        </w:tc>
        <w:tc>
          <w:tcPr>
            <w:tcW w:w="362"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分值</w:t>
            </w:r>
          </w:p>
        </w:tc>
        <w:tc>
          <w:tcPr>
            <w:tcW w:w="582"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得分</w:t>
            </w:r>
          </w:p>
        </w:tc>
        <w:tc>
          <w:tcPr>
            <w:tcW w:w="1974"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rPr>
        <w:tc>
          <w:tcPr>
            <w:tcW w:w="600" w:type="dxa"/>
            <w:vMerge w:val="continue"/>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c>
          <w:tcPr>
            <w:tcW w:w="651" w:type="dxa"/>
            <w:vMerge w:val="restart"/>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产出指标</w:t>
            </w:r>
          </w:p>
        </w:tc>
        <w:tc>
          <w:tcPr>
            <w:tcW w:w="975" w:type="dxa"/>
            <w:vMerge w:val="restart"/>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数量指标</w:t>
            </w:r>
          </w:p>
        </w:tc>
        <w:tc>
          <w:tcPr>
            <w:tcW w:w="1053"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left"/>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购买维修材料(次)</w:t>
            </w:r>
          </w:p>
        </w:tc>
        <w:tc>
          <w:tcPr>
            <w:tcW w:w="1248"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≥3</w:t>
            </w:r>
          </w:p>
        </w:tc>
        <w:tc>
          <w:tcPr>
            <w:tcW w:w="894"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5</w:t>
            </w:r>
          </w:p>
        </w:tc>
        <w:tc>
          <w:tcPr>
            <w:tcW w:w="362"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5</w:t>
            </w:r>
          </w:p>
        </w:tc>
        <w:tc>
          <w:tcPr>
            <w:tcW w:w="582"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2.67</w:t>
            </w:r>
          </w:p>
        </w:tc>
        <w:tc>
          <w:tcPr>
            <w:tcW w:w="1974"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根据维修工程实际情况，多购2次材料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rPr>
        <w:tc>
          <w:tcPr>
            <w:tcW w:w="600" w:type="dxa"/>
            <w:vMerge w:val="continue"/>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c>
          <w:tcPr>
            <w:tcW w:w="651" w:type="dxa"/>
            <w:vMerge w:val="continue"/>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c>
          <w:tcPr>
            <w:tcW w:w="975" w:type="dxa"/>
            <w:vMerge w:val="continue"/>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c>
          <w:tcPr>
            <w:tcW w:w="1053" w:type="dxa"/>
            <w:tcBorders>
              <w:top w:val="nil"/>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left"/>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服务对象人数(人)</w:t>
            </w:r>
          </w:p>
        </w:tc>
        <w:tc>
          <w:tcPr>
            <w:tcW w:w="1248"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≥9</w:t>
            </w:r>
          </w:p>
        </w:tc>
        <w:tc>
          <w:tcPr>
            <w:tcW w:w="894"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9</w:t>
            </w:r>
          </w:p>
        </w:tc>
        <w:tc>
          <w:tcPr>
            <w:tcW w:w="362"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3</w:t>
            </w:r>
          </w:p>
        </w:tc>
        <w:tc>
          <w:tcPr>
            <w:tcW w:w="582"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3</w:t>
            </w:r>
          </w:p>
        </w:tc>
        <w:tc>
          <w:tcPr>
            <w:tcW w:w="1974" w:type="dxa"/>
            <w:gridSpan w:val="2"/>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rPr>
        <w:tc>
          <w:tcPr>
            <w:tcW w:w="600" w:type="dxa"/>
            <w:vMerge w:val="continue"/>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c>
          <w:tcPr>
            <w:tcW w:w="651" w:type="dxa"/>
            <w:vMerge w:val="continue"/>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c>
          <w:tcPr>
            <w:tcW w:w="975" w:type="dxa"/>
            <w:vMerge w:val="continue"/>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c>
          <w:tcPr>
            <w:tcW w:w="1053" w:type="dxa"/>
            <w:tcBorders>
              <w:top w:val="nil"/>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left"/>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购买高压电缆线长度(米)</w:t>
            </w:r>
          </w:p>
        </w:tc>
        <w:tc>
          <w:tcPr>
            <w:tcW w:w="1248"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≥20</w:t>
            </w:r>
          </w:p>
        </w:tc>
        <w:tc>
          <w:tcPr>
            <w:tcW w:w="894"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20</w:t>
            </w:r>
          </w:p>
        </w:tc>
        <w:tc>
          <w:tcPr>
            <w:tcW w:w="362"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3</w:t>
            </w:r>
          </w:p>
        </w:tc>
        <w:tc>
          <w:tcPr>
            <w:tcW w:w="582"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3</w:t>
            </w:r>
          </w:p>
        </w:tc>
        <w:tc>
          <w:tcPr>
            <w:tcW w:w="1974" w:type="dxa"/>
            <w:gridSpan w:val="2"/>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rPr>
        <w:tc>
          <w:tcPr>
            <w:tcW w:w="600" w:type="dxa"/>
            <w:vMerge w:val="continue"/>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c>
          <w:tcPr>
            <w:tcW w:w="651" w:type="dxa"/>
            <w:vMerge w:val="continue"/>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c>
          <w:tcPr>
            <w:tcW w:w="975" w:type="dxa"/>
            <w:vMerge w:val="restart"/>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质量指标</w:t>
            </w:r>
          </w:p>
        </w:tc>
        <w:tc>
          <w:tcPr>
            <w:tcW w:w="1053" w:type="dxa"/>
            <w:tcBorders>
              <w:top w:val="nil"/>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left"/>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维修质量合格率(%)</w:t>
            </w:r>
          </w:p>
        </w:tc>
        <w:tc>
          <w:tcPr>
            <w:tcW w:w="1248"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≥95%</w:t>
            </w:r>
          </w:p>
        </w:tc>
        <w:tc>
          <w:tcPr>
            <w:tcW w:w="894"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100%</w:t>
            </w:r>
          </w:p>
        </w:tc>
        <w:tc>
          <w:tcPr>
            <w:tcW w:w="362"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5</w:t>
            </w:r>
          </w:p>
        </w:tc>
        <w:tc>
          <w:tcPr>
            <w:tcW w:w="582"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5</w:t>
            </w:r>
          </w:p>
        </w:tc>
        <w:tc>
          <w:tcPr>
            <w:tcW w:w="1974" w:type="dxa"/>
            <w:gridSpan w:val="2"/>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rPr>
        <w:tc>
          <w:tcPr>
            <w:tcW w:w="600" w:type="dxa"/>
            <w:vMerge w:val="continue"/>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c>
          <w:tcPr>
            <w:tcW w:w="651" w:type="dxa"/>
            <w:vMerge w:val="continue"/>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c>
          <w:tcPr>
            <w:tcW w:w="975" w:type="dxa"/>
            <w:vMerge w:val="continue"/>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c>
          <w:tcPr>
            <w:tcW w:w="1053" w:type="dxa"/>
            <w:tcBorders>
              <w:top w:val="nil"/>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left"/>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日常巡查维修及时率(%)</w:t>
            </w:r>
          </w:p>
        </w:tc>
        <w:tc>
          <w:tcPr>
            <w:tcW w:w="1248"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≥90%</w:t>
            </w:r>
          </w:p>
        </w:tc>
        <w:tc>
          <w:tcPr>
            <w:tcW w:w="894"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90%</w:t>
            </w:r>
          </w:p>
        </w:tc>
        <w:tc>
          <w:tcPr>
            <w:tcW w:w="362"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5</w:t>
            </w:r>
          </w:p>
        </w:tc>
        <w:tc>
          <w:tcPr>
            <w:tcW w:w="582"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5</w:t>
            </w:r>
          </w:p>
        </w:tc>
        <w:tc>
          <w:tcPr>
            <w:tcW w:w="1974" w:type="dxa"/>
            <w:gridSpan w:val="2"/>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rPr>
        <w:tc>
          <w:tcPr>
            <w:tcW w:w="600" w:type="dxa"/>
            <w:vMerge w:val="continue"/>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c>
          <w:tcPr>
            <w:tcW w:w="651" w:type="dxa"/>
            <w:vMerge w:val="continue"/>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c>
          <w:tcPr>
            <w:tcW w:w="975"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时效指标</w:t>
            </w:r>
          </w:p>
        </w:tc>
        <w:tc>
          <w:tcPr>
            <w:tcW w:w="1053" w:type="dxa"/>
            <w:tcBorders>
              <w:top w:val="nil"/>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left"/>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项目完成时限</w:t>
            </w:r>
          </w:p>
        </w:tc>
        <w:tc>
          <w:tcPr>
            <w:tcW w:w="1248"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2020年9月30日前</w:t>
            </w:r>
          </w:p>
        </w:tc>
        <w:tc>
          <w:tcPr>
            <w:tcW w:w="894"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100%</w:t>
            </w:r>
          </w:p>
        </w:tc>
        <w:tc>
          <w:tcPr>
            <w:tcW w:w="362"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4</w:t>
            </w:r>
          </w:p>
        </w:tc>
        <w:tc>
          <w:tcPr>
            <w:tcW w:w="582"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4</w:t>
            </w:r>
          </w:p>
        </w:tc>
        <w:tc>
          <w:tcPr>
            <w:tcW w:w="1974" w:type="dxa"/>
            <w:gridSpan w:val="2"/>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rPr>
        <w:tc>
          <w:tcPr>
            <w:tcW w:w="600" w:type="dxa"/>
            <w:vMerge w:val="continue"/>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c>
          <w:tcPr>
            <w:tcW w:w="651" w:type="dxa"/>
            <w:vMerge w:val="continue"/>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c>
          <w:tcPr>
            <w:tcW w:w="975" w:type="dxa"/>
            <w:vMerge w:val="restart"/>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成本指标</w:t>
            </w:r>
          </w:p>
        </w:tc>
        <w:tc>
          <w:tcPr>
            <w:tcW w:w="1053" w:type="dxa"/>
            <w:tcBorders>
              <w:top w:val="nil"/>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left"/>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变压器（万元）</w:t>
            </w:r>
          </w:p>
        </w:tc>
        <w:tc>
          <w:tcPr>
            <w:tcW w:w="1248"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≤2.38</w:t>
            </w:r>
          </w:p>
        </w:tc>
        <w:tc>
          <w:tcPr>
            <w:tcW w:w="894"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2.38</w:t>
            </w:r>
          </w:p>
        </w:tc>
        <w:tc>
          <w:tcPr>
            <w:tcW w:w="362"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5</w:t>
            </w:r>
          </w:p>
        </w:tc>
        <w:tc>
          <w:tcPr>
            <w:tcW w:w="582"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5</w:t>
            </w:r>
          </w:p>
        </w:tc>
        <w:tc>
          <w:tcPr>
            <w:tcW w:w="1974" w:type="dxa"/>
            <w:gridSpan w:val="2"/>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rPr>
        <w:tc>
          <w:tcPr>
            <w:tcW w:w="600" w:type="dxa"/>
            <w:vMerge w:val="continue"/>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c>
          <w:tcPr>
            <w:tcW w:w="651" w:type="dxa"/>
            <w:vMerge w:val="continue"/>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c>
          <w:tcPr>
            <w:tcW w:w="975" w:type="dxa"/>
            <w:vMerge w:val="continue"/>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c>
          <w:tcPr>
            <w:tcW w:w="1053" w:type="dxa"/>
            <w:tcBorders>
              <w:top w:val="nil"/>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left"/>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维修下水道（万元）</w:t>
            </w:r>
          </w:p>
        </w:tc>
        <w:tc>
          <w:tcPr>
            <w:tcW w:w="1248"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≤1</w:t>
            </w:r>
          </w:p>
        </w:tc>
        <w:tc>
          <w:tcPr>
            <w:tcW w:w="894"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1</w:t>
            </w:r>
          </w:p>
        </w:tc>
        <w:tc>
          <w:tcPr>
            <w:tcW w:w="362"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5</w:t>
            </w:r>
          </w:p>
        </w:tc>
        <w:tc>
          <w:tcPr>
            <w:tcW w:w="582"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5</w:t>
            </w:r>
          </w:p>
        </w:tc>
        <w:tc>
          <w:tcPr>
            <w:tcW w:w="1974" w:type="dxa"/>
            <w:gridSpan w:val="2"/>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rPr>
        <w:tc>
          <w:tcPr>
            <w:tcW w:w="600" w:type="dxa"/>
            <w:vMerge w:val="continue"/>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c>
          <w:tcPr>
            <w:tcW w:w="651" w:type="dxa"/>
            <w:vMerge w:val="continue"/>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c>
          <w:tcPr>
            <w:tcW w:w="975" w:type="dxa"/>
            <w:vMerge w:val="continue"/>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c>
          <w:tcPr>
            <w:tcW w:w="1053" w:type="dxa"/>
            <w:tcBorders>
              <w:top w:val="nil"/>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left"/>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高压电缆线（万元）</w:t>
            </w:r>
          </w:p>
        </w:tc>
        <w:tc>
          <w:tcPr>
            <w:tcW w:w="1248"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≤0.40</w:t>
            </w:r>
          </w:p>
        </w:tc>
        <w:tc>
          <w:tcPr>
            <w:tcW w:w="894"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0.4</w:t>
            </w:r>
          </w:p>
        </w:tc>
        <w:tc>
          <w:tcPr>
            <w:tcW w:w="362"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5</w:t>
            </w:r>
          </w:p>
        </w:tc>
        <w:tc>
          <w:tcPr>
            <w:tcW w:w="582"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5</w:t>
            </w:r>
          </w:p>
        </w:tc>
        <w:tc>
          <w:tcPr>
            <w:tcW w:w="1974" w:type="dxa"/>
            <w:gridSpan w:val="2"/>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rPr>
        <w:tc>
          <w:tcPr>
            <w:tcW w:w="600" w:type="dxa"/>
            <w:vMerge w:val="continue"/>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c>
          <w:tcPr>
            <w:tcW w:w="651" w:type="dxa"/>
            <w:vMerge w:val="continue"/>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c>
          <w:tcPr>
            <w:tcW w:w="975" w:type="dxa"/>
            <w:vMerge w:val="continue"/>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c>
          <w:tcPr>
            <w:tcW w:w="1053" w:type="dxa"/>
            <w:tcBorders>
              <w:top w:val="nil"/>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left"/>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购电表费（万元）</w:t>
            </w:r>
          </w:p>
        </w:tc>
        <w:tc>
          <w:tcPr>
            <w:tcW w:w="1248"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≤0.57</w:t>
            </w:r>
          </w:p>
        </w:tc>
        <w:tc>
          <w:tcPr>
            <w:tcW w:w="894"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0.57</w:t>
            </w:r>
          </w:p>
        </w:tc>
        <w:tc>
          <w:tcPr>
            <w:tcW w:w="362"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5</w:t>
            </w:r>
          </w:p>
        </w:tc>
        <w:tc>
          <w:tcPr>
            <w:tcW w:w="582"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5</w:t>
            </w:r>
          </w:p>
        </w:tc>
        <w:tc>
          <w:tcPr>
            <w:tcW w:w="1974" w:type="dxa"/>
            <w:gridSpan w:val="2"/>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rPr>
        <w:tc>
          <w:tcPr>
            <w:tcW w:w="600" w:type="dxa"/>
            <w:vMerge w:val="continue"/>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c>
          <w:tcPr>
            <w:tcW w:w="651" w:type="dxa"/>
            <w:vMerge w:val="continue"/>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c>
          <w:tcPr>
            <w:tcW w:w="975" w:type="dxa"/>
            <w:vMerge w:val="continue"/>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c>
          <w:tcPr>
            <w:tcW w:w="1053" w:type="dxa"/>
            <w:tcBorders>
              <w:top w:val="nil"/>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left"/>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人工费（万元）</w:t>
            </w:r>
          </w:p>
        </w:tc>
        <w:tc>
          <w:tcPr>
            <w:tcW w:w="1248"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≤0.27</w:t>
            </w:r>
          </w:p>
        </w:tc>
        <w:tc>
          <w:tcPr>
            <w:tcW w:w="894"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0.27</w:t>
            </w:r>
          </w:p>
        </w:tc>
        <w:tc>
          <w:tcPr>
            <w:tcW w:w="362"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5</w:t>
            </w:r>
          </w:p>
        </w:tc>
        <w:tc>
          <w:tcPr>
            <w:tcW w:w="582"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5</w:t>
            </w:r>
          </w:p>
        </w:tc>
        <w:tc>
          <w:tcPr>
            <w:tcW w:w="1974" w:type="dxa"/>
            <w:gridSpan w:val="2"/>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rPr>
        <w:tc>
          <w:tcPr>
            <w:tcW w:w="600" w:type="dxa"/>
            <w:vMerge w:val="continue"/>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c>
          <w:tcPr>
            <w:tcW w:w="651" w:type="dxa"/>
            <w:vMerge w:val="restart"/>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效益指标</w:t>
            </w:r>
          </w:p>
        </w:tc>
        <w:tc>
          <w:tcPr>
            <w:tcW w:w="975"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经济效益指标</w:t>
            </w:r>
          </w:p>
        </w:tc>
        <w:tc>
          <w:tcPr>
            <w:tcW w:w="1053" w:type="dxa"/>
            <w:tcBorders>
              <w:top w:val="nil"/>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left"/>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基础设施完好率（%）</w:t>
            </w:r>
          </w:p>
        </w:tc>
        <w:tc>
          <w:tcPr>
            <w:tcW w:w="1248"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≥95%</w:t>
            </w:r>
          </w:p>
        </w:tc>
        <w:tc>
          <w:tcPr>
            <w:tcW w:w="894"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95%</w:t>
            </w:r>
          </w:p>
        </w:tc>
        <w:tc>
          <w:tcPr>
            <w:tcW w:w="362"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10</w:t>
            </w:r>
          </w:p>
        </w:tc>
        <w:tc>
          <w:tcPr>
            <w:tcW w:w="582"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10</w:t>
            </w:r>
          </w:p>
        </w:tc>
        <w:tc>
          <w:tcPr>
            <w:tcW w:w="1974" w:type="dxa"/>
            <w:gridSpan w:val="2"/>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rPr>
        <w:tc>
          <w:tcPr>
            <w:tcW w:w="600" w:type="dxa"/>
            <w:vMerge w:val="continue"/>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c>
          <w:tcPr>
            <w:tcW w:w="651" w:type="dxa"/>
            <w:vMerge w:val="continue"/>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c>
          <w:tcPr>
            <w:tcW w:w="975"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社会效益指标</w:t>
            </w:r>
          </w:p>
        </w:tc>
        <w:tc>
          <w:tcPr>
            <w:tcW w:w="1053" w:type="dxa"/>
            <w:tcBorders>
              <w:top w:val="nil"/>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left"/>
              <w:textAlignment w:val="center"/>
              <w:rPr>
                <w:rStyle w:val="6"/>
                <w:rFonts w:ascii="仿宋" w:hAnsi="仿宋" w:eastAsia="仿宋"/>
                <w:b w:val="0"/>
                <w:i w:val="0"/>
                <w:caps w:val="0"/>
                <w:color w:val="000000"/>
                <w:spacing w:val="0"/>
                <w:w w:val="100"/>
                <w:kern w:val="2"/>
                <w:sz w:val="22"/>
                <w:szCs w:val="22"/>
                <w:lang w:val="en-US" w:eastAsia="zh-CN" w:bidi="ar-SA"/>
              </w:rPr>
            </w:pPr>
          </w:p>
        </w:tc>
        <w:tc>
          <w:tcPr>
            <w:tcW w:w="1248"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有效消除</w:t>
            </w:r>
          </w:p>
        </w:tc>
        <w:tc>
          <w:tcPr>
            <w:tcW w:w="894"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90%</w:t>
            </w:r>
          </w:p>
        </w:tc>
        <w:tc>
          <w:tcPr>
            <w:tcW w:w="362"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10</w:t>
            </w:r>
          </w:p>
        </w:tc>
        <w:tc>
          <w:tcPr>
            <w:tcW w:w="582"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10</w:t>
            </w:r>
          </w:p>
        </w:tc>
        <w:tc>
          <w:tcPr>
            <w:tcW w:w="1974" w:type="dxa"/>
            <w:gridSpan w:val="2"/>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rPr>
        <w:tc>
          <w:tcPr>
            <w:tcW w:w="600" w:type="dxa"/>
            <w:vMerge w:val="continue"/>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c>
          <w:tcPr>
            <w:tcW w:w="651" w:type="dxa"/>
            <w:vMerge w:val="continue"/>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c>
          <w:tcPr>
            <w:tcW w:w="975"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生态效益指标</w:t>
            </w:r>
          </w:p>
        </w:tc>
        <w:tc>
          <w:tcPr>
            <w:tcW w:w="1053" w:type="dxa"/>
            <w:tcBorders>
              <w:top w:val="nil"/>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left"/>
              <w:textAlignment w:val="baseline"/>
              <w:rPr>
                <w:rStyle w:val="6"/>
                <w:rFonts w:ascii="仿宋" w:hAnsi="仿宋" w:eastAsia="仿宋"/>
                <w:b w:val="0"/>
                <w:i w:val="0"/>
                <w:caps w:val="0"/>
                <w:color w:val="000000"/>
                <w:spacing w:val="0"/>
                <w:w w:val="100"/>
                <w:kern w:val="2"/>
                <w:sz w:val="22"/>
                <w:szCs w:val="22"/>
                <w:lang w:val="en-US" w:eastAsia="zh-CN" w:bidi="ar-SA"/>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c>
          <w:tcPr>
            <w:tcW w:w="894" w:type="dxa"/>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c>
          <w:tcPr>
            <w:tcW w:w="362" w:type="dxa"/>
            <w:gridSpan w:val="2"/>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c>
          <w:tcPr>
            <w:tcW w:w="582" w:type="dxa"/>
            <w:gridSpan w:val="2"/>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c>
          <w:tcPr>
            <w:tcW w:w="1974" w:type="dxa"/>
            <w:gridSpan w:val="2"/>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rPr>
        <w:tc>
          <w:tcPr>
            <w:tcW w:w="600" w:type="dxa"/>
            <w:vMerge w:val="continue"/>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c>
          <w:tcPr>
            <w:tcW w:w="651" w:type="dxa"/>
            <w:vMerge w:val="continue"/>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c>
          <w:tcPr>
            <w:tcW w:w="975"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可持续影响指标</w:t>
            </w:r>
          </w:p>
        </w:tc>
        <w:tc>
          <w:tcPr>
            <w:tcW w:w="1053" w:type="dxa"/>
            <w:tcBorders>
              <w:top w:val="nil"/>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left"/>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综合利用率（%）</w:t>
            </w:r>
          </w:p>
        </w:tc>
        <w:tc>
          <w:tcPr>
            <w:tcW w:w="1248"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≥95%</w:t>
            </w:r>
          </w:p>
        </w:tc>
        <w:tc>
          <w:tcPr>
            <w:tcW w:w="894"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95%</w:t>
            </w:r>
          </w:p>
        </w:tc>
        <w:tc>
          <w:tcPr>
            <w:tcW w:w="362"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10</w:t>
            </w:r>
          </w:p>
        </w:tc>
        <w:tc>
          <w:tcPr>
            <w:tcW w:w="582"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10</w:t>
            </w:r>
          </w:p>
        </w:tc>
        <w:tc>
          <w:tcPr>
            <w:tcW w:w="1974" w:type="dxa"/>
            <w:gridSpan w:val="2"/>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rPr>
        <w:tc>
          <w:tcPr>
            <w:tcW w:w="600" w:type="dxa"/>
            <w:vMerge w:val="continue"/>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c>
          <w:tcPr>
            <w:tcW w:w="651"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满意度指标</w:t>
            </w:r>
          </w:p>
        </w:tc>
        <w:tc>
          <w:tcPr>
            <w:tcW w:w="975"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服务对象满意度指标</w:t>
            </w:r>
          </w:p>
        </w:tc>
        <w:tc>
          <w:tcPr>
            <w:tcW w:w="1053" w:type="dxa"/>
            <w:tcBorders>
              <w:top w:val="nil"/>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left"/>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使用人满意度（%）</w:t>
            </w:r>
          </w:p>
        </w:tc>
        <w:tc>
          <w:tcPr>
            <w:tcW w:w="1248"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≥90%</w:t>
            </w:r>
          </w:p>
        </w:tc>
        <w:tc>
          <w:tcPr>
            <w:tcW w:w="894"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95%</w:t>
            </w:r>
          </w:p>
        </w:tc>
        <w:tc>
          <w:tcPr>
            <w:tcW w:w="362"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10</w:t>
            </w:r>
          </w:p>
        </w:tc>
        <w:tc>
          <w:tcPr>
            <w:tcW w:w="582"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10</w:t>
            </w:r>
          </w:p>
        </w:tc>
        <w:tc>
          <w:tcPr>
            <w:tcW w:w="1974" w:type="dxa"/>
            <w:gridSpan w:val="2"/>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center"/>
              <w:textAlignment w:val="baseline"/>
              <w:rPr>
                <w:rStyle w:val="6"/>
                <w:rFonts w:ascii="仿宋" w:hAnsi="仿宋" w:eastAsia="仿宋"/>
                <w:b w:val="0"/>
                <w:i w:val="0"/>
                <w:caps w:val="0"/>
                <w:color w:val="000000"/>
                <w:spacing w:val="0"/>
                <w:w w:val="100"/>
                <w:kern w:val="2"/>
                <w:sz w:val="22"/>
                <w:szCs w:val="22"/>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rPr>
        <w:tc>
          <w:tcPr>
            <w:tcW w:w="5421" w:type="dxa"/>
            <w:gridSpan w:val="6"/>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总分</w:t>
            </w:r>
          </w:p>
        </w:tc>
        <w:tc>
          <w:tcPr>
            <w:tcW w:w="362"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100</w:t>
            </w:r>
          </w:p>
        </w:tc>
        <w:tc>
          <w:tcPr>
            <w:tcW w:w="582"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before="0" w:beforeAutospacing="0" w:after="0" w:afterAutospacing="0" w:line="240" w:lineRule="auto"/>
              <w:jc w:val="center"/>
              <w:textAlignment w:val="center"/>
              <w:rPr>
                <w:rStyle w:val="6"/>
                <w:rFonts w:ascii="仿宋" w:hAnsi="仿宋" w:eastAsia="仿宋"/>
                <w:b w:val="0"/>
                <w:i w:val="0"/>
                <w:caps w:val="0"/>
                <w:color w:val="000000"/>
                <w:spacing w:val="0"/>
                <w:w w:val="100"/>
                <w:kern w:val="2"/>
                <w:sz w:val="22"/>
                <w:szCs w:val="22"/>
                <w:lang w:val="en-US" w:eastAsia="zh-CN" w:bidi="ar-SA"/>
              </w:rPr>
            </w:pPr>
            <w:r>
              <w:rPr>
                <w:rStyle w:val="6"/>
                <w:rFonts w:ascii="仿宋" w:hAnsi="仿宋" w:eastAsia="仿宋"/>
                <w:b w:val="0"/>
                <w:i w:val="0"/>
                <w:caps w:val="0"/>
                <w:color w:val="000000"/>
                <w:spacing w:val="0"/>
                <w:w w:val="100"/>
                <w:kern w:val="0"/>
                <w:sz w:val="22"/>
                <w:szCs w:val="22"/>
                <w:lang w:val="en-US" w:eastAsia="zh-CN"/>
              </w:rPr>
              <w:t>97.67</w:t>
            </w:r>
          </w:p>
        </w:tc>
        <w:tc>
          <w:tcPr>
            <w:tcW w:w="1974" w:type="dxa"/>
            <w:gridSpan w:val="2"/>
            <w:tcBorders>
              <w:top w:val="single" w:color="000000" w:sz="4" w:space="0"/>
              <w:left w:val="single" w:color="000000" w:sz="4" w:space="0"/>
              <w:bottom w:val="single" w:color="000000" w:sz="4" w:space="0"/>
              <w:right w:val="single" w:color="000000" w:sz="4" w:space="0"/>
            </w:tcBorders>
            <w:vAlign w:val="center"/>
          </w:tcPr>
          <w:p>
            <w:pPr>
              <w:snapToGrid/>
              <w:spacing w:before="0" w:beforeAutospacing="0" w:after="0" w:afterAutospacing="0" w:line="240" w:lineRule="auto"/>
              <w:jc w:val="both"/>
              <w:textAlignment w:val="baseline"/>
              <w:rPr>
                <w:rStyle w:val="6"/>
                <w:rFonts w:ascii="仿宋" w:hAnsi="仿宋" w:eastAsia="仿宋"/>
                <w:b w:val="0"/>
                <w:i w:val="0"/>
                <w:caps w:val="0"/>
                <w:color w:val="000000"/>
                <w:spacing w:val="0"/>
                <w:w w:val="100"/>
                <w:kern w:val="2"/>
                <w:sz w:val="22"/>
                <w:szCs w:val="22"/>
                <w:lang w:val="en-US" w:eastAsia="zh-CN" w:bidi="ar-SA"/>
              </w:rPr>
            </w:pPr>
          </w:p>
        </w:tc>
      </w:tr>
    </w:tbl>
    <w:p>
      <w:pPr>
        <w:snapToGrid/>
        <w:spacing w:before="0" w:beforeAutospacing="0" w:after="0" w:afterAutospacing="0" w:line="240" w:lineRule="auto"/>
        <w:ind w:firstLine="640" w:firstLineChars="200"/>
        <w:jc w:val="both"/>
        <w:textAlignment w:val="baseline"/>
        <w:rPr>
          <w:rStyle w:val="6"/>
          <w:rFonts w:ascii="仿宋_GB2312" w:eastAsia="仿宋_GB2312"/>
          <w:b w:val="0"/>
          <w:i w:val="0"/>
          <w:caps w:val="0"/>
          <w:spacing w:val="0"/>
          <w:w w:val="100"/>
          <w:kern w:val="2"/>
          <w:sz w:val="32"/>
          <w:szCs w:val="32"/>
          <w:lang w:val="en-US" w:eastAsia="zh-CN" w:bidi="ar-SA"/>
        </w:rPr>
      </w:pPr>
    </w:p>
    <w:p>
      <w:pPr>
        <w:snapToGrid/>
        <w:spacing w:before="0" w:beforeAutospacing="0" w:after="0" w:afterAutospacing="0" w:line="240" w:lineRule="auto"/>
        <w:ind w:firstLine="640" w:firstLineChars="200"/>
        <w:jc w:val="center"/>
        <w:textAlignment w:val="baseline"/>
        <w:rPr>
          <w:rStyle w:val="6"/>
          <w:rFonts w:ascii="黑体" w:hAnsi="黑体" w:eastAsia="黑体"/>
          <w:b w:val="0"/>
          <w:i w:val="0"/>
          <w:caps w:val="0"/>
          <w:spacing w:val="0"/>
          <w:w w:val="100"/>
          <w:kern w:val="2"/>
          <w:sz w:val="32"/>
          <w:szCs w:val="32"/>
          <w:lang w:val="en-US" w:eastAsia="zh-CN" w:bidi="ar-SA"/>
        </w:rPr>
      </w:pPr>
      <w:r>
        <w:rPr>
          <w:rStyle w:val="6"/>
          <w:rFonts w:ascii="黑体" w:hAnsi="黑体" w:eastAsia="黑体"/>
          <w:b w:val="0"/>
          <w:i w:val="0"/>
          <w:caps w:val="0"/>
          <w:spacing w:val="0"/>
          <w:w w:val="100"/>
          <w:kern w:val="2"/>
          <w:sz w:val="32"/>
          <w:szCs w:val="32"/>
          <w:lang w:val="en-US" w:eastAsia="zh-CN" w:bidi="ar-SA"/>
        </w:rPr>
        <w:t>第三部分 专业名词解释</w:t>
      </w:r>
    </w:p>
    <w:p>
      <w:pPr>
        <w:snapToGrid/>
        <w:spacing w:before="0" w:beforeAutospacing="0" w:after="0" w:afterAutospacing="0" w:line="240" w:lineRule="auto"/>
        <w:ind w:firstLine="640"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财政拨款收入：指同级财政当年拨付的资金。</w:t>
      </w:r>
    </w:p>
    <w:p>
      <w:pPr>
        <w:snapToGrid/>
        <w:spacing w:before="0" w:beforeAutospacing="0" w:after="0" w:afterAutospacing="0" w:line="240" w:lineRule="auto"/>
        <w:ind w:firstLine="640"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上级补助收入：指事业单位从主管部门和上级单位取得的非财政补助收入。</w:t>
      </w:r>
    </w:p>
    <w:p>
      <w:pPr>
        <w:snapToGrid/>
        <w:spacing w:before="0" w:beforeAutospacing="0" w:after="0" w:afterAutospacing="0" w:line="240" w:lineRule="auto"/>
        <w:ind w:firstLine="640"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事业收入：指事业单位开展专业业务活动及其辅助活动所取得的收入。</w:t>
      </w:r>
    </w:p>
    <w:p>
      <w:pPr>
        <w:snapToGrid/>
        <w:spacing w:before="0" w:beforeAutospacing="0" w:after="0" w:afterAutospacing="0" w:line="240" w:lineRule="auto"/>
        <w:ind w:firstLine="640"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经营收入：指事业单位在专业业务活动及其辅助活动之外开展非独立核算经营活动取得的收入。</w:t>
      </w:r>
    </w:p>
    <w:p>
      <w:pPr>
        <w:snapToGrid/>
        <w:spacing w:before="0" w:beforeAutospacing="0" w:after="0" w:afterAutospacing="0" w:line="240" w:lineRule="auto"/>
        <w:ind w:firstLine="640"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附属单位上缴收入：指事业单位附属的独立核算单位按有关规定上缴的收入。</w:t>
      </w:r>
    </w:p>
    <w:p>
      <w:pPr>
        <w:snapToGrid/>
        <w:spacing w:before="0" w:beforeAutospacing="0" w:after="0" w:afterAutospacing="0" w:line="240" w:lineRule="auto"/>
        <w:ind w:firstLine="640"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其他收入：指除上述“财政拨款收入”、“事业收入”、“经营收入”、“附属单位上缴收入”等之外取得的收入。</w:t>
      </w:r>
    </w:p>
    <w:p>
      <w:pPr>
        <w:snapToGrid/>
        <w:spacing w:before="0" w:beforeAutospacing="0" w:after="0" w:afterAutospacing="0" w:line="240" w:lineRule="auto"/>
        <w:ind w:firstLine="640"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年初结转和结余：指以前年度支出预算因客观条件变化未执行完毕、结转到本年度按有关规定继续使用的资金，既包括财政拨款结转和结余，也包括事业收入、经营收入、其他收入的结转和结余。</w:t>
      </w:r>
    </w:p>
    <w:p>
      <w:pPr>
        <w:snapToGrid/>
        <w:spacing w:before="0" w:beforeAutospacing="0" w:after="0" w:afterAutospacing="0" w:line="240" w:lineRule="auto"/>
        <w:ind w:firstLine="640"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snapToGrid/>
        <w:spacing w:before="0" w:beforeAutospacing="0" w:after="0" w:afterAutospacing="0" w:line="240" w:lineRule="auto"/>
        <w:ind w:firstLine="640"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基本支出：指为保障机构正常运转、完成日常工作任务而发生的人员支出和公用支出。</w:t>
      </w:r>
    </w:p>
    <w:p>
      <w:pPr>
        <w:snapToGrid/>
        <w:spacing w:before="0" w:beforeAutospacing="0" w:after="0" w:afterAutospacing="0" w:line="240" w:lineRule="auto"/>
        <w:ind w:firstLine="640"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项目支出：指在基本支出之外为完成特定行政任务和事业发展目标所发生的支出。</w:t>
      </w:r>
    </w:p>
    <w:p>
      <w:pPr>
        <w:snapToGrid/>
        <w:spacing w:before="0" w:beforeAutospacing="0" w:after="0" w:afterAutospacing="0" w:line="240" w:lineRule="auto"/>
        <w:ind w:firstLine="640"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经营支出：指事业单位在专业业务活动及其辅助活动之外开展非独立核算经营活动发生的支出。</w:t>
      </w:r>
    </w:p>
    <w:p>
      <w:pPr>
        <w:snapToGrid/>
        <w:spacing w:before="0" w:beforeAutospacing="0" w:after="0" w:afterAutospacing="0" w:line="240" w:lineRule="auto"/>
        <w:ind w:firstLine="640"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对附属单位补助支出：指事业单位发生的用非财政预算资金对附属单位的补助支出。</w:t>
      </w:r>
    </w:p>
    <w:p>
      <w:pPr>
        <w:snapToGrid/>
        <w:spacing w:before="0" w:beforeAutospacing="0" w:after="0" w:afterAutospacing="0" w:line="240" w:lineRule="auto"/>
        <w:ind w:firstLine="640"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napToGrid/>
        <w:spacing w:before="0" w:beforeAutospacing="0" w:after="0" w:afterAutospacing="0" w:line="240" w:lineRule="auto"/>
        <w:ind w:firstLine="640" w:firstLineChars="200"/>
        <w:jc w:val="both"/>
        <w:textAlignment w:val="baseline"/>
        <w:rPr>
          <w:rStyle w:val="6"/>
          <w:rFonts w:ascii="仿宋_GB2312" w:eastAsia="仿宋_GB2312"/>
          <w:b w:val="0"/>
          <w:i w:val="0"/>
          <w:caps w:val="0"/>
          <w:spacing w:val="0"/>
          <w:w w:val="100"/>
          <w:kern w:val="2"/>
          <w:sz w:val="32"/>
          <w:szCs w:val="32"/>
          <w:lang w:val="en-US" w:eastAsia="zh-CN" w:bidi="ar-SA"/>
        </w:rPr>
      </w:pPr>
      <w:r>
        <w:rPr>
          <w:rStyle w:val="6"/>
          <w:rFonts w:ascii="仿宋_GB2312" w:eastAsia="仿宋_GB2312"/>
          <w:b w:val="0"/>
          <w:i w:val="0"/>
          <w:caps w:val="0"/>
          <w:spacing w:val="0"/>
          <w:w w:val="100"/>
          <w:kern w:val="2"/>
          <w:sz w:val="32"/>
          <w:szCs w:val="32"/>
          <w:lang w:val="en-US" w:eastAsia="zh-CN" w:bidi="ar-SA"/>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napToGrid/>
        <w:spacing w:before="0" w:beforeAutospacing="0" w:after="0" w:afterAutospacing="0" w:line="240" w:lineRule="auto"/>
        <w:ind w:firstLine="640" w:firstLineChars="200"/>
        <w:jc w:val="center"/>
        <w:textAlignment w:val="baseline"/>
        <w:rPr>
          <w:rStyle w:val="6"/>
          <w:rFonts w:ascii="黑体" w:hAnsi="黑体" w:eastAsia="黑体"/>
          <w:b w:val="0"/>
          <w:i w:val="0"/>
          <w:caps w:val="0"/>
          <w:spacing w:val="0"/>
          <w:w w:val="100"/>
          <w:kern w:val="2"/>
          <w:sz w:val="32"/>
          <w:szCs w:val="32"/>
          <w:lang w:val="en-US" w:eastAsia="zh-CN" w:bidi="ar-SA"/>
        </w:rPr>
      </w:pPr>
      <w:r>
        <w:rPr>
          <w:rStyle w:val="6"/>
          <w:rFonts w:ascii="黑体" w:hAnsi="黑体" w:eastAsia="黑体"/>
          <w:b w:val="0"/>
          <w:i w:val="0"/>
          <w:caps w:val="0"/>
          <w:spacing w:val="0"/>
          <w:w w:val="100"/>
          <w:kern w:val="2"/>
          <w:sz w:val="32"/>
          <w:szCs w:val="32"/>
          <w:lang w:val="en-US" w:eastAsia="zh-CN" w:bidi="ar-SA"/>
        </w:rPr>
        <w:t>第四部分 部门决算报表（见附表）</w:t>
      </w:r>
    </w:p>
    <w:p>
      <w:pPr>
        <w:snapToGrid/>
        <w:spacing w:before="0" w:beforeAutospacing="0" w:after="0" w:afterAutospacing="0" w:line="240" w:lineRule="auto"/>
        <w:ind w:firstLine="640" w:firstLineChars="200"/>
        <w:jc w:val="both"/>
        <w:textAlignment w:val="baseline"/>
        <w:rPr>
          <w:rStyle w:val="6"/>
          <w:rFonts w:ascii="黑体" w:hAnsi="黑体" w:eastAsia="黑体" w:cs="宋体"/>
          <w:b w:val="0"/>
          <w:bCs/>
          <w:i w:val="0"/>
          <w:caps w:val="0"/>
          <w:spacing w:val="0"/>
          <w:w w:val="100"/>
          <w:kern w:val="0"/>
          <w:sz w:val="32"/>
          <w:szCs w:val="32"/>
          <w:lang w:val="en-US" w:eastAsia="zh-CN" w:bidi="ar-SA"/>
        </w:rPr>
      </w:pPr>
      <w:r>
        <w:rPr>
          <w:rStyle w:val="6"/>
          <w:rFonts w:ascii="黑体" w:hAnsi="黑体" w:eastAsia="黑体" w:cs="宋体"/>
          <w:b w:val="0"/>
          <w:bCs/>
          <w:i w:val="0"/>
          <w:caps w:val="0"/>
          <w:spacing w:val="0"/>
          <w:w w:val="100"/>
          <w:kern w:val="0"/>
          <w:sz w:val="32"/>
          <w:szCs w:val="32"/>
          <w:lang w:val="en-US" w:eastAsia="zh-CN" w:bidi="ar-SA"/>
        </w:rPr>
        <w:t>一、《收入支出决算总表》</w:t>
      </w:r>
    </w:p>
    <w:p>
      <w:pPr>
        <w:snapToGrid/>
        <w:spacing w:before="0" w:beforeAutospacing="0" w:after="0" w:afterAutospacing="0" w:line="240" w:lineRule="auto"/>
        <w:ind w:firstLine="640" w:firstLineChars="200"/>
        <w:jc w:val="both"/>
        <w:textAlignment w:val="baseline"/>
        <w:rPr>
          <w:rStyle w:val="6"/>
          <w:rFonts w:ascii="黑体" w:hAnsi="黑体" w:eastAsia="黑体" w:cs="宋体"/>
          <w:b w:val="0"/>
          <w:bCs/>
          <w:i w:val="0"/>
          <w:caps w:val="0"/>
          <w:spacing w:val="0"/>
          <w:w w:val="100"/>
          <w:kern w:val="0"/>
          <w:sz w:val="32"/>
          <w:szCs w:val="32"/>
          <w:lang w:val="en-US" w:eastAsia="zh-CN" w:bidi="ar-SA"/>
        </w:rPr>
      </w:pPr>
      <w:r>
        <w:rPr>
          <w:rStyle w:val="6"/>
          <w:rFonts w:ascii="黑体" w:hAnsi="黑体" w:eastAsia="黑体" w:cs="宋体"/>
          <w:b w:val="0"/>
          <w:bCs/>
          <w:i w:val="0"/>
          <w:caps w:val="0"/>
          <w:spacing w:val="0"/>
          <w:w w:val="100"/>
          <w:kern w:val="0"/>
          <w:sz w:val="32"/>
          <w:szCs w:val="32"/>
          <w:lang w:val="en-US" w:eastAsia="zh-CN" w:bidi="ar-SA"/>
        </w:rPr>
        <w:t>二、《收入决算表》</w:t>
      </w:r>
    </w:p>
    <w:p>
      <w:pPr>
        <w:snapToGrid/>
        <w:spacing w:before="0" w:beforeAutospacing="0" w:after="0" w:afterAutospacing="0" w:line="240" w:lineRule="auto"/>
        <w:ind w:firstLine="640" w:firstLineChars="200"/>
        <w:jc w:val="both"/>
        <w:textAlignment w:val="baseline"/>
        <w:rPr>
          <w:rStyle w:val="6"/>
          <w:rFonts w:ascii="黑体" w:hAnsi="黑体" w:eastAsia="黑体" w:cs="宋体"/>
          <w:b w:val="0"/>
          <w:bCs/>
          <w:i w:val="0"/>
          <w:caps w:val="0"/>
          <w:spacing w:val="0"/>
          <w:w w:val="100"/>
          <w:kern w:val="0"/>
          <w:sz w:val="32"/>
          <w:szCs w:val="32"/>
          <w:lang w:val="en-US" w:eastAsia="zh-CN" w:bidi="ar-SA"/>
        </w:rPr>
      </w:pPr>
      <w:r>
        <w:rPr>
          <w:rStyle w:val="6"/>
          <w:rFonts w:ascii="黑体" w:hAnsi="黑体" w:eastAsia="黑体" w:cs="宋体"/>
          <w:b w:val="0"/>
          <w:bCs/>
          <w:i w:val="0"/>
          <w:caps w:val="0"/>
          <w:spacing w:val="0"/>
          <w:w w:val="100"/>
          <w:kern w:val="0"/>
          <w:sz w:val="32"/>
          <w:szCs w:val="32"/>
          <w:lang w:val="en-US" w:eastAsia="zh-CN" w:bidi="ar-SA"/>
        </w:rPr>
        <w:t>三、《支出决算表》</w:t>
      </w:r>
    </w:p>
    <w:p>
      <w:pPr>
        <w:snapToGrid/>
        <w:spacing w:before="0" w:beforeAutospacing="0" w:after="0" w:afterAutospacing="0" w:line="240" w:lineRule="auto"/>
        <w:ind w:firstLine="640" w:firstLineChars="200"/>
        <w:jc w:val="both"/>
        <w:textAlignment w:val="baseline"/>
        <w:rPr>
          <w:rStyle w:val="6"/>
          <w:rFonts w:ascii="黑体" w:hAnsi="黑体" w:eastAsia="黑体" w:cs="宋体"/>
          <w:b w:val="0"/>
          <w:bCs/>
          <w:i w:val="0"/>
          <w:caps w:val="0"/>
          <w:spacing w:val="0"/>
          <w:w w:val="100"/>
          <w:kern w:val="0"/>
          <w:sz w:val="32"/>
          <w:szCs w:val="32"/>
          <w:lang w:val="en-US" w:eastAsia="zh-CN" w:bidi="ar-SA"/>
        </w:rPr>
      </w:pPr>
      <w:r>
        <w:rPr>
          <w:rStyle w:val="6"/>
          <w:rFonts w:ascii="黑体" w:hAnsi="黑体" w:eastAsia="黑体" w:cs="宋体"/>
          <w:b w:val="0"/>
          <w:bCs/>
          <w:i w:val="0"/>
          <w:caps w:val="0"/>
          <w:spacing w:val="0"/>
          <w:w w:val="100"/>
          <w:kern w:val="0"/>
          <w:sz w:val="32"/>
          <w:szCs w:val="32"/>
          <w:lang w:val="en-US" w:eastAsia="zh-CN" w:bidi="ar-SA"/>
        </w:rPr>
        <w:t>四、《财政拨款收入支出决算总表》</w:t>
      </w:r>
    </w:p>
    <w:p>
      <w:pPr>
        <w:snapToGrid/>
        <w:spacing w:before="0" w:beforeAutospacing="0" w:after="0" w:afterAutospacing="0" w:line="240" w:lineRule="auto"/>
        <w:ind w:firstLine="640" w:firstLineChars="200"/>
        <w:jc w:val="both"/>
        <w:textAlignment w:val="baseline"/>
        <w:rPr>
          <w:rStyle w:val="6"/>
          <w:rFonts w:ascii="黑体" w:hAnsi="黑体" w:eastAsia="黑体" w:cs="宋体"/>
          <w:b w:val="0"/>
          <w:bCs/>
          <w:i w:val="0"/>
          <w:caps w:val="0"/>
          <w:spacing w:val="0"/>
          <w:w w:val="100"/>
          <w:kern w:val="0"/>
          <w:sz w:val="32"/>
          <w:szCs w:val="32"/>
          <w:lang w:val="en-US" w:eastAsia="zh-CN" w:bidi="ar-SA"/>
        </w:rPr>
      </w:pPr>
      <w:r>
        <w:rPr>
          <w:rStyle w:val="6"/>
          <w:rFonts w:ascii="黑体" w:hAnsi="黑体" w:eastAsia="黑体" w:cs="宋体"/>
          <w:b w:val="0"/>
          <w:bCs/>
          <w:i w:val="0"/>
          <w:caps w:val="0"/>
          <w:spacing w:val="0"/>
          <w:w w:val="100"/>
          <w:kern w:val="0"/>
          <w:sz w:val="32"/>
          <w:szCs w:val="32"/>
          <w:lang w:val="en-US" w:eastAsia="zh-CN" w:bidi="ar-SA"/>
        </w:rPr>
        <w:t>五、《一般公共预算财政拨款支出决算表》</w:t>
      </w:r>
    </w:p>
    <w:p>
      <w:pPr>
        <w:snapToGrid/>
        <w:spacing w:before="0" w:beforeAutospacing="0" w:after="0" w:afterAutospacing="0" w:line="240" w:lineRule="auto"/>
        <w:ind w:firstLine="640" w:firstLineChars="200"/>
        <w:jc w:val="both"/>
        <w:textAlignment w:val="baseline"/>
        <w:rPr>
          <w:rStyle w:val="6"/>
          <w:rFonts w:ascii="黑体" w:hAnsi="黑体" w:eastAsia="黑体" w:cs="宋体"/>
          <w:b w:val="0"/>
          <w:bCs/>
          <w:i w:val="0"/>
          <w:caps w:val="0"/>
          <w:spacing w:val="0"/>
          <w:w w:val="100"/>
          <w:kern w:val="0"/>
          <w:sz w:val="32"/>
          <w:szCs w:val="32"/>
          <w:lang w:val="en-US" w:eastAsia="zh-CN" w:bidi="ar-SA"/>
        </w:rPr>
      </w:pPr>
      <w:r>
        <w:rPr>
          <w:rStyle w:val="6"/>
          <w:rFonts w:ascii="黑体" w:hAnsi="黑体" w:eastAsia="黑体" w:cs="宋体"/>
          <w:b w:val="0"/>
          <w:bCs/>
          <w:i w:val="0"/>
          <w:caps w:val="0"/>
          <w:spacing w:val="0"/>
          <w:w w:val="100"/>
          <w:kern w:val="0"/>
          <w:sz w:val="32"/>
          <w:szCs w:val="32"/>
          <w:lang w:val="en-US" w:eastAsia="zh-CN" w:bidi="ar-SA"/>
        </w:rPr>
        <w:t>六、《一般公共预算财政拨款基本支出决算表》</w:t>
      </w:r>
    </w:p>
    <w:p>
      <w:pPr>
        <w:snapToGrid/>
        <w:spacing w:before="0" w:beforeAutospacing="0" w:after="0" w:afterAutospacing="0" w:line="240" w:lineRule="auto"/>
        <w:ind w:firstLine="640" w:firstLineChars="200"/>
        <w:jc w:val="both"/>
        <w:textAlignment w:val="baseline"/>
        <w:rPr>
          <w:rStyle w:val="6"/>
          <w:rFonts w:ascii="黑体" w:hAnsi="黑体" w:eastAsia="黑体" w:cs="宋体"/>
          <w:b w:val="0"/>
          <w:bCs/>
          <w:i w:val="0"/>
          <w:caps w:val="0"/>
          <w:spacing w:val="0"/>
          <w:w w:val="100"/>
          <w:kern w:val="0"/>
          <w:sz w:val="32"/>
          <w:szCs w:val="32"/>
          <w:lang w:val="en-US" w:eastAsia="zh-CN" w:bidi="ar-SA"/>
        </w:rPr>
      </w:pPr>
      <w:r>
        <w:rPr>
          <w:rStyle w:val="6"/>
          <w:rFonts w:ascii="黑体" w:hAnsi="黑体" w:eastAsia="黑体" w:cs="宋体"/>
          <w:b w:val="0"/>
          <w:bCs/>
          <w:i w:val="0"/>
          <w:caps w:val="0"/>
          <w:spacing w:val="0"/>
          <w:w w:val="100"/>
          <w:kern w:val="0"/>
          <w:sz w:val="32"/>
          <w:szCs w:val="32"/>
          <w:lang w:val="en-US" w:eastAsia="zh-CN" w:bidi="ar-SA"/>
        </w:rPr>
        <w:t>七、《一般公共预算财政拨款“三公”经费支出决算表》</w:t>
      </w:r>
    </w:p>
    <w:p>
      <w:pPr>
        <w:snapToGrid/>
        <w:spacing w:before="0" w:beforeAutospacing="0" w:after="0" w:afterAutospacing="0" w:line="240" w:lineRule="auto"/>
        <w:ind w:firstLine="640" w:firstLineChars="200"/>
        <w:jc w:val="both"/>
        <w:textAlignment w:val="baseline"/>
        <w:rPr>
          <w:rStyle w:val="6"/>
          <w:rFonts w:ascii="黑体" w:hAnsi="黑体" w:eastAsia="黑体" w:cs="宋体"/>
          <w:b w:val="0"/>
          <w:bCs/>
          <w:i w:val="0"/>
          <w:caps w:val="0"/>
          <w:spacing w:val="0"/>
          <w:w w:val="100"/>
          <w:kern w:val="0"/>
          <w:sz w:val="32"/>
          <w:szCs w:val="32"/>
          <w:lang w:val="en-US" w:eastAsia="zh-CN" w:bidi="ar-SA"/>
        </w:rPr>
      </w:pPr>
      <w:r>
        <w:rPr>
          <w:rStyle w:val="6"/>
          <w:rFonts w:ascii="黑体" w:hAnsi="黑体" w:eastAsia="黑体" w:cs="宋体"/>
          <w:b w:val="0"/>
          <w:bCs/>
          <w:i w:val="0"/>
          <w:caps w:val="0"/>
          <w:spacing w:val="0"/>
          <w:w w:val="100"/>
          <w:kern w:val="0"/>
          <w:sz w:val="32"/>
          <w:szCs w:val="32"/>
          <w:lang w:val="en-US" w:eastAsia="zh-CN" w:bidi="ar-SA"/>
        </w:rPr>
        <w:t>八、《政府性基金预算财政拨款收入支出决算表》</w:t>
      </w:r>
    </w:p>
    <w:p>
      <w:pPr>
        <w:snapToGrid/>
        <w:spacing w:before="0" w:beforeAutospacing="0" w:after="0" w:afterAutospacing="0" w:line="240" w:lineRule="auto"/>
        <w:ind w:firstLine="640" w:firstLineChars="200"/>
        <w:jc w:val="both"/>
        <w:textAlignment w:val="baseline"/>
        <w:rPr>
          <w:rStyle w:val="6"/>
          <w:rFonts w:ascii="黑体" w:hAnsi="黑体" w:eastAsia="黑体" w:cs="宋体"/>
          <w:b w:val="0"/>
          <w:bCs/>
          <w:i w:val="0"/>
          <w:caps w:val="0"/>
          <w:spacing w:val="0"/>
          <w:w w:val="100"/>
          <w:kern w:val="0"/>
          <w:sz w:val="32"/>
          <w:szCs w:val="32"/>
          <w:lang w:val="en-US" w:eastAsia="zh-CN" w:bidi="ar-SA"/>
        </w:rPr>
      </w:pPr>
      <w:r>
        <w:rPr>
          <w:rStyle w:val="6"/>
          <w:rFonts w:ascii="黑体" w:hAnsi="黑体" w:eastAsia="黑体" w:cs="宋体"/>
          <w:b w:val="0"/>
          <w:bCs/>
          <w:i w:val="0"/>
          <w:caps w:val="0"/>
          <w:spacing w:val="0"/>
          <w:w w:val="100"/>
          <w:kern w:val="0"/>
          <w:sz w:val="32"/>
          <w:szCs w:val="32"/>
          <w:lang w:val="en-US" w:eastAsia="zh-CN" w:bidi="ar-SA"/>
        </w:rPr>
        <w:t>九、《国有资本经营预算财政拨款收入支出决算表》</w:t>
      </w:r>
    </w:p>
    <w:p>
      <w:pPr>
        <w:snapToGrid/>
        <w:spacing w:before="0" w:beforeAutospacing="0" w:after="0" w:afterAutospacing="0" w:line="240" w:lineRule="auto"/>
        <w:ind w:firstLine="640" w:firstLineChars="200"/>
        <w:jc w:val="both"/>
        <w:textAlignment w:val="baseline"/>
        <w:rPr>
          <w:rStyle w:val="6"/>
          <w:rFonts w:ascii="黑体" w:hAnsi="黑体" w:eastAsia="黑体" w:cs="宋体"/>
          <w:b w:val="0"/>
          <w:bCs/>
          <w:i w:val="0"/>
          <w:caps w:val="0"/>
          <w:spacing w:val="0"/>
          <w:w w:val="100"/>
          <w:kern w:val="0"/>
          <w:sz w:val="32"/>
          <w:szCs w:val="32"/>
          <w:lang w:val="en-US" w:eastAsia="zh-CN" w:bidi="ar-SA"/>
        </w:rPr>
      </w:pPr>
    </w:p>
    <w:sectPr>
      <w:footerReference r:id="rId3" w:type="default"/>
      <w:pgSz w:w="11906" w:h="16838"/>
      <w:pgMar w:top="1440" w:right="1800" w:bottom="1440" w:left="1800" w:header="851" w:footer="992" w:gutter="0"/>
      <w:lnNumType w:countBy="0"/>
      <w:cols w:space="425" w:num="1"/>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10022FF" w:usb1="C000E47F" w:usb2="00000029" w:usb3="00000000" w:csb0="200001DF" w:csb1="20000000"/>
  </w:font>
  <w:font w:name="方正小标宋_GBK">
    <w:altName w:val="宋体"/>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宋体"/>
    <w:panose1 w:val="02010609060101010101"/>
    <w:charset w:val="86"/>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idowControl/>
      <w:snapToGrid w:val="0"/>
      <w:jc w:val="left"/>
      <w:textAlignment w:val="baseline"/>
      <w:rPr>
        <w:rStyle w:val="6"/>
        <w:kern w:val="2"/>
        <w:sz w:val="18"/>
        <w:szCs w:val="24"/>
        <w:lang w:val="en-US" w:eastAsia="zh-CN" w:bidi="ar-SA"/>
      </w:rPr>
    </w:pPr>
    <w:r>
      <w:rPr>
        <w:rStyle w:val="6"/>
        <w:kern w:val="2"/>
        <w:sz w:val="18"/>
        <w:szCs w:val="24"/>
        <w:lang w:val="en-US" w:eastAsia="zh-CN" w:bidi="ar-SA"/>
      </w:rPr>
      <w:pict>
        <v:shape id="_x0000_s4097" o:spid="_x0000_s4097" o:spt="202" type="#_x0000_t202" style="position:absolute;left:0pt;margin-top:0pt;height:144pt;width:144pt;mso-position-horizontal:center;mso-position-horizontal-relative:margin;z-index:524288;mso-width-relative:page;mso-height-relative:page;" filled="f" stroked="f" coordsize="21600,21600">
          <v:path/>
          <v:fill on="f" focussize="0,0"/>
          <v:stroke on="f"/>
          <v:imagedata o:title=""/>
          <o:lock v:ext="edit"/>
          <v:textbox inset="0mm,0mm,0mm,0mm">
            <w:txbxContent>
              <w:p>
                <w:pPr>
                  <w:pStyle w:val="2"/>
                  <w:widowControl/>
                  <w:snapToGrid w:val="0"/>
                  <w:jc w:val="left"/>
                  <w:textAlignment w:val="baseline"/>
                  <w:rPr>
                    <w:rStyle w:val="6"/>
                    <w:kern w:val="2"/>
                    <w:sz w:val="18"/>
                    <w:szCs w:val="24"/>
                    <w:lang w:val="en-US" w:eastAsia="zh-CN" w:bidi="ar-SA"/>
                  </w:rPr>
                </w:pPr>
              </w:p>
              <w:p>
                <w:pPr>
                  <w:jc w:val="both"/>
                  <w:textAlignment w:val="baseline"/>
                  <w:rPr>
                    <w:rStyle w:val="6"/>
                    <w:kern w:val="2"/>
                    <w:sz w:val="21"/>
                    <w:szCs w:val="24"/>
                    <w:lang w:val="en-US" w:eastAsia="zh-CN" w:bidi="ar-SA"/>
                  </w:rPr>
                </w:pP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isplayHorizontalDrawingGridEvery w:val="1"/>
  <w:displayVerticalDrawingGridEvery w:val="1"/>
  <w:doNotUseMarginsForDrawingGridOrigin w:val="1"/>
  <w:drawingGridHorizontalOrigin w:val="1800"/>
  <w:drawingGridVerticalOrigin w:val="1440"/>
  <w:hdrShapeDefaults>
    <o:shapelayout v:ext="edit">
      <o:idmap v:ext="edit" data="3,4"/>
    </o:shapelayout>
  </w:hdrShapeDefaults>
  <w:compat>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rsids>
    <w:rsidRoot w:val="00000000"/>
    <w:rsid w:val="1BB124CE"/>
    <w:rsid w:val="3B263B1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6"/>
    <w:qFormat/>
    <w:uiPriority w:val="0"/>
    <w:pPr>
      <w:jc w:val="both"/>
      <w:textAlignment w:val="baseline"/>
    </w:pPr>
    <w:rPr>
      <w:rFonts w:ascii="Times New Roman" w:hAnsi="Times New Roman" w:eastAsia="宋体"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textAlignment w:val="baseline"/>
    </w:pPr>
    <w:rPr>
      <w:kern w:val="2"/>
      <w:sz w:val="18"/>
      <w:szCs w:val="24"/>
      <w:lang w:val="en-US" w:eastAsia="zh-CN" w:bidi="ar-SA"/>
    </w:rPr>
  </w:style>
  <w:style w:type="paragraph" w:styleId="3">
    <w:name w:val="header"/>
    <w:basedOn w:val="1"/>
    <w:qFormat/>
    <w:uiPriority w:val="0"/>
    <w:pPr>
      <w:pBdr>
        <w:top w:val="none" w:color="000000" w:sz="0" w:space="1"/>
        <w:left w:val="none" w:color="000000" w:sz="0" w:space="4"/>
        <w:bottom w:val="none" w:color="000000" w:sz="0" w:space="1"/>
        <w:right w:val="none" w:color="000000" w:sz="0" w:space="4"/>
      </w:pBdr>
      <w:tabs>
        <w:tab w:val="center" w:pos="4153"/>
        <w:tab w:val="right" w:pos="8306"/>
      </w:tabs>
      <w:snapToGrid w:val="0"/>
      <w:spacing w:line="240" w:lineRule="auto"/>
      <w:jc w:val="both"/>
      <w:textAlignment w:val="baseline"/>
    </w:pPr>
    <w:rPr>
      <w:kern w:val="2"/>
      <w:sz w:val="18"/>
      <w:szCs w:val="24"/>
      <w:lang w:val="en-US" w:eastAsia="zh-CN" w:bidi="ar-SA"/>
    </w:rPr>
  </w:style>
  <w:style w:type="character" w:customStyle="1" w:styleId="6">
    <w:name w:val="NormalCharacter"/>
    <w:link w:val="1"/>
    <w:semiHidden/>
    <w:qFormat/>
    <w:uiPriority w:val="0"/>
  </w:style>
  <w:style w:type="table" w:customStyle="1" w:styleId="7">
    <w:name w:val="TableNormal"/>
    <w:semiHidden/>
    <w:qFormat/>
    <w:uiPriority w:val="0"/>
  </w:style>
  <w:style w:type="paragraph" w:customStyle="1" w:styleId="8">
    <w:name w:val="TOC3"/>
    <w:basedOn w:val="1"/>
    <w:next w:val="1"/>
    <w:qFormat/>
    <w:uiPriority w:val="0"/>
    <w:pPr>
      <w:ind w:left="840" w:leftChars="400"/>
      <w:jc w:val="both"/>
      <w:textAlignment w:val="baseline"/>
    </w:pPr>
  </w:style>
  <w:style w:type="paragraph" w:customStyle="1" w:styleId="9">
    <w:name w:val="TOC1"/>
    <w:basedOn w:val="1"/>
    <w:next w:val="1"/>
    <w:qFormat/>
    <w:uiPriority w:val="0"/>
    <w:pPr>
      <w:jc w:val="both"/>
      <w:textAlignment w:val="baseline"/>
    </w:pPr>
  </w:style>
  <w:style w:type="paragraph" w:customStyle="1" w:styleId="10">
    <w:name w:val="UserStyle_0"/>
    <w:qFormat/>
    <w:uiPriority w:val="0"/>
    <w:pPr>
      <w:widowControl/>
      <w:ind w:leftChars="400"/>
      <w:textAlignment w:val="baseline"/>
    </w:pPr>
    <w:rPr>
      <w:rFonts w:ascii="Times New Roman" w:hAnsi="Times New Roman" w:eastAsia="宋体" w:cstheme="minorBidi"/>
      <w:lang w:val="en-US" w:eastAsia="zh-CN" w:bidi="ar-SA"/>
    </w:rPr>
  </w:style>
  <w:style w:type="paragraph" w:customStyle="1" w:styleId="11">
    <w:name w:val="AnnotationText"/>
    <w:basedOn w:val="1"/>
    <w:qFormat/>
    <w:uiPriority w:val="0"/>
    <w:pPr>
      <w:jc w:val="left"/>
      <w:textAlignment w:val="baseline"/>
    </w:pPr>
  </w:style>
  <w:style w:type="paragraph" w:customStyle="1" w:styleId="12">
    <w:name w:val="TOC2"/>
    <w:basedOn w:val="1"/>
    <w:next w:val="1"/>
    <w:qFormat/>
    <w:uiPriority w:val="0"/>
    <w:pPr>
      <w:ind w:left="420" w:leftChars="200"/>
      <w:jc w:val="both"/>
      <w:textAlignment w:val="baseline"/>
    </w:pPr>
  </w:style>
  <w:style w:type="paragraph" w:customStyle="1" w:styleId="13">
    <w:name w:val="UserStyle_1"/>
    <w:qFormat/>
    <w:uiPriority w:val="0"/>
    <w:pPr>
      <w:widowControl/>
      <w:textAlignment w:val="baseline"/>
    </w:pPr>
    <w:rPr>
      <w:rFonts w:ascii="Times New Roman" w:hAnsi="Times New Roman" w:eastAsia="宋体" w:cstheme="minorBidi"/>
      <w:lang w:val="en-US" w:eastAsia="zh-CN" w:bidi="ar-SA"/>
    </w:rPr>
  </w:style>
  <w:style w:type="paragraph" w:customStyle="1" w:styleId="14">
    <w:name w:val="UserStyle_2"/>
    <w:qFormat/>
    <w:uiPriority w:val="0"/>
    <w:pPr>
      <w:widowControl/>
      <w:ind w:leftChars="200"/>
      <w:textAlignment w:val="baseline"/>
    </w:pPr>
    <w:rPr>
      <w:rFonts w:ascii="Times New Roman" w:hAnsi="Times New Roman" w:eastAsia="宋体" w:cstheme="minorBidi"/>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Office_11.1.0.10314_F1E327BC-269C-435d-A152-05C5408002CA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2021-08-12T09:49:00Z</dcterms:created>
  <dc:creator>Administrator</dc:creator>
  <cp:lastModifiedBy>Administrator</cp:lastModifiedBy>
  <dcterms:modified xsi:type="dcterms:W3CDTF">2021-09-02T12:11:07Z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