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方正仿宋简体" w:hAnsi="方正小标宋简体" w:eastAsia="方正仿宋简体" w:cs="方正小标宋简体"/>
          <w:sz w:val="44"/>
          <w:szCs w:val="44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和田地区自然资源局2021年度政府信息公开工作报告</w:t>
      </w:r>
    </w:p>
    <w:p>
      <w:pPr>
        <w:spacing w:line="560" w:lineRule="exact"/>
        <w:ind w:firstLine="640" w:firstLineChars="200"/>
        <w:jc w:val="left"/>
        <w:rPr>
          <w:rFonts w:hint="eastAsia" w:ascii="方正仿宋简体" w:hAnsi="仿宋_GB2312" w:eastAsia="方正仿宋简体" w:cs="仿宋_GB2312"/>
          <w:sz w:val="32"/>
          <w:szCs w:val="32"/>
        </w:rPr>
      </w:pPr>
    </w:p>
    <w:p>
      <w:pPr>
        <w:pStyle w:val="12"/>
        <w:widowControl/>
        <w:shd w:val="clear" w:color="auto" w:fill="FFFFFF"/>
        <w:spacing w:beforeAutospacing="0" w:after="0" w:afterAutospacing="0"/>
        <w:ind w:firstLine="640" w:firstLineChars="200"/>
        <w:rPr>
          <w:rFonts w:hint="eastAsia" w:ascii="方正仿宋简体" w:hAnsi="宋体" w:eastAsia="方正仿宋简体" w:cs="宋体"/>
          <w:color w:val="333333"/>
          <w:sz w:val="32"/>
          <w:szCs w:val="32"/>
        </w:rPr>
      </w:pPr>
      <w:r>
        <w:rPr>
          <w:rFonts w:hint="eastAsia" w:ascii="方正仿宋简体" w:hAnsi="仿宋_GB2312" w:eastAsia="方正仿宋简体" w:cs="仿宋_GB2312"/>
          <w:sz w:val="32"/>
          <w:szCs w:val="32"/>
        </w:rPr>
        <w:t>2021年，和田地区自然资源局</w:t>
      </w:r>
      <w:r>
        <w:rPr>
          <w:rFonts w:hint="eastAsia" w:ascii="方正仿宋简体" w:hAnsi="宋体" w:eastAsia="方正仿宋简体" w:cs="宋体"/>
          <w:color w:val="000000"/>
          <w:kern w:val="0"/>
          <w:sz w:val="32"/>
          <w:szCs w:val="32"/>
        </w:rPr>
        <w:t>认真贯彻落实党的十九大、十九届六中全会和习近平总书记系列重要讲话精神，严格按照行署关于政府信息公开工作安排，</w:t>
      </w:r>
      <w:r>
        <w:rPr>
          <w:rFonts w:hint="eastAsia" w:ascii="方正仿宋简体" w:hAnsi="仿宋_GB2312" w:eastAsia="方正仿宋简体" w:cs="仿宋_GB2312"/>
          <w:sz w:val="32"/>
          <w:szCs w:val="32"/>
        </w:rPr>
        <w:t>根据</w:t>
      </w:r>
      <w:r>
        <w:rPr>
          <w:rFonts w:hint="eastAsia" w:ascii="方正仿宋简体" w:hAnsi="仿宋_GB2312" w:eastAsia="方正仿宋简体" w:cs="仿宋_GB2312"/>
          <w:color w:val="333333"/>
          <w:sz w:val="32"/>
          <w:szCs w:val="32"/>
          <w:shd w:val="clear" w:color="auto" w:fill="FFFFFF"/>
        </w:rPr>
        <w:t>《中华人民共和国政府信息公开条例》的工作要求，</w:t>
      </w:r>
      <w:r>
        <w:rPr>
          <w:rFonts w:hint="eastAsia" w:ascii="方正仿宋简体" w:hAnsi="宋体" w:eastAsia="方正仿宋简体" w:cs="宋体"/>
          <w:color w:val="000000"/>
          <w:kern w:val="0"/>
          <w:sz w:val="32"/>
          <w:szCs w:val="32"/>
        </w:rPr>
        <w:t>及时做好本部门执法督察、行政许可等相关信息发布及更新，不断提高信息公开质量，现将现将具体情况报告如下</w:t>
      </w:r>
      <w:r>
        <w:rPr>
          <w:rFonts w:hint="eastAsia" w:ascii="方正仿宋简体" w:hAnsi="仿宋_GB2312" w:eastAsia="方正仿宋简体" w:cs="仿宋_GB2312"/>
          <w:color w:val="333333"/>
          <w:sz w:val="32"/>
          <w:szCs w:val="32"/>
          <w:shd w:val="clear" w:color="auto" w:fill="FFFFFF"/>
        </w:rPr>
        <w:t>。</w:t>
      </w:r>
    </w:p>
    <w:p>
      <w:pPr>
        <w:pStyle w:val="12"/>
        <w:widowControl/>
        <w:shd w:val="clear" w:color="auto" w:fill="FFFFFF"/>
        <w:spacing w:beforeAutospacing="0" w:after="0" w:afterAutospacing="0"/>
        <w:ind w:firstLine="642" w:firstLineChars="200"/>
        <w:rPr>
          <w:rFonts w:hint="eastAsia" w:ascii="方正仿宋简体" w:hAnsi="宋体" w:eastAsia="方正仿宋简体" w:cs="宋体"/>
          <w:color w:val="333333"/>
          <w:sz w:val="32"/>
          <w:szCs w:val="32"/>
        </w:rPr>
      </w:pPr>
      <w:r>
        <w:rPr>
          <w:rFonts w:hint="eastAsia" w:ascii="方正仿宋简体" w:hAnsi="宋体" w:eastAsia="方正仿宋简体" w:cs="宋体"/>
          <w:b/>
          <w:color w:val="333333"/>
          <w:sz w:val="32"/>
          <w:szCs w:val="32"/>
          <w:shd w:val="clear" w:color="auto" w:fill="FFFFFF"/>
        </w:rPr>
        <w:t>一、总体情况</w:t>
      </w:r>
    </w:p>
    <w:p>
      <w:pPr>
        <w:pStyle w:val="12"/>
        <w:widowControl/>
        <w:shd w:val="clear" w:color="auto" w:fill="FFFFFF"/>
        <w:spacing w:beforeAutospacing="0" w:after="0" w:afterAutospacing="0"/>
        <w:ind w:firstLine="640" w:firstLineChars="200"/>
        <w:rPr>
          <w:rFonts w:hint="eastAsia" w:ascii="方正仿宋简体" w:hAnsi="仿宋_GB2312" w:eastAsia="方正仿宋简体" w:cs="仿宋_GB2312"/>
          <w:color w:val="000000"/>
          <w:kern w:val="0"/>
          <w:sz w:val="32"/>
          <w:szCs w:val="32"/>
        </w:rPr>
      </w:pPr>
      <w:r>
        <w:rPr>
          <w:rFonts w:hint="eastAsia" w:ascii="方正仿宋简体" w:hAnsi="楷体_GB2312" w:eastAsia="方正仿宋简体" w:cs="楷体_GB2312"/>
          <w:color w:val="333333"/>
          <w:sz w:val="32"/>
          <w:szCs w:val="32"/>
          <w:shd w:val="clear" w:color="auto" w:fill="FFFFFF"/>
        </w:rPr>
        <w:t>（一）</w:t>
      </w:r>
      <w:r>
        <w:rPr>
          <w:rFonts w:hint="eastAsia" w:ascii="方正仿宋简体" w:hAnsi="楷体_GB2312" w:eastAsia="方正仿宋简体" w:cs="楷体_GB2312"/>
          <w:color w:val="000000"/>
          <w:kern w:val="0"/>
          <w:sz w:val="32"/>
          <w:szCs w:val="32"/>
        </w:rPr>
        <w:t>法规学习及行政复议案件事项。</w:t>
      </w:r>
      <w:r>
        <w:rPr>
          <w:rFonts w:hint="eastAsia" w:ascii="方正仿宋简体" w:hAnsi="仿宋_GB2312" w:eastAsia="方正仿宋简体" w:cs="仿宋_GB2312"/>
          <w:color w:val="000000"/>
          <w:kern w:val="0"/>
          <w:sz w:val="32"/>
          <w:szCs w:val="32"/>
        </w:rPr>
        <w:t>一是在局域网及互联网学习平台对</w:t>
      </w:r>
      <w:r>
        <w:rPr>
          <w:rFonts w:hint="eastAsia" w:ascii="方正仿宋简体" w:hAnsi="仿宋_GB2312" w:eastAsia="方正仿宋简体" w:cs="仿宋_GB2312"/>
          <w:color w:val="000000"/>
          <w:kern w:val="0"/>
          <w:sz w:val="32"/>
          <w:szCs w:val="32"/>
          <w:lang w:eastAsia="zh-CN"/>
        </w:rPr>
        <w:t>《中华人民共和国土地管理法》</w:t>
      </w:r>
      <w:bookmarkStart w:id="0" w:name="_GoBack"/>
      <w:bookmarkEnd w:id="0"/>
      <w:r>
        <w:rPr>
          <w:rFonts w:hint="eastAsia" w:ascii="方正仿宋简体" w:hAnsi="仿宋_GB2312" w:eastAsia="方正仿宋简体" w:cs="仿宋_GB2312"/>
          <w:color w:val="000000"/>
          <w:kern w:val="0"/>
          <w:sz w:val="32"/>
          <w:szCs w:val="32"/>
        </w:rPr>
        <w:t>《中华人民共和国矿产资源法》等法律法规进行公布、宣传，并组织系统干部职工全员学习。</w:t>
      </w:r>
      <w:r>
        <w:rPr>
          <w:rFonts w:hint="eastAsia" w:ascii="方正仿宋简体" w:hAnsi="仿宋_GB2312" w:eastAsia="方正仿宋简体" w:cs="仿宋_GB2312"/>
          <w:b/>
          <w:bCs/>
          <w:color w:val="000000"/>
          <w:kern w:val="0"/>
          <w:sz w:val="32"/>
          <w:szCs w:val="32"/>
        </w:rPr>
        <w:t>二是</w:t>
      </w:r>
      <w:r>
        <w:rPr>
          <w:rFonts w:hint="eastAsia" w:ascii="方正仿宋简体" w:hAnsi="仿宋_GB2312" w:eastAsia="方正仿宋简体" w:cs="仿宋_GB2312"/>
          <w:color w:val="000000"/>
          <w:kern w:val="0"/>
          <w:sz w:val="32"/>
          <w:szCs w:val="32"/>
        </w:rPr>
        <w:t>2021年度办理行政复议案件3件，均已办结、公开。无依申请公开办理、依申请公开行政复议等情况。</w:t>
      </w:r>
    </w:p>
    <w:p>
      <w:pPr>
        <w:pStyle w:val="12"/>
        <w:widowControl/>
        <w:shd w:val="clear" w:color="auto" w:fill="FFFFFF"/>
        <w:spacing w:beforeAutospacing="0" w:afterAutospacing="0"/>
        <w:ind w:firstLine="640" w:firstLineChars="200"/>
        <w:rPr>
          <w:rFonts w:hint="eastAsia" w:ascii="方正仿宋简体" w:hAnsi="仿宋_GB2312" w:eastAsia="方正仿宋简体" w:cs="仿宋_GB2312"/>
          <w:color w:val="000000"/>
          <w:kern w:val="0"/>
          <w:sz w:val="32"/>
          <w:szCs w:val="32"/>
        </w:rPr>
      </w:pPr>
      <w:r>
        <w:rPr>
          <w:rFonts w:hint="eastAsia" w:ascii="方正仿宋简体" w:hAnsi="楷体_GB2312" w:eastAsia="方正仿宋简体" w:cs="楷体_GB2312"/>
          <w:color w:val="000000"/>
          <w:kern w:val="0"/>
          <w:sz w:val="32"/>
          <w:szCs w:val="32"/>
        </w:rPr>
        <w:t>(二）行政审批及行政许可事项。</w:t>
      </w:r>
      <w:r>
        <w:rPr>
          <w:rFonts w:hint="eastAsia" w:ascii="方正仿宋简体" w:hAnsi="楷体_GB2312" w:eastAsia="方正仿宋简体" w:cs="楷体_GB2312"/>
          <w:b/>
          <w:bCs/>
          <w:color w:val="000000"/>
          <w:kern w:val="0"/>
          <w:sz w:val="32"/>
          <w:szCs w:val="32"/>
        </w:rPr>
        <w:t>一是</w:t>
      </w:r>
      <w:r>
        <w:rPr>
          <w:rFonts w:hint="eastAsia" w:ascii="方正仿宋简体" w:hAnsi="仿宋_GB2312" w:eastAsia="方正仿宋简体" w:cs="仿宋_GB2312"/>
          <w:color w:val="000000"/>
          <w:kern w:val="0"/>
          <w:sz w:val="32"/>
          <w:szCs w:val="32"/>
        </w:rPr>
        <w:t>2021年1-11月共行政审批或转报和田县田园综合体、民丰县易地搬迁等建设项目用地报件108件，面积1096.3148公顷。</w:t>
      </w:r>
      <w:r>
        <w:rPr>
          <w:rFonts w:hint="eastAsia" w:ascii="方正仿宋简体" w:hAnsi="仿宋_GB2312" w:eastAsia="方正仿宋简体" w:cs="仿宋_GB2312"/>
          <w:b/>
          <w:bCs/>
          <w:color w:val="000000"/>
          <w:kern w:val="0"/>
          <w:sz w:val="32"/>
          <w:szCs w:val="32"/>
        </w:rPr>
        <w:t>二是</w:t>
      </w:r>
      <w:r>
        <w:rPr>
          <w:rFonts w:hint="eastAsia" w:ascii="方正仿宋简体" w:hAnsi="仿宋_GB2312" w:eastAsia="方正仿宋简体"/>
          <w:bCs/>
          <w:sz w:val="32"/>
        </w:rPr>
        <w:t>推动规划用地“多审合一、多证合一”改革措施落地，进一步落实深化“放管服”和优化营商环境要求，整合相关职能，精简建设项目审批流程，促进审批服务提质增效，</w:t>
      </w:r>
      <w:r>
        <w:rPr>
          <w:rFonts w:hint="eastAsia" w:ascii="方正仿宋简体" w:hAnsi="仿宋_GB2312" w:eastAsia="方正仿宋简体" w:cs="仿宋_GB2312"/>
          <w:color w:val="000000"/>
          <w:kern w:val="0"/>
          <w:sz w:val="32"/>
          <w:szCs w:val="32"/>
        </w:rPr>
        <w:t>核发预审与选址意见书10件，涉及地区水利交通等重大建设项目。三是2021年根据勘查开采企事业单位申请，共办理探矿权行政许可17件、采矿权行政许可6件。</w:t>
      </w:r>
    </w:p>
    <w:p>
      <w:pPr>
        <w:pStyle w:val="12"/>
        <w:widowControl/>
        <w:shd w:val="clear" w:color="auto" w:fill="FFFFFF"/>
        <w:spacing w:beforeAutospacing="0" w:after="0" w:afterAutospacing="0"/>
        <w:ind w:firstLine="642" w:firstLineChars="200"/>
        <w:rPr>
          <w:rFonts w:hint="eastAsia" w:ascii="方正仿宋简体" w:hAnsi="黑体" w:eastAsia="方正仿宋简体" w:cs="黑体"/>
          <w:color w:val="333333"/>
          <w:sz w:val="32"/>
          <w:szCs w:val="32"/>
        </w:rPr>
      </w:pPr>
      <w:r>
        <w:rPr>
          <w:rFonts w:hint="eastAsia" w:ascii="方正仿宋简体" w:hAnsi="黑体" w:eastAsia="方正仿宋简体" w:cs="黑体"/>
          <w:b/>
          <w:color w:val="333333"/>
          <w:sz w:val="32"/>
          <w:szCs w:val="32"/>
          <w:shd w:val="clear" w:color="auto" w:fill="FFFFFF"/>
        </w:rPr>
        <w:t>二、主动公开政府信息情况</w:t>
      </w:r>
    </w:p>
    <w:tbl>
      <w:tblPr>
        <w:tblStyle w:val="13"/>
        <w:tblpPr w:leftFromText="180" w:rightFromText="180" w:vertAnchor="text" w:horzAnchor="page" w:tblpX="2071" w:tblpY="144"/>
        <w:tblOverlap w:val="never"/>
        <w:tblW w:w="7937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84"/>
        <w:gridCol w:w="1985"/>
        <w:gridCol w:w="1984"/>
        <w:gridCol w:w="1984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7937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第二十条第（一）项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98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19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本年</w:t>
            </w: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制发件数</w:t>
            </w:r>
          </w:p>
        </w:tc>
        <w:tc>
          <w:tcPr>
            <w:tcW w:w="198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本年废止件数</w:t>
            </w:r>
          </w:p>
        </w:tc>
        <w:tc>
          <w:tcPr>
            <w:tcW w:w="198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现行有效件</w:t>
            </w: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数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98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规章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　　0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宋体" w:hAnsi="宋体" w:eastAsia="方正仿宋简体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　0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98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行政规范性文件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　　0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宋体" w:hAnsi="宋体" w:eastAsia="方正仿宋简体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　0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7937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第二十条第（五）项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98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595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本年处理决定数量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98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行政许可</w:t>
            </w:r>
          </w:p>
        </w:tc>
        <w:tc>
          <w:tcPr>
            <w:tcW w:w="595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131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7937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第二十条第（六）项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98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5953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本年处理决定数量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98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行政处罚</w:t>
            </w:r>
          </w:p>
        </w:tc>
        <w:tc>
          <w:tcPr>
            <w:tcW w:w="595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2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98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行政强制</w:t>
            </w:r>
          </w:p>
        </w:tc>
        <w:tc>
          <w:tcPr>
            <w:tcW w:w="595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　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7937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第二十条第（八）项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98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5953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本年收费金额（单位：万元）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98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行政事业性收费</w:t>
            </w:r>
          </w:p>
        </w:tc>
        <w:tc>
          <w:tcPr>
            <w:tcW w:w="5953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0"/>
                <w:szCs w:val="20"/>
              </w:rPr>
            </w:pPr>
            <w:r>
              <w:rPr>
                <w:rFonts w:hint="eastAsia" w:ascii="方正仿宋简体" w:eastAsia="方正仿宋简体"/>
                <w:sz w:val="20"/>
                <w:szCs w:val="20"/>
              </w:rPr>
              <w:t>0</w:t>
            </w:r>
          </w:p>
        </w:tc>
      </w:tr>
    </w:tbl>
    <w:p>
      <w:pPr>
        <w:pStyle w:val="12"/>
        <w:widowControl/>
        <w:shd w:val="clear" w:color="auto" w:fill="FFFFFF"/>
        <w:spacing w:beforeAutospacing="0" w:after="0" w:afterAutospacing="0"/>
        <w:ind w:firstLine="420"/>
        <w:rPr>
          <w:rFonts w:hint="eastAsia" w:ascii="方正仿宋简体" w:hAnsi="宋体" w:eastAsia="方正仿宋简体" w:cs="宋体"/>
          <w:color w:val="333333"/>
        </w:rPr>
      </w:pPr>
    </w:p>
    <w:p>
      <w:pPr>
        <w:pStyle w:val="12"/>
        <w:widowControl/>
        <w:shd w:val="clear" w:color="auto" w:fill="FFFFFF"/>
        <w:spacing w:beforeAutospacing="0" w:after="0" w:afterAutospacing="0"/>
        <w:ind w:firstLine="642" w:firstLineChars="200"/>
        <w:rPr>
          <w:rFonts w:hint="eastAsia" w:ascii="方正仿宋简体" w:hAnsi="黑体" w:eastAsia="方正仿宋简体" w:cs="黑体"/>
          <w:color w:val="333333"/>
          <w:sz w:val="32"/>
          <w:szCs w:val="32"/>
        </w:rPr>
      </w:pPr>
      <w:r>
        <w:rPr>
          <w:rFonts w:hint="eastAsia" w:ascii="方正仿宋简体" w:hAnsi="黑体" w:eastAsia="方正仿宋简体" w:cs="黑体"/>
          <w:b/>
          <w:color w:val="333333"/>
          <w:sz w:val="32"/>
          <w:szCs w:val="32"/>
          <w:shd w:val="clear" w:color="auto" w:fill="FFFFFF"/>
        </w:rPr>
        <w:t>三、收到和处理政府信息公开申请情况</w:t>
      </w:r>
    </w:p>
    <w:p>
      <w:pPr>
        <w:pStyle w:val="12"/>
        <w:widowControl/>
        <w:shd w:val="clear" w:color="auto" w:fill="FFFFFF"/>
        <w:spacing w:beforeAutospacing="0" w:after="0" w:afterAutospacing="0"/>
        <w:ind w:firstLine="420"/>
        <w:rPr>
          <w:rFonts w:hint="eastAsia" w:ascii="方正仿宋简体" w:hAnsi="宋体" w:eastAsia="方正仿宋简体" w:cs="宋体"/>
          <w:color w:val="333333"/>
        </w:rPr>
      </w:pPr>
    </w:p>
    <w:tbl>
      <w:tblPr>
        <w:tblStyle w:val="13"/>
        <w:tblW w:w="8504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76"/>
        <w:gridCol w:w="828"/>
        <w:gridCol w:w="2870"/>
        <w:gridCol w:w="608"/>
        <w:gridCol w:w="608"/>
        <w:gridCol w:w="609"/>
        <w:gridCol w:w="608"/>
        <w:gridCol w:w="609"/>
        <w:gridCol w:w="609"/>
        <w:gridCol w:w="479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4374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楷体" w:eastAsia="方正仿宋简体" w:cs="楷体"/>
                <w:kern w:val="0"/>
                <w:sz w:val="20"/>
                <w:szCs w:val="20"/>
              </w:rPr>
              <w:t>（本列数据的勾稽关系为：第一项加第二项之和，等于第三项加第四项之和）</w:t>
            </w:r>
          </w:p>
        </w:tc>
        <w:tc>
          <w:tcPr>
            <w:tcW w:w="4130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申请人情况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4374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608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自然人</w:t>
            </w:r>
          </w:p>
        </w:tc>
        <w:tc>
          <w:tcPr>
            <w:tcW w:w="3043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法人或其他组织</w:t>
            </w:r>
          </w:p>
        </w:tc>
        <w:tc>
          <w:tcPr>
            <w:tcW w:w="479" w:type="dxa"/>
            <w:vMerge w:val="restart"/>
            <w:tcBorders>
              <w:top w:val="single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总计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4374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60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商业</w:t>
            </w:r>
          </w:p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企业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科研</w:t>
            </w:r>
          </w:p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机构</w:t>
            </w:r>
          </w:p>
        </w:tc>
        <w:tc>
          <w:tcPr>
            <w:tcW w:w="60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社会公益组织</w:t>
            </w:r>
          </w:p>
        </w:tc>
        <w:tc>
          <w:tcPr>
            <w:tcW w:w="60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法律服务机构</w:t>
            </w:r>
          </w:p>
        </w:tc>
        <w:tc>
          <w:tcPr>
            <w:tcW w:w="60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其他</w:t>
            </w:r>
          </w:p>
        </w:tc>
        <w:tc>
          <w:tcPr>
            <w:tcW w:w="479" w:type="dxa"/>
            <w:vMerge w:val="continue"/>
            <w:tcBorders>
              <w:top w:val="single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4374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一、本年新收政府信息公开申请数量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4374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二、上年结转政府信息公开申请数量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676" w:type="dxa"/>
            <w:vMerge w:val="restart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三、本年度办理结果</w:t>
            </w:r>
          </w:p>
        </w:tc>
        <w:tc>
          <w:tcPr>
            <w:tcW w:w="3698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（一）予以公开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47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67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3698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（二）部分公开</w:t>
            </w:r>
            <w:r>
              <w:rPr>
                <w:rFonts w:hint="eastAsia" w:ascii="方正仿宋简体" w:hAnsi="楷体" w:eastAsia="方正仿宋简体" w:cs="楷体"/>
                <w:kern w:val="0"/>
                <w:sz w:val="20"/>
                <w:szCs w:val="20"/>
              </w:rPr>
              <w:t>（区分处理的，只计这一情形，不计其他情形）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67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828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（三）不予公开</w:t>
            </w:r>
          </w:p>
        </w:tc>
        <w:tc>
          <w:tcPr>
            <w:tcW w:w="2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1.属于国家秘密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47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67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828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2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2.其他法律行政法规禁止公开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67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828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2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3.危及“三安全一稳定”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67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828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2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4.保护第三方合法权益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67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828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2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5.属于三类内部事务信息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67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828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2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6.属于四类过程性信息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67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828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2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7.属于行政执法案卷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67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828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2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8.属于行政查询事项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67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828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（四）无法提供</w:t>
            </w:r>
          </w:p>
        </w:tc>
        <w:tc>
          <w:tcPr>
            <w:tcW w:w="2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1.本机关不掌握相关政府信息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67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828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2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2.没有现成信息需要另行制作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67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828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2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3.补正后申请内容仍不明确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67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828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（五）不予处理</w:t>
            </w:r>
          </w:p>
        </w:tc>
        <w:tc>
          <w:tcPr>
            <w:tcW w:w="2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1.信访举报投诉类申请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67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828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2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2.重复申请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67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828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2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3.要求提供公开出版物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67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828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2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4.无正当理由大量反复申请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  <w:jc w:val="center"/>
        </w:trPr>
        <w:tc>
          <w:tcPr>
            <w:tcW w:w="67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828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2870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5.要求行政机关确认或重新出具已获取信息</w:t>
            </w:r>
          </w:p>
        </w:tc>
        <w:tc>
          <w:tcPr>
            <w:tcW w:w="60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67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828" w:type="dxa"/>
            <w:vMerge w:val="restart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（六）其他处理</w:t>
            </w:r>
          </w:p>
        </w:tc>
        <w:tc>
          <w:tcPr>
            <w:tcW w:w="2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1.申请人无正当理由逾期不补正、行政机关不再处理其政府信息公开申请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67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828" w:type="dxa"/>
            <w:vMerge w:val="continue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2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2.申请人逾期未按收费通知要求缴纳费用、行政机关不再处理其政府信息公开申请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67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828" w:type="dxa"/>
            <w:vMerge w:val="continue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2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3.其他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676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3698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（七）总计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4374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四、结转下年度继续办理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  <w:sz w:val="24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</w:tr>
    </w:tbl>
    <w:p>
      <w:pPr>
        <w:widowControl/>
        <w:shd w:val="clear" w:color="auto" w:fill="FFFFFF"/>
        <w:jc w:val="center"/>
        <w:rPr>
          <w:rFonts w:hint="eastAsia" w:ascii="方正仿宋简体" w:hAnsi="宋体" w:eastAsia="方正仿宋简体" w:cs="宋体"/>
          <w:color w:val="333333"/>
          <w:sz w:val="24"/>
        </w:rPr>
      </w:pPr>
    </w:p>
    <w:p>
      <w:pPr>
        <w:pStyle w:val="12"/>
        <w:widowControl/>
        <w:shd w:val="clear" w:color="auto" w:fill="FFFFFF"/>
        <w:spacing w:beforeAutospacing="0" w:after="0" w:afterAutospacing="0"/>
        <w:ind w:firstLine="640" w:firstLineChars="200"/>
        <w:rPr>
          <w:rFonts w:hint="eastAsia" w:ascii="方正仿宋简体" w:hAnsi="黑体" w:eastAsia="方正仿宋简体" w:cs="黑体"/>
          <w:color w:val="333333"/>
          <w:sz w:val="32"/>
          <w:szCs w:val="32"/>
        </w:rPr>
      </w:pPr>
      <w:r>
        <w:rPr>
          <w:rFonts w:hint="eastAsia" w:ascii="方正仿宋简体" w:hAnsi="黑体" w:eastAsia="方正仿宋简体" w:cs="黑体"/>
          <w:bCs/>
          <w:color w:val="333333"/>
          <w:sz w:val="32"/>
          <w:szCs w:val="32"/>
          <w:shd w:val="clear" w:color="auto" w:fill="FFFFFF"/>
        </w:rPr>
        <w:t>四、政府信息公开行政复议、行政诉讼情况</w:t>
      </w:r>
    </w:p>
    <w:p>
      <w:pPr>
        <w:widowControl/>
        <w:shd w:val="clear" w:color="auto" w:fill="FFFFFF"/>
        <w:jc w:val="center"/>
        <w:rPr>
          <w:rFonts w:hint="eastAsia" w:ascii="方正仿宋简体" w:hAnsi="宋体" w:eastAsia="方正仿宋简体" w:cs="宋体"/>
          <w:color w:val="333333"/>
          <w:sz w:val="24"/>
        </w:rPr>
      </w:pPr>
    </w:p>
    <w:tbl>
      <w:tblPr>
        <w:tblStyle w:val="13"/>
        <w:tblW w:w="8504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1"/>
        <w:gridCol w:w="560"/>
        <w:gridCol w:w="561"/>
        <w:gridCol w:w="561"/>
        <w:gridCol w:w="560"/>
        <w:gridCol w:w="561"/>
        <w:gridCol w:w="560"/>
        <w:gridCol w:w="562"/>
        <w:gridCol w:w="561"/>
        <w:gridCol w:w="561"/>
        <w:gridCol w:w="562"/>
        <w:gridCol w:w="561"/>
        <w:gridCol w:w="562"/>
        <w:gridCol w:w="561"/>
        <w:gridCol w:w="650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2803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行政复议</w:t>
            </w:r>
          </w:p>
        </w:tc>
        <w:tc>
          <w:tcPr>
            <w:tcW w:w="5701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行政诉讼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561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结果维持</w:t>
            </w:r>
          </w:p>
        </w:tc>
        <w:tc>
          <w:tcPr>
            <w:tcW w:w="560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结果</w:t>
            </w: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纠正</w:t>
            </w:r>
          </w:p>
        </w:tc>
        <w:tc>
          <w:tcPr>
            <w:tcW w:w="561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其他</w:t>
            </w: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结果</w:t>
            </w:r>
          </w:p>
        </w:tc>
        <w:tc>
          <w:tcPr>
            <w:tcW w:w="561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尚未</w:t>
            </w: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审结</w:t>
            </w:r>
          </w:p>
        </w:tc>
        <w:tc>
          <w:tcPr>
            <w:tcW w:w="56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总计</w:t>
            </w:r>
          </w:p>
        </w:tc>
        <w:tc>
          <w:tcPr>
            <w:tcW w:w="2805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未经复议直接起诉</w:t>
            </w:r>
          </w:p>
        </w:tc>
        <w:tc>
          <w:tcPr>
            <w:tcW w:w="2896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复议后起诉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561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56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56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56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56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</w:p>
        </w:tc>
        <w:tc>
          <w:tcPr>
            <w:tcW w:w="5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结果</w:t>
            </w: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维持</w:t>
            </w:r>
          </w:p>
        </w:tc>
        <w:tc>
          <w:tcPr>
            <w:tcW w:w="56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结果</w:t>
            </w: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纠正</w:t>
            </w:r>
          </w:p>
        </w:tc>
        <w:tc>
          <w:tcPr>
            <w:tcW w:w="56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其他</w:t>
            </w: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结果</w:t>
            </w:r>
          </w:p>
        </w:tc>
        <w:tc>
          <w:tcPr>
            <w:tcW w:w="56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尚未</w:t>
            </w: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审结</w:t>
            </w:r>
          </w:p>
        </w:tc>
        <w:tc>
          <w:tcPr>
            <w:tcW w:w="56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总计</w:t>
            </w:r>
          </w:p>
        </w:tc>
        <w:tc>
          <w:tcPr>
            <w:tcW w:w="56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结果</w:t>
            </w: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维持</w:t>
            </w:r>
          </w:p>
        </w:tc>
        <w:tc>
          <w:tcPr>
            <w:tcW w:w="56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结果</w:t>
            </w: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纠正</w:t>
            </w:r>
          </w:p>
        </w:tc>
        <w:tc>
          <w:tcPr>
            <w:tcW w:w="56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其他</w:t>
            </w: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结果</w:t>
            </w:r>
          </w:p>
        </w:tc>
        <w:tc>
          <w:tcPr>
            <w:tcW w:w="56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尚未</w:t>
            </w: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方正仿宋简体" w:hAnsi="宋体" w:eastAsia="方正仿宋简体" w:cs="宋体"/>
                <w:kern w:val="0"/>
                <w:sz w:val="20"/>
                <w:szCs w:val="20"/>
              </w:rPr>
              <w:t>审结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0"/>
                <w:szCs w:val="20"/>
              </w:rPr>
              <w:t>总计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trHeight w:val="672" w:hRule="atLeast"/>
          <w:jc w:val="center"/>
        </w:trPr>
        <w:tc>
          <w:tcPr>
            <w:tcW w:w="5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黑体"/>
                <w:kern w:val="0"/>
                <w:sz w:val="20"/>
                <w:szCs w:val="20"/>
              </w:rPr>
              <w:t>0 </w:t>
            </w:r>
          </w:p>
        </w:tc>
        <w:tc>
          <w:tcPr>
            <w:tcW w:w="56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黑体"/>
                <w:kern w:val="0"/>
                <w:sz w:val="20"/>
                <w:szCs w:val="20"/>
              </w:rPr>
              <w:t> 3</w:t>
            </w:r>
          </w:p>
        </w:tc>
        <w:tc>
          <w:tcPr>
            <w:tcW w:w="5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黑体"/>
                <w:kern w:val="0"/>
                <w:sz w:val="20"/>
                <w:szCs w:val="20"/>
              </w:rPr>
              <w:t> 0</w:t>
            </w:r>
          </w:p>
        </w:tc>
        <w:tc>
          <w:tcPr>
            <w:tcW w:w="5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黑体"/>
                <w:kern w:val="0"/>
                <w:sz w:val="20"/>
                <w:szCs w:val="20"/>
              </w:rPr>
              <w:t>0 </w:t>
            </w:r>
          </w:p>
        </w:tc>
        <w:tc>
          <w:tcPr>
            <w:tcW w:w="56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黑体"/>
                <w:kern w:val="0"/>
                <w:sz w:val="20"/>
                <w:szCs w:val="20"/>
              </w:rPr>
              <w:t>0 </w:t>
            </w:r>
          </w:p>
        </w:tc>
        <w:tc>
          <w:tcPr>
            <w:tcW w:w="5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黑体"/>
                <w:kern w:val="0"/>
                <w:sz w:val="20"/>
                <w:szCs w:val="20"/>
              </w:rPr>
              <w:t>0 </w:t>
            </w:r>
          </w:p>
        </w:tc>
        <w:tc>
          <w:tcPr>
            <w:tcW w:w="56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56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5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56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</w:p>
        </w:tc>
        <w:tc>
          <w:tcPr>
            <w:tcW w:w="5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56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Calibri" w:eastAsia="方正仿宋简体" w:cs="Calibri"/>
                <w:kern w:val="0"/>
                <w:sz w:val="20"/>
                <w:szCs w:val="20"/>
              </w:rPr>
              <w:t>0</w:t>
            </w:r>
            <w:r>
              <w:rPr>
                <w:rFonts w:hint="eastAsia" w:ascii="Calibri" w:hAnsi="Calibri" w:eastAsia="方正仿宋简体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方正仿宋简体" w:eastAsia="方正仿宋简体"/>
              </w:rPr>
            </w:pPr>
            <w:r>
              <w:rPr>
                <w:rFonts w:hint="eastAsia" w:ascii="方正仿宋简体" w:hAnsi="宋体" w:eastAsia="方正仿宋简体" w:cs="黑体"/>
                <w:kern w:val="0"/>
                <w:sz w:val="20"/>
                <w:szCs w:val="20"/>
              </w:rPr>
              <w:t> 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方正仿宋简体" w:eastAsia="方正仿宋简体"/>
                <w:sz w:val="24"/>
              </w:rPr>
            </w:pPr>
            <w:r>
              <w:rPr>
                <w:rFonts w:hint="eastAsia" w:ascii="方正仿宋简体" w:eastAsia="方正仿宋简体"/>
                <w:sz w:val="24"/>
              </w:rPr>
              <w:t>0</w:t>
            </w:r>
          </w:p>
        </w:tc>
      </w:tr>
    </w:tbl>
    <w:p>
      <w:pPr>
        <w:widowControl/>
        <w:jc w:val="left"/>
        <w:rPr>
          <w:rFonts w:hint="eastAsia" w:ascii="方正仿宋简体" w:eastAsia="方正仿宋简体"/>
        </w:rPr>
      </w:pPr>
    </w:p>
    <w:p>
      <w:pPr>
        <w:pStyle w:val="12"/>
        <w:widowControl/>
        <w:shd w:val="clear" w:color="auto" w:fill="FFFFFF"/>
        <w:spacing w:beforeAutospacing="0" w:after="0" w:afterAutospacing="0"/>
        <w:ind w:firstLine="640" w:firstLineChars="200"/>
        <w:rPr>
          <w:rFonts w:hint="eastAsia" w:ascii="方正仿宋简体" w:hAnsi="黑体" w:eastAsia="方正仿宋简体" w:cs="黑体"/>
          <w:color w:val="333333"/>
          <w:sz w:val="32"/>
          <w:szCs w:val="32"/>
        </w:rPr>
      </w:pPr>
      <w:r>
        <w:rPr>
          <w:rFonts w:hint="eastAsia" w:ascii="方正仿宋简体" w:hAnsi="黑体" w:eastAsia="方正仿宋简体" w:cs="黑体"/>
          <w:bCs/>
          <w:color w:val="333333"/>
          <w:sz w:val="32"/>
          <w:szCs w:val="32"/>
          <w:shd w:val="clear" w:color="auto" w:fill="FFFFFF"/>
        </w:rPr>
        <w:t>五、存在的主要问题及改进情况</w:t>
      </w:r>
    </w:p>
    <w:p>
      <w:pPr>
        <w:pStyle w:val="12"/>
        <w:widowControl/>
        <w:shd w:val="clear" w:color="auto" w:fill="FFFFFF"/>
        <w:spacing w:beforeAutospacing="0" w:after="0" w:afterAutospacing="0"/>
        <w:ind w:firstLine="642" w:firstLineChars="200"/>
        <w:rPr>
          <w:rFonts w:hint="eastAsia" w:ascii="方正仿宋简体" w:hAnsi="仿宋_GB2312" w:eastAsia="方正仿宋简体" w:cs="仿宋_GB2312"/>
          <w:color w:val="000000"/>
          <w:kern w:val="0"/>
          <w:sz w:val="32"/>
          <w:szCs w:val="32"/>
        </w:rPr>
      </w:pPr>
      <w:r>
        <w:rPr>
          <w:rFonts w:hint="eastAsia" w:ascii="方正仿宋简体" w:hAnsi="仿宋_GB2312" w:eastAsia="方正仿宋简体" w:cs="仿宋_GB2312"/>
          <w:b/>
          <w:bCs/>
          <w:color w:val="000000"/>
          <w:kern w:val="0"/>
          <w:sz w:val="32"/>
          <w:szCs w:val="32"/>
        </w:rPr>
        <w:t>一是</w:t>
      </w:r>
      <w:r>
        <w:rPr>
          <w:rFonts w:hint="eastAsia" w:ascii="方正仿宋简体" w:hAnsi="仿宋_GB2312" w:eastAsia="方正仿宋简体" w:cs="仿宋_GB2312"/>
          <w:color w:val="000000"/>
          <w:kern w:val="0"/>
          <w:sz w:val="32"/>
          <w:szCs w:val="32"/>
        </w:rPr>
        <w:t>缺少专业的执法人才；</w:t>
      </w:r>
      <w:r>
        <w:rPr>
          <w:rFonts w:hint="eastAsia" w:ascii="方正仿宋简体" w:hAnsi="仿宋_GB2312" w:eastAsia="方正仿宋简体" w:cs="仿宋_GB2312"/>
          <w:b/>
          <w:bCs/>
          <w:color w:val="000000"/>
          <w:kern w:val="0"/>
          <w:sz w:val="32"/>
          <w:szCs w:val="32"/>
        </w:rPr>
        <w:t>二是</w:t>
      </w:r>
      <w:r>
        <w:rPr>
          <w:rFonts w:hint="eastAsia" w:ascii="方正仿宋简体" w:hAnsi="仿宋_GB2312" w:eastAsia="方正仿宋简体" w:cs="仿宋_GB2312"/>
          <w:color w:val="000000"/>
          <w:kern w:val="0"/>
          <w:sz w:val="32"/>
          <w:szCs w:val="32"/>
        </w:rPr>
        <w:t>在政策法规理解把握与实际操作的水平都有待于进一步提高；</w:t>
      </w:r>
      <w:r>
        <w:rPr>
          <w:rFonts w:hint="eastAsia" w:ascii="方正仿宋简体" w:hAnsi="仿宋_GB2312" w:eastAsia="方正仿宋简体" w:cs="仿宋_GB2312"/>
          <w:b/>
          <w:bCs/>
          <w:color w:val="000000"/>
          <w:kern w:val="0"/>
          <w:sz w:val="32"/>
          <w:szCs w:val="32"/>
        </w:rPr>
        <w:t>三是</w:t>
      </w:r>
      <w:r>
        <w:rPr>
          <w:rFonts w:hint="eastAsia" w:ascii="方正仿宋简体" w:hAnsi="仿宋_GB2312" w:eastAsia="方正仿宋简体" w:cs="仿宋_GB2312"/>
          <w:color w:val="000000" w:themeColor="text1"/>
          <w:sz w:val="32"/>
          <w:szCs w:val="32"/>
        </w:rPr>
        <w:t>用地保障工作方面还</w:t>
      </w:r>
      <w:r>
        <w:rPr>
          <w:rFonts w:hint="eastAsia" w:ascii="方正仿宋简体" w:hAnsi="仿宋_GB2312" w:eastAsia="方正仿宋简体" w:cs="仿宋_GB2312"/>
          <w:color w:val="000000"/>
          <w:kern w:val="0"/>
          <w:sz w:val="32"/>
          <w:szCs w:val="32"/>
        </w:rPr>
        <w:t>需</w:t>
      </w:r>
      <w:r>
        <w:rPr>
          <w:rFonts w:hint="eastAsia" w:ascii="方正仿宋简体" w:hAnsi="仿宋_GB2312" w:eastAsia="方正仿宋简体" w:cs="仿宋_GB2312"/>
          <w:color w:val="000000" w:themeColor="text1"/>
          <w:sz w:val="32"/>
          <w:szCs w:val="32"/>
        </w:rPr>
        <w:t>建立沟通制度，保障沟通渠道畅通</w:t>
      </w:r>
      <w:r>
        <w:rPr>
          <w:rFonts w:hint="eastAsia" w:ascii="仿宋_GB2312" w:hAnsi="仿宋_GB2312" w:eastAsia="方正仿宋简体" w:cs="仿宋_GB2312"/>
          <w:color w:val="000000" w:themeColor="text1"/>
          <w:sz w:val="32"/>
          <w:szCs w:val="32"/>
        </w:rPr>
        <w:t> </w:t>
      </w:r>
      <w:r>
        <w:rPr>
          <w:rFonts w:hint="eastAsia" w:ascii="方正仿宋简体" w:hAnsi="仿宋_GB2312" w:eastAsia="方正仿宋简体" w:cs="仿宋_GB2312"/>
          <w:color w:val="000000" w:themeColor="text1"/>
          <w:sz w:val="32"/>
          <w:szCs w:val="32"/>
        </w:rPr>
        <w:t>。建立对企踪服务制度，对重点项目造册登记，建立服务档案，落实责任人，对口联系。对企业反映的难点、热点、重点问题进行认真梳理和汇总，能够解决的限时解决；必要时，按照“一事一办、特事特办”的原则，采取开辟绿色通道或者上门服务的方式，切实解决到位；对一时解决不了的问题，报请局领导班子集体研究解决，确属解决不了的，主动向企业说明情况。</w:t>
      </w:r>
      <w:r>
        <w:rPr>
          <w:rFonts w:hint="eastAsia" w:ascii="方正仿宋简体" w:hAnsi="仿宋_GB2312" w:eastAsia="方正仿宋简体" w:cs="仿宋_GB2312"/>
          <w:b/>
          <w:bCs/>
          <w:color w:val="000000"/>
          <w:kern w:val="0"/>
          <w:sz w:val="32"/>
          <w:szCs w:val="32"/>
        </w:rPr>
        <w:t>四是</w:t>
      </w:r>
      <w:r>
        <w:rPr>
          <w:rFonts w:hint="eastAsia" w:ascii="方正仿宋简体" w:hAnsi="仿宋_GB2312" w:eastAsia="方正仿宋简体" w:cs="仿宋_GB2312"/>
          <w:color w:val="000000" w:themeColor="text1"/>
          <w:sz w:val="32"/>
          <w:szCs w:val="32"/>
        </w:rPr>
        <w:t>大力推行政务公开，进一步提高办事效率。进一步加强机关作风建设，大力推行政务公开，认真梳理各项行政审批事项，简化办事程序，缩短办事时间。</w:t>
      </w:r>
    </w:p>
    <w:p>
      <w:pPr>
        <w:pStyle w:val="12"/>
        <w:widowControl/>
        <w:shd w:val="clear" w:color="auto" w:fill="FFFFFF"/>
        <w:spacing w:beforeAutospacing="0" w:after="0" w:afterAutospacing="0"/>
        <w:ind w:firstLine="640" w:firstLineChars="200"/>
        <w:rPr>
          <w:rFonts w:hint="eastAsia" w:ascii="方正仿宋简体" w:hAnsi="黑体" w:eastAsia="方正仿宋简体" w:cs="黑体"/>
          <w:bCs/>
          <w:color w:val="333333"/>
          <w:sz w:val="32"/>
          <w:szCs w:val="32"/>
        </w:rPr>
      </w:pPr>
      <w:r>
        <w:rPr>
          <w:rFonts w:hint="eastAsia" w:ascii="方正仿宋简体" w:hAnsi="黑体" w:eastAsia="方正仿宋简体" w:cs="黑体"/>
          <w:bCs/>
          <w:color w:val="333333"/>
          <w:sz w:val="32"/>
          <w:szCs w:val="32"/>
          <w:shd w:val="clear" w:color="auto" w:fill="FFFFFF"/>
        </w:rPr>
        <w:t>六、其他需要报告的事项</w:t>
      </w:r>
    </w:p>
    <w:p>
      <w:pPr>
        <w:ind w:firstLine="960" w:firstLineChars="300"/>
        <w:rPr>
          <w:rFonts w:hint="eastAsia" w:ascii="方正仿宋简体" w:hAnsi="宋体" w:eastAsia="方正仿宋简体" w:cs="宋体"/>
          <w:color w:val="333333"/>
          <w:sz w:val="32"/>
          <w:szCs w:val="32"/>
          <w:shd w:val="clear" w:color="auto" w:fill="FFFFFF"/>
        </w:rPr>
      </w:pPr>
      <w:r>
        <w:rPr>
          <w:rFonts w:hint="eastAsia" w:ascii="方正仿宋简体" w:hAnsi="宋体" w:eastAsia="方正仿宋简体" w:cs="宋体"/>
          <w:color w:val="333333"/>
          <w:sz w:val="32"/>
          <w:szCs w:val="32"/>
          <w:shd w:val="clear" w:color="auto" w:fill="FFFFFF"/>
        </w:rPr>
        <w:t>无。</w:t>
      </w:r>
    </w:p>
    <w:p>
      <w:pPr>
        <w:pStyle w:val="2"/>
        <w:ind w:firstLine="640"/>
        <w:rPr>
          <w:rFonts w:hint="eastAsia" w:ascii="方正仿宋简体" w:hAnsi="宋体" w:eastAsia="方正仿宋简体" w:cs="宋体"/>
          <w:color w:val="333333"/>
          <w:sz w:val="32"/>
          <w:szCs w:val="32"/>
          <w:shd w:val="clear" w:color="auto" w:fill="FFFFFF"/>
        </w:rPr>
      </w:pPr>
    </w:p>
    <w:p>
      <w:pPr>
        <w:pStyle w:val="3"/>
        <w:ind w:firstLine="4160" w:firstLineChars="1300"/>
        <w:rPr>
          <w:rFonts w:hint="eastAsia" w:ascii="方正仿宋简体" w:eastAsia="方正仿宋简体"/>
        </w:rPr>
      </w:pPr>
      <w:r>
        <w:rPr>
          <w:rFonts w:hint="eastAsia" w:ascii="方正仿宋简体" w:hAnsi="宋体" w:eastAsia="方正仿宋简体" w:cs="宋体"/>
          <w:color w:val="333333"/>
          <w:sz w:val="32"/>
          <w:szCs w:val="32"/>
          <w:shd w:val="clear" w:color="auto" w:fill="FFFFFF"/>
        </w:rPr>
        <w:t>2022年1月21日</w:t>
      </w:r>
    </w:p>
    <w:sectPr>
      <w:footerReference r:id="rId3" w:type="default"/>
      <w:pgSz w:w="11906" w:h="16838"/>
      <w:pgMar w:top="1531" w:right="1531" w:bottom="1531" w:left="1531" w:header="851" w:footer="992" w:gutter="0"/>
      <w:cols w:space="0" w:num="1"/>
      <w:docGrid w:type="lines" w:linePitch="32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仿宋简体">
    <w:altName w:val="方正仿宋_GBK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</w:pPr>
  </w:p>
  <w:p>
    <w:pPr>
      <w:pStyle w:val="1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1036CD3"/>
    <w:multiLevelType w:val="singleLevel"/>
    <w:tmpl w:val="61036CD3"/>
    <w:lvl w:ilvl="0" w:tentative="0">
      <w:start w:val="1"/>
      <w:numFmt w:val="decimal"/>
      <w:pStyle w:val="9"/>
      <w:lvlText w:val="%1."/>
      <w:lvlJc w:val="left"/>
      <w:pPr>
        <w:tabs>
          <w:tab w:val="left" w:pos="2040"/>
        </w:tabs>
        <w:ind w:left="204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2"/>
  <w:embedSystemFonts/>
  <w:documentProtection w:edit="forms" w:enforcement="0"/>
  <w:defaultTabStop w:val="420"/>
  <w:drawingGridVerticalSpacing w:val="164"/>
  <w:displayHorizontalDrawingGridEvery w:val="0"/>
  <w:displayVerticalDrawingGridEvery w:val="2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6551631"/>
    <w:rsid w:val="004049ED"/>
    <w:rsid w:val="00B145C4"/>
    <w:rsid w:val="00DA16DE"/>
    <w:rsid w:val="00F04070"/>
    <w:rsid w:val="014604E0"/>
    <w:rsid w:val="03226268"/>
    <w:rsid w:val="0363611D"/>
    <w:rsid w:val="03BE0A47"/>
    <w:rsid w:val="03DA5406"/>
    <w:rsid w:val="04F13E55"/>
    <w:rsid w:val="06551631"/>
    <w:rsid w:val="079B16F8"/>
    <w:rsid w:val="07BC7DC7"/>
    <w:rsid w:val="08FB785B"/>
    <w:rsid w:val="096D38F1"/>
    <w:rsid w:val="0AB320B4"/>
    <w:rsid w:val="0AC80AB5"/>
    <w:rsid w:val="0AD416E1"/>
    <w:rsid w:val="0F6A082C"/>
    <w:rsid w:val="0F9734F4"/>
    <w:rsid w:val="0FDD4C91"/>
    <w:rsid w:val="10626286"/>
    <w:rsid w:val="1094394B"/>
    <w:rsid w:val="11661506"/>
    <w:rsid w:val="12177011"/>
    <w:rsid w:val="12367E3A"/>
    <w:rsid w:val="13A17C04"/>
    <w:rsid w:val="13D26B1F"/>
    <w:rsid w:val="14944E5A"/>
    <w:rsid w:val="15801752"/>
    <w:rsid w:val="15EC559C"/>
    <w:rsid w:val="161021E1"/>
    <w:rsid w:val="1679467E"/>
    <w:rsid w:val="17BA4E78"/>
    <w:rsid w:val="17E96D22"/>
    <w:rsid w:val="184866E1"/>
    <w:rsid w:val="187952AB"/>
    <w:rsid w:val="18B85291"/>
    <w:rsid w:val="1AE52F77"/>
    <w:rsid w:val="1AF23562"/>
    <w:rsid w:val="1C2627D9"/>
    <w:rsid w:val="1C6A4930"/>
    <w:rsid w:val="1D971446"/>
    <w:rsid w:val="1DD51468"/>
    <w:rsid w:val="1E236C3B"/>
    <w:rsid w:val="1F3D702B"/>
    <w:rsid w:val="1F8839A3"/>
    <w:rsid w:val="20412E46"/>
    <w:rsid w:val="21714F14"/>
    <w:rsid w:val="236A022B"/>
    <w:rsid w:val="238D19C7"/>
    <w:rsid w:val="238F095C"/>
    <w:rsid w:val="23A03A0A"/>
    <w:rsid w:val="23C05E91"/>
    <w:rsid w:val="24581407"/>
    <w:rsid w:val="24A43D81"/>
    <w:rsid w:val="263A07AD"/>
    <w:rsid w:val="27233ED6"/>
    <w:rsid w:val="27EE7867"/>
    <w:rsid w:val="281501D6"/>
    <w:rsid w:val="284B0CE8"/>
    <w:rsid w:val="2985374C"/>
    <w:rsid w:val="2A990F87"/>
    <w:rsid w:val="2AAA7AB6"/>
    <w:rsid w:val="2C8478B4"/>
    <w:rsid w:val="2D4463DD"/>
    <w:rsid w:val="2FB91397"/>
    <w:rsid w:val="2FC85FEE"/>
    <w:rsid w:val="344635CF"/>
    <w:rsid w:val="350E716A"/>
    <w:rsid w:val="36A3281B"/>
    <w:rsid w:val="37F35ABE"/>
    <w:rsid w:val="395969FD"/>
    <w:rsid w:val="398A2B6C"/>
    <w:rsid w:val="39956366"/>
    <w:rsid w:val="3A6E5EC1"/>
    <w:rsid w:val="3B476145"/>
    <w:rsid w:val="3B86602C"/>
    <w:rsid w:val="3BBD6692"/>
    <w:rsid w:val="3CAF70E5"/>
    <w:rsid w:val="3CBE0744"/>
    <w:rsid w:val="3D3E3BEA"/>
    <w:rsid w:val="3E2C7090"/>
    <w:rsid w:val="3E423267"/>
    <w:rsid w:val="3F3F7DDE"/>
    <w:rsid w:val="41D1419A"/>
    <w:rsid w:val="424B523F"/>
    <w:rsid w:val="424E22C0"/>
    <w:rsid w:val="429B73CA"/>
    <w:rsid w:val="429F4C2E"/>
    <w:rsid w:val="42A512BC"/>
    <w:rsid w:val="432A6039"/>
    <w:rsid w:val="438B535B"/>
    <w:rsid w:val="441A279D"/>
    <w:rsid w:val="44480D2A"/>
    <w:rsid w:val="45CF3583"/>
    <w:rsid w:val="46C4679F"/>
    <w:rsid w:val="46F2479E"/>
    <w:rsid w:val="4801236F"/>
    <w:rsid w:val="48B72C0C"/>
    <w:rsid w:val="4A3A32B4"/>
    <w:rsid w:val="4B2D4ED5"/>
    <w:rsid w:val="4B612110"/>
    <w:rsid w:val="4B857C70"/>
    <w:rsid w:val="50F8616C"/>
    <w:rsid w:val="514C1117"/>
    <w:rsid w:val="518D65DD"/>
    <w:rsid w:val="51D5162F"/>
    <w:rsid w:val="5200632E"/>
    <w:rsid w:val="52604CFE"/>
    <w:rsid w:val="528A11B5"/>
    <w:rsid w:val="529B47DF"/>
    <w:rsid w:val="53317BCD"/>
    <w:rsid w:val="53F57590"/>
    <w:rsid w:val="542C7454"/>
    <w:rsid w:val="54B93F7C"/>
    <w:rsid w:val="54C724CF"/>
    <w:rsid w:val="550C6E93"/>
    <w:rsid w:val="553A3950"/>
    <w:rsid w:val="557C4C57"/>
    <w:rsid w:val="58E83367"/>
    <w:rsid w:val="596F28BC"/>
    <w:rsid w:val="59A754C0"/>
    <w:rsid w:val="59AC28CA"/>
    <w:rsid w:val="5A327433"/>
    <w:rsid w:val="5B4E05AE"/>
    <w:rsid w:val="5BFC5F79"/>
    <w:rsid w:val="5C480021"/>
    <w:rsid w:val="5C5318B0"/>
    <w:rsid w:val="5CCD49B5"/>
    <w:rsid w:val="5D2B39DB"/>
    <w:rsid w:val="5F106D0B"/>
    <w:rsid w:val="5FF44306"/>
    <w:rsid w:val="60934F9E"/>
    <w:rsid w:val="61B33A13"/>
    <w:rsid w:val="625D6AF5"/>
    <w:rsid w:val="627B76D8"/>
    <w:rsid w:val="63615AAE"/>
    <w:rsid w:val="657D03BE"/>
    <w:rsid w:val="65CD703F"/>
    <w:rsid w:val="66AC0C12"/>
    <w:rsid w:val="67412F83"/>
    <w:rsid w:val="67564671"/>
    <w:rsid w:val="68CA300C"/>
    <w:rsid w:val="69991B54"/>
    <w:rsid w:val="69A01F44"/>
    <w:rsid w:val="6B0A76BD"/>
    <w:rsid w:val="6D197978"/>
    <w:rsid w:val="6DD27E6D"/>
    <w:rsid w:val="6E1B6E16"/>
    <w:rsid w:val="6EDD182C"/>
    <w:rsid w:val="70863FAC"/>
    <w:rsid w:val="708E4ED1"/>
    <w:rsid w:val="7172784C"/>
    <w:rsid w:val="71CB18E0"/>
    <w:rsid w:val="726A0120"/>
    <w:rsid w:val="734761ED"/>
    <w:rsid w:val="73503215"/>
    <w:rsid w:val="73733019"/>
    <w:rsid w:val="74940E86"/>
    <w:rsid w:val="75B41BAB"/>
    <w:rsid w:val="75F41D79"/>
    <w:rsid w:val="761300C5"/>
    <w:rsid w:val="77B12A6D"/>
    <w:rsid w:val="77F66896"/>
    <w:rsid w:val="78124312"/>
    <w:rsid w:val="79B531E6"/>
    <w:rsid w:val="7A5E3B3D"/>
    <w:rsid w:val="7BEF922A"/>
    <w:rsid w:val="7BF216EB"/>
    <w:rsid w:val="7BF3131F"/>
    <w:rsid w:val="7C3B622A"/>
    <w:rsid w:val="7C8F6FA8"/>
    <w:rsid w:val="7CD15567"/>
    <w:rsid w:val="7DB70C92"/>
    <w:rsid w:val="7FA63511"/>
    <w:rsid w:val="7FBE6639"/>
    <w:rsid w:val="7FF33AA8"/>
    <w:rsid w:val="7FFB1382"/>
    <w:rsid w:val="FFFF94A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qFormat="1"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5">
    <w:name w:val="heading 3"/>
    <w:basedOn w:val="1"/>
    <w:next w:val="1"/>
    <w:unhideWhenUsed/>
    <w:qFormat/>
    <w:uiPriority w:val="0"/>
    <w:pPr>
      <w:keepNext/>
      <w:keepLines/>
      <w:spacing w:line="416" w:lineRule="auto"/>
      <w:outlineLvl w:val="2"/>
    </w:pPr>
    <w:rPr>
      <w:b/>
      <w:bCs/>
      <w:sz w:val="32"/>
      <w:szCs w:val="32"/>
    </w:rPr>
  </w:style>
  <w:style w:type="character" w:default="1" w:styleId="15">
    <w:name w:val="Default Paragraph Font"/>
    <w:semiHidden/>
    <w:unhideWhenUsed/>
    <w:qFormat/>
    <w:uiPriority w:val="1"/>
  </w:style>
  <w:style w:type="table" w:default="1" w:styleId="1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3"/>
    <w:qFormat/>
    <w:uiPriority w:val="0"/>
    <w:pPr>
      <w:ind w:firstLine="880" w:firstLineChars="200"/>
    </w:pPr>
    <w:rPr>
      <w:rFonts w:ascii="Calibri" w:hAnsi="Calibri"/>
      <w:sz w:val="28"/>
      <w:szCs w:val="22"/>
    </w:rPr>
  </w:style>
  <w:style w:type="paragraph" w:styleId="3">
    <w:name w:val="Body Text Indent"/>
    <w:basedOn w:val="1"/>
    <w:next w:val="4"/>
    <w:qFormat/>
    <w:uiPriority w:val="0"/>
    <w:pPr>
      <w:ind w:left="420" w:leftChars="200"/>
    </w:pPr>
  </w:style>
  <w:style w:type="paragraph" w:styleId="4">
    <w:name w:val="Normal Indent"/>
    <w:basedOn w:val="1"/>
    <w:next w:val="1"/>
    <w:qFormat/>
    <w:uiPriority w:val="0"/>
    <w:pPr>
      <w:ind w:firstLine="420" w:firstLineChars="200"/>
    </w:pPr>
    <w:rPr>
      <w:rFonts w:eastAsia="仿宋"/>
      <w:sz w:val="32"/>
    </w:rPr>
  </w:style>
  <w:style w:type="paragraph" w:styleId="6">
    <w:name w:val="Body Text"/>
    <w:basedOn w:val="1"/>
    <w:qFormat/>
    <w:uiPriority w:val="0"/>
    <w:pPr>
      <w:jc w:val="center"/>
    </w:pPr>
    <w:rPr>
      <w:rFonts w:eastAsia="华文中宋"/>
      <w:sz w:val="44"/>
    </w:rPr>
  </w:style>
  <w:style w:type="paragraph" w:styleId="7">
    <w:name w:val="toc 3"/>
    <w:basedOn w:val="1"/>
    <w:next w:val="1"/>
    <w:qFormat/>
    <w:uiPriority w:val="0"/>
    <w:pPr>
      <w:ind w:left="840" w:leftChars="400"/>
    </w:pPr>
  </w:style>
  <w:style w:type="paragraph" w:styleId="8">
    <w:name w:val="Plain Text"/>
    <w:basedOn w:val="1"/>
    <w:next w:val="9"/>
    <w:qFormat/>
    <w:uiPriority w:val="0"/>
    <w:rPr>
      <w:rFonts w:ascii="宋体" w:hAnsi="Courier New" w:eastAsia="宋体"/>
      <w:szCs w:val="20"/>
    </w:rPr>
  </w:style>
  <w:style w:type="paragraph" w:styleId="9">
    <w:name w:val="List Number 5"/>
    <w:basedOn w:val="1"/>
    <w:qFormat/>
    <w:uiPriority w:val="0"/>
    <w:pPr>
      <w:numPr>
        <w:ilvl w:val="0"/>
        <w:numId w:val="1"/>
      </w:numPr>
    </w:pPr>
  </w:style>
  <w:style w:type="paragraph" w:styleId="10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1">
    <w:name w:val="header"/>
    <w:basedOn w:val="1"/>
    <w:unhideWhenUsed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2">
    <w:name w:val="Normal (Web)"/>
    <w:basedOn w:val="1"/>
    <w:qFormat/>
    <w:uiPriority w:val="0"/>
    <w:pPr>
      <w:spacing w:beforeAutospacing="1" w:after="100" w:afterAutospacing="1"/>
    </w:pPr>
    <w:rPr>
      <w:rFonts w:cs="Times New Roman"/>
      <w:sz w:val="24"/>
    </w:rPr>
  </w:style>
  <w:style w:type="table" w:styleId="14">
    <w:name w:val="Table Grid"/>
    <w:basedOn w:val="1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6">
    <w:name w:val="Strong"/>
    <w:basedOn w:val="15"/>
    <w:qFormat/>
    <w:uiPriority w:val="22"/>
    <w:rPr>
      <w:b/>
    </w:rPr>
  </w:style>
  <w:style w:type="character" w:styleId="17">
    <w:name w:val="page number"/>
    <w:basedOn w:val="15"/>
    <w:qFormat/>
    <w:uiPriority w:val="0"/>
    <w:rPr>
      <w:rFonts w:ascii="宋体" w:eastAsia="宋体"/>
      <w:color w:val="auto"/>
      <w:spacing w:val="0"/>
      <w:kern w:val="28"/>
      <w:sz w:val="24"/>
      <w:shd w:val="clear" w:color="auto" w:fill="auto"/>
    </w:rPr>
  </w:style>
  <w:style w:type="paragraph" w:customStyle="1" w:styleId="18">
    <w:name w:val="样式1"/>
    <w:basedOn w:val="1"/>
    <w:qFormat/>
    <w:uiPriority w:val="0"/>
  </w:style>
  <w:style w:type="paragraph" w:customStyle="1" w:styleId="19">
    <w:name w:val="4正文"/>
    <w:basedOn w:val="1"/>
    <w:qFormat/>
    <w:uiPriority w:val="0"/>
    <w:pPr>
      <w:spacing w:line="460" w:lineRule="exact"/>
    </w:pPr>
    <w:rPr>
      <w:rFonts w:ascii="Times New Roman" w:hAnsi="Times New Roman" w:eastAsia="仿宋"/>
      <w:sz w:val="28"/>
    </w:rPr>
  </w:style>
  <w:style w:type="paragraph" w:customStyle="1" w:styleId="20">
    <w:name w:val="p0"/>
    <w:qFormat/>
    <w:uiPriority w:val="0"/>
    <w:rPr>
      <w:rFonts w:ascii="Calibri" w:hAnsi="Calibri" w:eastAsia="宋体" w:cs="Times New Roman"/>
      <w:sz w:val="32"/>
      <w:szCs w:val="32"/>
      <w:lang w:val="en-US" w:eastAsia="zh-CN" w:bidi="ar-SA"/>
    </w:rPr>
  </w:style>
  <w:style w:type="paragraph" w:customStyle="1" w:styleId="21">
    <w:name w:val="正文文本1"/>
    <w:basedOn w:val="1"/>
    <w:qFormat/>
    <w:uiPriority w:val="0"/>
    <w:pPr>
      <w:shd w:val="clear" w:color="auto" w:fill="FFFFFF"/>
      <w:spacing w:before="540" w:after="1200" w:line="0" w:lineRule="atLeast"/>
      <w:ind w:hanging="980"/>
      <w:jc w:val="center"/>
    </w:pPr>
    <w:rPr>
      <w:rFonts w:ascii="宋体" w:hAnsi="宋体" w:eastAsia="宋体" w:cs="宋体"/>
      <w:spacing w:val="20"/>
      <w:sz w:val="30"/>
      <w:szCs w:val="30"/>
    </w:rPr>
  </w:style>
  <w:style w:type="character" w:customStyle="1" w:styleId="22">
    <w:name w:val="rec-status-desc"/>
    <w:basedOn w:val="15"/>
    <w:qFormat/>
    <w:uiPriority w:val="0"/>
  </w:style>
  <w:style w:type="character" w:customStyle="1" w:styleId="23">
    <w:name w:val="rec-volume"/>
    <w:basedOn w:val="15"/>
    <w:qFormat/>
    <w:uiPriority w:val="0"/>
  </w:style>
  <w:style w:type="character" w:customStyle="1" w:styleId="24">
    <w:name w:val="rec-time"/>
    <w:basedOn w:val="15"/>
    <w:qFormat/>
    <w:uiPriority w:val="0"/>
  </w:style>
  <w:style w:type="paragraph" w:customStyle="1" w:styleId="25">
    <w:name w:val="Body text|1"/>
    <w:basedOn w:val="1"/>
    <w:qFormat/>
    <w:uiPriority w:val="0"/>
    <w:pPr>
      <w:spacing w:line="394" w:lineRule="auto"/>
      <w:ind w:firstLine="400"/>
    </w:pPr>
    <w:rPr>
      <w:rFonts w:ascii="宋体" w:hAnsi="宋体" w:eastAsia="宋体" w:cs="宋体"/>
      <w:sz w:val="30"/>
      <w:szCs w:val="30"/>
      <w:lang w:val="zh-TW" w:eastAsia="zh-TW" w:bidi="zh-TW"/>
    </w:rPr>
  </w:style>
  <w:style w:type="paragraph" w:customStyle="1" w:styleId="26">
    <w:name w:val="内容"/>
    <w:basedOn w:val="1"/>
    <w:qFormat/>
    <w:uiPriority w:val="99"/>
    <w:pPr>
      <w:ind w:firstLine="200" w:firstLineChars="200"/>
    </w:pPr>
    <w:rPr>
      <w:rFonts w:ascii="宋体" w:cs="宋体"/>
      <w:sz w:val="28"/>
      <w:szCs w:val="28"/>
    </w:rPr>
  </w:style>
  <w:style w:type="paragraph" w:customStyle="1" w:styleId="27">
    <w:name w:val="Body text|3"/>
    <w:basedOn w:val="1"/>
    <w:qFormat/>
    <w:uiPriority w:val="0"/>
    <w:rPr>
      <w:b/>
      <w:bCs/>
      <w:sz w:val="9"/>
      <w:szCs w:val="9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357</Words>
  <Characters>2039</Characters>
  <Lines>16</Lines>
  <Paragraphs>4</Paragraphs>
  <TotalTime>8</TotalTime>
  <ScaleCrop>false</ScaleCrop>
  <LinksUpToDate>false</LinksUpToDate>
  <CharactersWithSpaces>2392</CharactersWithSpaces>
  <Application>WPS Office_11.8.2.10386_F1E327BC-269C-435d-A152-05C5408002CA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2019-09-21T12:27:00Z</dcterms:created>
  <dc:creator>和玉印刷（王磊）</dc:creator>
  <cp:lastModifiedBy>user</cp:lastModifiedBy>
  <cp:lastPrinted>2022-01-15T05:43:00Z</cp:lastPrinted>
  <dcterms:modified xsi:type="dcterms:W3CDTF">2024-11-21T12:32:56Z</dcterms:modified>
  <dc:title>新疆维吾尔自治区和田地区自然资源局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2052-11.8.2.10386</vt:lpwstr>
  </property>
</Properties>
</file>