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1220" w:lineRule="exact"/>
        <w:jc w:val="center"/>
        <w:rPr>
          <w:b/>
          <w:sz w:val="52"/>
          <w:szCs w:val="52"/>
        </w:rPr>
      </w:pPr>
      <w:r>
        <w:rPr>
          <w:rFonts w:hint="eastAsia"/>
          <w:b/>
          <w:sz w:val="52"/>
          <w:szCs w:val="52"/>
        </w:rPr>
        <w:t>新疆维吾尔自治区和田地区</w:t>
      </w:r>
    </w:p>
    <w:p>
      <w:pPr>
        <w:spacing w:line="1220" w:lineRule="exact"/>
        <w:jc w:val="center"/>
        <w:rPr>
          <w:b/>
          <w:sz w:val="52"/>
          <w:szCs w:val="52"/>
        </w:rPr>
      </w:pPr>
      <w:r>
        <w:rPr>
          <w:rFonts w:hint="eastAsia"/>
          <w:b/>
          <w:sz w:val="52"/>
          <w:szCs w:val="52"/>
        </w:rPr>
        <w:t>自然保护地整合优化方案</w:t>
      </w:r>
    </w:p>
    <w:p>
      <w:pPr>
        <w:pStyle w:val="27"/>
        <w:snapToGrid w:val="0"/>
        <w:spacing w:before="0" w:after="0" w:line="600" w:lineRule="atLeast"/>
        <w:ind w:firstLine="0" w:firstLineChars="0"/>
        <w:jc w:val="center"/>
        <w:rPr>
          <w:rFonts w:eastAsia="方正小标宋_GBK" w:cs="Times New Roman"/>
          <w:b/>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和田地区行署</w:t>
      </w:r>
    </w:p>
    <w:p>
      <w:pPr>
        <w:spacing w:before="240" w:beforeLines="100" w:after="240" w:afterLines="100" w:line="500" w:lineRule="exact"/>
        <w:jc w:val="center"/>
        <w:rPr>
          <w:rFonts w:ascii="Times New Roman" w:hAnsi="Times New Roman" w:eastAsia="方正仿宋_GBK" w:cs="Times New Roman"/>
          <w:b/>
          <w:sz w:val="44"/>
          <w:szCs w:val="44"/>
        </w:rPr>
      </w:pPr>
      <w:r>
        <w:rPr>
          <w:rFonts w:hint="eastAsia" w:ascii="黑体" w:hAnsi="黑体" w:eastAsia="黑体" w:cs="黑体"/>
          <w:b/>
          <w:sz w:val="44"/>
          <w:szCs w:val="44"/>
        </w:rPr>
        <w:t>2023年3月</w:t>
      </w:r>
    </w:p>
    <w:p>
      <w:pPr>
        <w:spacing w:line="560" w:lineRule="exact"/>
        <w:jc w:val="center"/>
        <w:rPr>
          <w:rFonts w:ascii="Times New Roman"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sectPr>
          <w:headerReference r:id="rId3" w:type="default"/>
          <w:footerReference r:id="rId5" w:type="default"/>
          <w:headerReference r:id="rId4" w:type="even"/>
          <w:pgSz w:w="11910" w:h="16840"/>
          <w:pgMar w:top="2098" w:right="1588" w:bottom="1985" w:left="1588" w:header="0" w:footer="998" w:gutter="0"/>
          <w:cols w:space="425" w:num="1"/>
          <w:docGrid w:linePitch="299" w:charSpace="0"/>
        </w:sectPr>
      </w:pPr>
    </w:p>
    <w:p>
      <w:pPr>
        <w:pStyle w:val="2"/>
        <w:spacing w:before="120" w:beforeLines="50" w:after="120" w:afterLines="50" w:line="500" w:lineRule="atLeast"/>
        <w:jc w:val="center"/>
        <w:rPr>
          <w:rFonts w:ascii="Times New Roman" w:hAnsi="Times New Roman" w:eastAsia="黑体" w:cs="Times New Roman"/>
          <w:sz w:val="36"/>
          <w:szCs w:val="36"/>
        </w:rPr>
      </w:pPr>
      <w:bookmarkStart w:id="0" w:name="_Toc16863"/>
      <w:bookmarkStart w:id="1" w:name="_Toc9697"/>
      <w:bookmarkStart w:id="2" w:name="_Toc129976802"/>
      <w:bookmarkStart w:id="3" w:name="_Toc865"/>
      <w:bookmarkStart w:id="4" w:name="_Toc45972255"/>
      <w:bookmarkStart w:id="5" w:name="_Toc43884007"/>
      <w:bookmarkStart w:id="6" w:name="_Toc25127"/>
      <w:bookmarkStart w:id="7" w:name="_Toc47914896"/>
      <w:r>
        <w:rPr>
          <w:rFonts w:ascii="Times New Roman" w:hAnsi="Times New Roman" w:eastAsia="黑体" w:cs="Times New Roman"/>
          <w:sz w:val="36"/>
          <w:szCs w:val="36"/>
        </w:rPr>
        <w:t>前  言</w:t>
      </w:r>
      <w:bookmarkEnd w:id="0"/>
      <w:bookmarkEnd w:id="1"/>
      <w:bookmarkEnd w:id="2"/>
      <w:bookmarkEnd w:id="3"/>
      <w:bookmarkEnd w:id="4"/>
      <w:bookmarkEnd w:id="5"/>
      <w:bookmarkEnd w:id="6"/>
      <w:bookmarkEnd w:id="7"/>
    </w:p>
    <w:p>
      <w:pPr>
        <w:rPr>
          <w:rFonts w:ascii="Times New Roman" w:hAnsi="Times New Roman" w:cs="Times New Roman"/>
        </w:rPr>
      </w:pP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建立以国家公园为主体的自然保护地体系，是贯彻习近平生态文明思想的重大举措，是党的十九大提出的重大改革任务。</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2019年6月，中办国办印发《关于建立以国家公园为主体的自然保护地体系的指导意见》（以下简称《指导意见》），要求开展自然保护地整合优化工作，合理确定自然保护地类型和功能定位，优化边界范围和功能分区，重点解决自然保护地空间重叠、边界不清、权责不明、保护与发展矛盾突出等问题。2019年10月，中办国办印发《关于在国土空间规划中统筹划定落实三条控制线的指导意见》，要求对自然保护地进行调整优化，评估调整后的自然保护地划入生态保护红线，并做到生态保护红线、永久基本农田、城镇开发边界不重叠。同年10月初，新疆维吾尔自治区下发了《中共中央办公厅、国务院办公厅〈关于建立以国家公园为主体的自然保护地体系的指导意见〉》的实施意见。</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2019年10月，和田地区自然资源局、林业和草原局会同生态环境局等有关部门，启动了自然保护地整合优化工作，于2022年11月完成了全部 6处自然保护地的整合优化任务，形成《和田地区自然保护地整合优化预案》， 2023年3月完成《和田地区自然保护地整合优化方案》。自然保护地整合优化始终与生态保护红线评估调整、国土空间规划编制和“三区三线”划定等工作一体部署、协同推进，工作成果相互支撑、互为因果。</w:t>
      </w:r>
    </w:p>
    <w:p>
      <w:pPr>
        <w:widowControl w:val="0"/>
        <w:adjustRightInd w:val="0"/>
        <w:snapToGrid w:val="0"/>
        <w:spacing w:line="600" w:lineRule="exact"/>
        <w:ind w:firstLine="640" w:firstLineChars="200"/>
        <w:jc w:val="both"/>
        <w:rPr>
          <w:rFonts w:ascii="Times New Roman" w:hAnsi="Times New Roman" w:cs="Times New Roman"/>
          <w:bCs/>
          <w:color w:val="000000" w:themeColor="text1"/>
          <w:sz w:val="32"/>
          <w:szCs w:val="32"/>
          <w14:textFill>
            <w14:solidFill>
              <w14:schemeClr w14:val="tx1"/>
            </w14:solidFill>
          </w14:textFill>
        </w:rPr>
      </w:pPr>
      <w:r>
        <w:rPr>
          <w:rFonts w:ascii="Times New Roman" w:hAnsi="Times New Roman" w:cs="Times New Roman"/>
          <w:sz w:val="32"/>
          <w:szCs w:val="32"/>
        </w:rPr>
        <w:t>和田地区自然保护地整合优化任务包括墨玉县、洛浦县、策勒县、于田县和民丰县范围内的自然保护区、湿地公园、沙漠公园，共计6个，批复总面积346520.95公顷，矢量落图后实际占地面积223589.31公顷。整合优化后，和田自然保护地体系由自然保护区、自然公园二大类构成，共计6个，总面积为353758.04公顷。整合优化从现有自然保护地范围内调出耕地及永久基本农田、矿业权、人工商品林、城镇村、开发区、重大项目及其他各类空间矛盾冲突共计6655.74公顷，将136824.47公顷森林、草原、湿地、荒漠等生态空间调入自然保护地范围。</w:t>
      </w:r>
    </w:p>
    <w:p>
      <w:pPr>
        <w:widowControl w:val="0"/>
        <w:adjustRightInd w:val="0"/>
        <w:snapToGrid w:val="0"/>
        <w:spacing w:line="600" w:lineRule="exact"/>
        <w:ind w:firstLine="640" w:firstLineChars="200"/>
        <w:jc w:val="both"/>
        <w:rPr>
          <w:rFonts w:ascii="Times New Roman" w:hAnsi="Times New Roman" w:eastAsia="方正仿宋_GBK" w:cs="Times New Roman"/>
          <w:sz w:val="32"/>
          <w:szCs w:val="32"/>
        </w:rPr>
      </w:pPr>
      <w:r>
        <w:rPr>
          <w:rFonts w:ascii="Times New Roman" w:hAnsi="Times New Roman" w:cs="Times New Roman"/>
          <w:sz w:val="32"/>
          <w:szCs w:val="32"/>
        </w:rPr>
        <w:t>整合优化构建起新型自然保护地分类分级分区体系，建立了统一的自然保护地矢量数据图库，并纳入国土空间规划一张图管理；化解了历史遗留问题和现实矛盾冲突，提升了自然保护地生态系统多样性、稳定性、持续性；完善了自然保护地体系空间格局。</w:t>
      </w:r>
    </w:p>
    <w:p>
      <w:pPr>
        <w:adjustRightInd w:val="0"/>
        <w:snapToGrid w:val="0"/>
        <w:spacing w:line="60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sectPr>
          <w:footerReference r:id="rId6" w:type="default"/>
          <w:pgSz w:w="11910" w:h="16840"/>
          <w:pgMar w:top="2098" w:right="1588" w:bottom="1985" w:left="1588" w:header="0" w:footer="998" w:gutter="0"/>
          <w:pgNumType w:fmt="lowerRoman" w:start="1"/>
          <w:cols w:space="425" w:num="1"/>
          <w:docGrid w:linePitch="299" w:charSpace="0"/>
        </w:sectPr>
      </w:pPr>
    </w:p>
    <w:sdt>
      <w:sdtPr>
        <w:rPr>
          <w:rFonts w:ascii="Times New Roman" w:hAnsi="Times New Roman" w:eastAsia="等线" w:cs="Times New Roman"/>
          <w:color w:val="auto"/>
          <w:kern w:val="2"/>
          <w:sz w:val="21"/>
          <w:szCs w:val="22"/>
          <w:lang w:val="zh-CN"/>
        </w:rPr>
        <w:id w:val="-420864546"/>
        <w:docPartObj>
          <w:docPartGallery w:val="Table of Contents"/>
          <w:docPartUnique/>
        </w:docPartObj>
      </w:sdtPr>
      <w:sdtEndPr>
        <w:rPr>
          <w:rFonts w:ascii="Times New Roman" w:hAnsi="Times New Roman" w:eastAsia="宋体" w:cs="Times New Roman"/>
          <w:b/>
          <w:bCs/>
          <w:color w:val="auto"/>
          <w:kern w:val="0"/>
          <w:sz w:val="24"/>
          <w:szCs w:val="24"/>
          <w:lang w:val="zh-CN"/>
        </w:rPr>
      </w:sdtEndPr>
      <w:sdtContent>
        <w:p>
          <w:pPr>
            <w:pStyle w:val="40"/>
            <w:jc w:val="center"/>
            <w:rPr>
              <w:rFonts w:ascii="Times New Roman" w:hAnsi="Times New Roman" w:eastAsia="方正黑体_GBK" w:cs="Times New Roman"/>
              <w:color w:val="auto"/>
              <w:sz w:val="36"/>
              <w:szCs w:val="36"/>
            </w:rPr>
          </w:pPr>
          <w:r>
            <w:rPr>
              <w:rFonts w:ascii="Times New Roman" w:hAnsi="Times New Roman" w:eastAsia="方正黑体_GBK" w:cs="Times New Roman"/>
              <w:color w:val="auto"/>
              <w:sz w:val="36"/>
              <w:szCs w:val="36"/>
            </w:rPr>
            <w:t>目  录</w:t>
          </w:r>
        </w:p>
        <w:p>
          <w:pPr>
            <w:pStyle w:val="12"/>
            <w:spacing w:line="460" w:lineRule="exact"/>
            <w:rPr>
              <w:rFonts w:ascii="Times New Roman" w:hAnsi="Times New Roman" w:eastAsia="仿宋"/>
              <w:sz w:val="28"/>
              <w:szCs w:val="32"/>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r>
            <w:fldChar w:fldCharType="begin"/>
          </w:r>
          <w:r>
            <w:instrText xml:space="preserve"> HYPERLINK \l "_Toc129976803" </w:instrText>
          </w:r>
          <w:r>
            <w:fldChar w:fldCharType="separate"/>
          </w:r>
          <w:r>
            <w:rPr>
              <w:rStyle w:val="19"/>
              <w:rFonts w:ascii="Times New Roman" w:hAnsi="Times New Roman" w:eastAsia="仿宋"/>
              <w:sz w:val="28"/>
              <w:szCs w:val="32"/>
            </w:rPr>
            <w:t>一、自然保护地现状</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_Toc129976803 \h </w:instrText>
          </w:r>
          <w:r>
            <w:rPr>
              <w:rFonts w:ascii="Times New Roman" w:hAnsi="Times New Roman" w:eastAsia="仿宋"/>
              <w:sz w:val="28"/>
              <w:szCs w:val="32"/>
            </w:rPr>
            <w:fldChar w:fldCharType="separate"/>
          </w:r>
          <w:r>
            <w:rPr>
              <w:rFonts w:ascii="Times New Roman" w:hAnsi="Times New Roman" w:eastAsia="仿宋"/>
              <w:sz w:val="28"/>
              <w:szCs w:val="32"/>
            </w:rPr>
            <w:t>1</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"_Toc129976804" </w:instrText>
          </w:r>
          <w:r>
            <w:fldChar w:fldCharType="separate"/>
          </w:r>
          <w:r>
            <w:rPr>
              <w:rStyle w:val="19"/>
              <w:rFonts w:ascii="Times New Roman" w:hAnsi="Times New Roman" w:eastAsia="仿宋" w:cs="Times New Roman"/>
              <w:sz w:val="28"/>
              <w:szCs w:val="32"/>
            </w:rPr>
            <w:t>（一）主要问题</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_Toc129976804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"_Toc129976805" </w:instrText>
          </w:r>
          <w:r>
            <w:fldChar w:fldCharType="separate"/>
          </w:r>
          <w:r>
            <w:rPr>
              <w:rStyle w:val="19"/>
              <w:rFonts w:ascii="Times New Roman" w:hAnsi="Times New Roman" w:eastAsia="仿宋"/>
              <w:sz w:val="28"/>
              <w:szCs w:val="32"/>
            </w:rPr>
            <w:t>1. 边界范围底数不清</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_Toc129976805 \h </w:instrText>
          </w:r>
          <w:r>
            <w:rPr>
              <w:rFonts w:ascii="Times New Roman" w:hAnsi="Times New Roman" w:eastAsia="仿宋"/>
              <w:sz w:val="28"/>
              <w:szCs w:val="32"/>
            </w:rPr>
            <w:fldChar w:fldCharType="separate"/>
          </w:r>
          <w:r>
            <w:rPr>
              <w:rFonts w:ascii="Times New Roman" w:hAnsi="Times New Roman" w:eastAsia="仿宋"/>
              <w:sz w:val="28"/>
              <w:szCs w:val="32"/>
            </w:rPr>
            <w:t>1</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"_Toc129976806" </w:instrText>
          </w:r>
          <w:r>
            <w:fldChar w:fldCharType="separate"/>
          </w:r>
          <w:r>
            <w:rPr>
              <w:rStyle w:val="19"/>
              <w:rFonts w:ascii="Times New Roman" w:hAnsi="Times New Roman" w:eastAsia="仿宋"/>
              <w:sz w:val="28"/>
              <w:szCs w:val="32"/>
            </w:rPr>
            <w:t>2. 矛盾冲突点多面广</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_Toc129976806 \h </w:instrText>
          </w:r>
          <w:r>
            <w:rPr>
              <w:rFonts w:ascii="Times New Roman" w:hAnsi="Times New Roman" w:eastAsia="仿宋"/>
              <w:sz w:val="28"/>
              <w:szCs w:val="32"/>
            </w:rPr>
            <w:fldChar w:fldCharType="separate"/>
          </w:r>
          <w:r>
            <w:rPr>
              <w:rFonts w:ascii="Times New Roman" w:hAnsi="Times New Roman" w:eastAsia="仿宋"/>
              <w:sz w:val="28"/>
              <w:szCs w:val="32"/>
            </w:rPr>
            <w:t>1</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"_Toc129976807" </w:instrText>
          </w:r>
          <w:r>
            <w:fldChar w:fldCharType="separate"/>
          </w:r>
          <w:r>
            <w:rPr>
              <w:rStyle w:val="19"/>
              <w:rFonts w:ascii="Times New Roman" w:hAnsi="Times New Roman" w:eastAsia="仿宋" w:cs="Times New Roman"/>
              <w:sz w:val="28"/>
              <w:szCs w:val="32"/>
            </w:rPr>
            <w:t>（二）自然保护地面积</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_Toc129976807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2</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"_Toc129976808" </w:instrText>
          </w:r>
          <w:r>
            <w:fldChar w:fldCharType="separate"/>
          </w:r>
          <w:r>
            <w:rPr>
              <w:rStyle w:val="19"/>
              <w:rFonts w:ascii="Times New Roman" w:hAnsi="Times New Roman" w:eastAsia="仿宋"/>
              <w:sz w:val="28"/>
              <w:szCs w:val="32"/>
            </w:rPr>
            <w:t>1. 批复面积</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_Toc129976808 \h </w:instrText>
          </w:r>
          <w:r>
            <w:rPr>
              <w:rFonts w:ascii="Times New Roman" w:hAnsi="Times New Roman" w:eastAsia="仿宋"/>
              <w:sz w:val="28"/>
              <w:szCs w:val="32"/>
            </w:rPr>
            <w:fldChar w:fldCharType="separate"/>
          </w:r>
          <w:r>
            <w:rPr>
              <w:rFonts w:ascii="Times New Roman" w:hAnsi="Times New Roman" w:eastAsia="仿宋"/>
              <w:sz w:val="28"/>
              <w:szCs w:val="32"/>
            </w:rPr>
            <w:t>2</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"_Toc129976809" </w:instrText>
          </w:r>
          <w:r>
            <w:fldChar w:fldCharType="separate"/>
          </w:r>
          <w:r>
            <w:rPr>
              <w:rStyle w:val="19"/>
              <w:rFonts w:ascii="Times New Roman" w:hAnsi="Times New Roman" w:eastAsia="仿宋"/>
              <w:sz w:val="28"/>
              <w:szCs w:val="32"/>
            </w:rPr>
            <w:t>2. 矢量面积</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_Toc129976809 \h </w:instrText>
          </w:r>
          <w:r>
            <w:rPr>
              <w:rFonts w:ascii="Times New Roman" w:hAnsi="Times New Roman" w:eastAsia="仿宋"/>
              <w:sz w:val="28"/>
              <w:szCs w:val="32"/>
            </w:rPr>
            <w:fldChar w:fldCharType="separate"/>
          </w:r>
          <w:r>
            <w:rPr>
              <w:rFonts w:ascii="Times New Roman" w:hAnsi="Times New Roman" w:eastAsia="仿宋"/>
              <w:sz w:val="28"/>
              <w:szCs w:val="32"/>
            </w:rPr>
            <w:t>2</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"_Toc129976810" </w:instrText>
          </w:r>
          <w:r>
            <w:fldChar w:fldCharType="separate"/>
          </w:r>
          <w:r>
            <w:rPr>
              <w:rStyle w:val="19"/>
              <w:rFonts w:ascii="Times New Roman" w:hAnsi="Times New Roman" w:eastAsia="仿宋"/>
              <w:sz w:val="28"/>
              <w:szCs w:val="32"/>
            </w:rPr>
            <w:t>3. 净占地面积</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_Toc129976810 \h </w:instrText>
          </w:r>
          <w:r>
            <w:rPr>
              <w:rFonts w:ascii="Times New Roman" w:hAnsi="Times New Roman" w:eastAsia="仿宋"/>
              <w:sz w:val="28"/>
              <w:szCs w:val="32"/>
            </w:rPr>
            <w:fldChar w:fldCharType="separate"/>
          </w:r>
          <w:r>
            <w:rPr>
              <w:rFonts w:ascii="Times New Roman" w:hAnsi="Times New Roman" w:eastAsia="仿宋"/>
              <w:sz w:val="28"/>
              <w:szCs w:val="32"/>
            </w:rPr>
            <w:t>2</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"_Toc129976811" </w:instrText>
          </w:r>
          <w:r>
            <w:fldChar w:fldCharType="separate"/>
          </w:r>
          <w:r>
            <w:rPr>
              <w:rStyle w:val="19"/>
              <w:rFonts w:ascii="Times New Roman" w:hAnsi="Times New Roman" w:eastAsia="仿宋" w:cs="Times New Roman"/>
              <w:sz w:val="28"/>
              <w:szCs w:val="32"/>
            </w:rPr>
            <w:t>（三）分类概述</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_Toc129976811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2</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"_Toc129976812" </w:instrText>
          </w:r>
          <w:r>
            <w:fldChar w:fldCharType="separate"/>
          </w:r>
          <w:r>
            <w:rPr>
              <w:rStyle w:val="19"/>
              <w:rFonts w:ascii="Times New Roman" w:hAnsi="Times New Roman" w:eastAsia="仿宋"/>
              <w:sz w:val="28"/>
              <w:szCs w:val="32"/>
            </w:rPr>
            <w:t>1. 自然保护区</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_Toc129976812 \h </w:instrText>
          </w:r>
          <w:r>
            <w:rPr>
              <w:rFonts w:ascii="Times New Roman" w:hAnsi="Times New Roman" w:eastAsia="仿宋"/>
              <w:sz w:val="28"/>
              <w:szCs w:val="32"/>
            </w:rPr>
            <w:fldChar w:fldCharType="separate"/>
          </w:r>
          <w:r>
            <w:rPr>
              <w:rFonts w:ascii="Times New Roman" w:hAnsi="Times New Roman" w:eastAsia="仿宋"/>
              <w:sz w:val="28"/>
              <w:szCs w:val="32"/>
            </w:rPr>
            <w:t>2</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"_Toc129976813" </w:instrText>
          </w:r>
          <w:r>
            <w:fldChar w:fldCharType="separate"/>
          </w:r>
          <w:r>
            <w:rPr>
              <w:rStyle w:val="19"/>
              <w:rFonts w:ascii="Times New Roman" w:hAnsi="Times New Roman" w:eastAsia="仿宋"/>
              <w:sz w:val="28"/>
              <w:szCs w:val="32"/>
            </w:rPr>
            <w:t>2. 湿地公园</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_Toc129976813 \h </w:instrText>
          </w:r>
          <w:r>
            <w:rPr>
              <w:rFonts w:ascii="Times New Roman" w:hAnsi="Times New Roman" w:eastAsia="仿宋"/>
              <w:sz w:val="28"/>
              <w:szCs w:val="32"/>
            </w:rPr>
            <w:fldChar w:fldCharType="separate"/>
          </w:r>
          <w:r>
            <w:rPr>
              <w:rFonts w:ascii="Times New Roman" w:hAnsi="Times New Roman" w:eastAsia="仿宋"/>
              <w:sz w:val="28"/>
              <w:szCs w:val="32"/>
            </w:rPr>
            <w:t>2</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"_Toc129976814" </w:instrText>
          </w:r>
          <w:r>
            <w:fldChar w:fldCharType="separate"/>
          </w:r>
          <w:r>
            <w:rPr>
              <w:rStyle w:val="19"/>
              <w:rFonts w:ascii="Times New Roman" w:hAnsi="Times New Roman" w:eastAsia="仿宋"/>
              <w:sz w:val="28"/>
              <w:szCs w:val="32"/>
            </w:rPr>
            <w:t>3. 沙漠公园</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_Toc129976814 \h </w:instrText>
          </w:r>
          <w:r>
            <w:rPr>
              <w:rFonts w:ascii="Times New Roman" w:hAnsi="Times New Roman" w:eastAsia="仿宋"/>
              <w:sz w:val="28"/>
              <w:szCs w:val="32"/>
            </w:rPr>
            <w:fldChar w:fldCharType="separate"/>
          </w:r>
          <w:r>
            <w:rPr>
              <w:rFonts w:ascii="Times New Roman" w:hAnsi="Times New Roman" w:eastAsia="仿宋"/>
              <w:sz w:val="28"/>
              <w:szCs w:val="32"/>
            </w:rPr>
            <w:t>2</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2"/>
            <w:spacing w:line="460" w:lineRule="exact"/>
            <w:rPr>
              <w:rFonts w:ascii="Times New Roman" w:hAnsi="Times New Roman" w:eastAsia="仿宋"/>
              <w:sz w:val="28"/>
              <w:szCs w:val="32"/>
            </w:rPr>
          </w:pPr>
          <w:r>
            <w:fldChar w:fldCharType="begin"/>
          </w:r>
          <w:r>
            <w:instrText xml:space="preserve"> HYPERLINK \l "_Toc129976815" </w:instrText>
          </w:r>
          <w:r>
            <w:fldChar w:fldCharType="separate"/>
          </w:r>
          <w:r>
            <w:rPr>
              <w:rStyle w:val="19"/>
              <w:rFonts w:ascii="Times New Roman" w:hAnsi="Times New Roman" w:eastAsia="仿宋"/>
              <w:sz w:val="28"/>
              <w:szCs w:val="32"/>
            </w:rPr>
            <w:t>二、工作开展情况</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_Toc129976815 \h </w:instrText>
          </w:r>
          <w:r>
            <w:rPr>
              <w:rFonts w:ascii="Times New Roman" w:hAnsi="Times New Roman" w:eastAsia="仿宋"/>
              <w:sz w:val="28"/>
              <w:szCs w:val="32"/>
            </w:rPr>
            <w:fldChar w:fldCharType="separate"/>
          </w:r>
          <w:r>
            <w:rPr>
              <w:rFonts w:ascii="Times New Roman" w:hAnsi="Times New Roman" w:eastAsia="仿宋"/>
              <w:sz w:val="28"/>
              <w:szCs w:val="32"/>
            </w:rPr>
            <w:t>4</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"_Toc129976816" </w:instrText>
          </w:r>
          <w:r>
            <w:fldChar w:fldCharType="separate"/>
          </w:r>
          <w:r>
            <w:rPr>
              <w:rStyle w:val="19"/>
              <w:rFonts w:ascii="Times New Roman" w:hAnsi="Times New Roman" w:eastAsia="仿宋" w:cs="Times New Roman"/>
              <w:sz w:val="28"/>
              <w:szCs w:val="32"/>
            </w:rPr>
            <w:t>（一）工作思路</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_Toc129976816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4</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"_Toc129976817" </w:instrText>
          </w:r>
          <w:r>
            <w:fldChar w:fldCharType="separate"/>
          </w:r>
          <w:r>
            <w:rPr>
              <w:rStyle w:val="19"/>
              <w:rFonts w:ascii="Times New Roman" w:hAnsi="Times New Roman" w:eastAsia="仿宋" w:cs="Times New Roman"/>
              <w:sz w:val="28"/>
              <w:szCs w:val="32"/>
            </w:rPr>
            <w:t>（二）工作过程</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_Toc129976817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5</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"_Toc129976818" </w:instrText>
          </w:r>
          <w:r>
            <w:fldChar w:fldCharType="separate"/>
          </w:r>
          <w:r>
            <w:rPr>
              <w:rStyle w:val="19"/>
              <w:rFonts w:ascii="Times New Roman" w:hAnsi="Times New Roman" w:eastAsia="仿宋"/>
              <w:sz w:val="28"/>
              <w:szCs w:val="32"/>
            </w:rPr>
            <w:t>1.调查摸底</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_Toc129976818 \h </w:instrText>
          </w:r>
          <w:r>
            <w:rPr>
              <w:rFonts w:ascii="Times New Roman" w:hAnsi="Times New Roman" w:eastAsia="仿宋"/>
              <w:sz w:val="28"/>
              <w:szCs w:val="32"/>
            </w:rPr>
            <w:fldChar w:fldCharType="separate"/>
          </w:r>
          <w:r>
            <w:rPr>
              <w:rFonts w:ascii="Times New Roman" w:hAnsi="Times New Roman" w:eastAsia="仿宋"/>
              <w:sz w:val="28"/>
              <w:szCs w:val="32"/>
            </w:rPr>
            <w:t>5</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"_Toc129976819" </w:instrText>
          </w:r>
          <w:r>
            <w:fldChar w:fldCharType="separate"/>
          </w:r>
          <w:r>
            <w:rPr>
              <w:rStyle w:val="19"/>
              <w:rFonts w:ascii="Times New Roman" w:hAnsi="Times New Roman" w:eastAsia="仿宋"/>
              <w:sz w:val="28"/>
              <w:szCs w:val="32"/>
            </w:rPr>
            <w:t>2. 统一数据标准</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_Toc129976819 \h </w:instrText>
          </w:r>
          <w:r>
            <w:rPr>
              <w:rFonts w:ascii="Times New Roman" w:hAnsi="Times New Roman" w:eastAsia="仿宋"/>
              <w:sz w:val="28"/>
              <w:szCs w:val="32"/>
            </w:rPr>
            <w:fldChar w:fldCharType="separate"/>
          </w:r>
          <w:r>
            <w:rPr>
              <w:rFonts w:ascii="Times New Roman" w:hAnsi="Times New Roman" w:eastAsia="仿宋"/>
              <w:sz w:val="28"/>
              <w:szCs w:val="32"/>
            </w:rPr>
            <w:t>5</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"_Toc129976820" </w:instrText>
          </w:r>
          <w:r>
            <w:fldChar w:fldCharType="separate"/>
          </w:r>
          <w:r>
            <w:rPr>
              <w:rStyle w:val="19"/>
              <w:rFonts w:ascii="Times New Roman" w:hAnsi="Times New Roman" w:eastAsia="仿宋"/>
              <w:sz w:val="28"/>
              <w:szCs w:val="32"/>
            </w:rPr>
            <w:t>3. 联合开展工作</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_Toc129976820 \h </w:instrText>
          </w:r>
          <w:r>
            <w:rPr>
              <w:rFonts w:ascii="Times New Roman" w:hAnsi="Times New Roman" w:eastAsia="仿宋"/>
              <w:sz w:val="28"/>
              <w:szCs w:val="32"/>
            </w:rPr>
            <w:fldChar w:fldCharType="separate"/>
          </w:r>
          <w:r>
            <w:rPr>
              <w:rFonts w:ascii="Times New Roman" w:hAnsi="Times New Roman" w:eastAsia="仿宋"/>
              <w:sz w:val="28"/>
              <w:szCs w:val="32"/>
            </w:rPr>
            <w:t>5</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2"/>
            <w:spacing w:line="460" w:lineRule="exact"/>
            <w:rPr>
              <w:rFonts w:ascii="Times New Roman" w:hAnsi="Times New Roman" w:eastAsia="仿宋"/>
              <w:sz w:val="28"/>
              <w:szCs w:val="32"/>
            </w:rPr>
          </w:pPr>
          <w:r>
            <w:fldChar w:fldCharType="begin"/>
          </w:r>
          <w:r>
            <w:instrText xml:space="preserve"> HYPERLINK \l "_Toc129976821" </w:instrText>
          </w:r>
          <w:r>
            <w:fldChar w:fldCharType="separate"/>
          </w:r>
          <w:r>
            <w:rPr>
              <w:rStyle w:val="19"/>
              <w:rFonts w:ascii="Times New Roman" w:hAnsi="Times New Roman" w:eastAsia="仿宋"/>
              <w:sz w:val="28"/>
              <w:szCs w:val="32"/>
            </w:rPr>
            <w:t>三、整合优化规则</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_Toc129976821 \h </w:instrText>
          </w:r>
          <w:r>
            <w:rPr>
              <w:rFonts w:ascii="Times New Roman" w:hAnsi="Times New Roman" w:eastAsia="仿宋"/>
              <w:sz w:val="28"/>
              <w:szCs w:val="32"/>
            </w:rPr>
            <w:fldChar w:fldCharType="separate"/>
          </w:r>
          <w:r>
            <w:rPr>
              <w:rFonts w:ascii="Times New Roman" w:hAnsi="Times New Roman" w:eastAsia="仿宋"/>
              <w:sz w:val="28"/>
              <w:szCs w:val="32"/>
            </w:rPr>
            <w:t>7</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"_Toc129976822" </w:instrText>
          </w:r>
          <w:r>
            <w:fldChar w:fldCharType="separate"/>
          </w:r>
          <w:r>
            <w:rPr>
              <w:rStyle w:val="19"/>
              <w:rFonts w:ascii="Times New Roman" w:hAnsi="Times New Roman" w:eastAsia="仿宋" w:cs="Times New Roman"/>
              <w:sz w:val="28"/>
              <w:szCs w:val="32"/>
            </w:rPr>
            <w:t>（一）分类分级规则</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_Toc129976822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7</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"_Toc129976823" </w:instrText>
          </w:r>
          <w:r>
            <w:fldChar w:fldCharType="separate"/>
          </w:r>
          <w:r>
            <w:rPr>
              <w:rStyle w:val="19"/>
              <w:rFonts w:ascii="Times New Roman" w:hAnsi="Times New Roman" w:eastAsia="仿宋" w:cs="Times New Roman"/>
              <w:sz w:val="28"/>
              <w:szCs w:val="32"/>
            </w:rPr>
            <w:t>（二）分区优化规则</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_Toc129976823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8</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"_Toc129976824" </w:instrText>
          </w:r>
          <w:r>
            <w:fldChar w:fldCharType="separate"/>
          </w:r>
          <w:r>
            <w:rPr>
              <w:rStyle w:val="19"/>
              <w:rFonts w:ascii="Times New Roman" w:hAnsi="Times New Roman" w:eastAsia="仿宋" w:cs="Times New Roman"/>
              <w:sz w:val="28"/>
              <w:szCs w:val="32"/>
            </w:rPr>
            <w:t>（三）调入规则</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_Toc129976824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9</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"_Toc129976825" </w:instrText>
          </w:r>
          <w:r>
            <w:fldChar w:fldCharType="separate"/>
          </w:r>
          <w:r>
            <w:rPr>
              <w:rStyle w:val="19"/>
              <w:rFonts w:ascii="Times New Roman" w:hAnsi="Times New Roman" w:eastAsia="仿宋" w:cs="Times New Roman"/>
              <w:sz w:val="28"/>
              <w:szCs w:val="32"/>
            </w:rPr>
            <w:t>（四）矛盾冲突处理规则</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_Toc129976825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9</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2"/>
            <w:spacing w:line="460" w:lineRule="exact"/>
            <w:rPr>
              <w:rFonts w:ascii="Times New Roman" w:hAnsi="Times New Roman" w:eastAsia="仿宋"/>
              <w:sz w:val="28"/>
              <w:szCs w:val="32"/>
            </w:rPr>
          </w:pPr>
          <w:r>
            <w:fldChar w:fldCharType="begin"/>
          </w:r>
          <w:r>
            <w:instrText xml:space="preserve"> HYPERLINK \l "_Toc129976826" </w:instrText>
          </w:r>
          <w:r>
            <w:fldChar w:fldCharType="separate"/>
          </w:r>
          <w:r>
            <w:rPr>
              <w:rStyle w:val="19"/>
              <w:rFonts w:ascii="Times New Roman" w:hAnsi="Times New Roman" w:eastAsia="仿宋"/>
              <w:sz w:val="28"/>
              <w:szCs w:val="32"/>
            </w:rPr>
            <w:t>四、整合优化结果</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_Toc129976826 \h </w:instrText>
          </w:r>
          <w:r>
            <w:rPr>
              <w:rFonts w:ascii="Times New Roman" w:hAnsi="Times New Roman" w:eastAsia="仿宋"/>
              <w:sz w:val="28"/>
              <w:szCs w:val="32"/>
            </w:rPr>
            <w:fldChar w:fldCharType="separate"/>
          </w:r>
          <w:r>
            <w:rPr>
              <w:rFonts w:ascii="Times New Roman" w:hAnsi="Times New Roman" w:eastAsia="仿宋"/>
              <w:sz w:val="28"/>
              <w:szCs w:val="32"/>
            </w:rPr>
            <w:t>13</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"_Toc129976827" </w:instrText>
          </w:r>
          <w:r>
            <w:fldChar w:fldCharType="separate"/>
          </w:r>
          <w:r>
            <w:rPr>
              <w:rStyle w:val="19"/>
              <w:rFonts w:ascii="Times New Roman" w:hAnsi="Times New Roman" w:eastAsia="仿宋" w:cs="Times New Roman"/>
              <w:sz w:val="28"/>
              <w:szCs w:val="32"/>
            </w:rPr>
            <w:t>（一）分类分级</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_Toc129976827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13</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"_Toc129976828" </w:instrText>
          </w:r>
          <w:r>
            <w:fldChar w:fldCharType="separate"/>
          </w:r>
          <w:r>
            <w:rPr>
              <w:rStyle w:val="19"/>
              <w:rFonts w:ascii="Times New Roman" w:hAnsi="Times New Roman" w:eastAsia="仿宋" w:cs="Times New Roman"/>
              <w:sz w:val="28"/>
              <w:szCs w:val="32"/>
            </w:rPr>
            <w:t>（二）分区管控</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_Toc129976828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14</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"_Toc129976829" </w:instrText>
          </w:r>
          <w:r>
            <w:fldChar w:fldCharType="separate"/>
          </w:r>
          <w:r>
            <w:rPr>
              <w:rStyle w:val="19"/>
              <w:rFonts w:ascii="Times New Roman" w:hAnsi="Times New Roman" w:eastAsia="仿宋" w:cs="Times New Roman"/>
              <w:sz w:val="28"/>
              <w:szCs w:val="32"/>
            </w:rPr>
            <w:t>（三）调入和调出</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_Toc129976829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15</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"_Toc129976830" </w:instrText>
          </w:r>
          <w:r>
            <w:fldChar w:fldCharType="separate"/>
          </w:r>
          <w:r>
            <w:rPr>
              <w:rStyle w:val="19"/>
              <w:rFonts w:ascii="Times New Roman" w:hAnsi="Times New Roman" w:eastAsia="仿宋"/>
              <w:sz w:val="28"/>
              <w:szCs w:val="32"/>
            </w:rPr>
            <w:t>1. 调入生态空间</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_Toc129976830 \h </w:instrText>
          </w:r>
          <w:r>
            <w:rPr>
              <w:rFonts w:ascii="Times New Roman" w:hAnsi="Times New Roman" w:eastAsia="仿宋"/>
              <w:sz w:val="28"/>
              <w:szCs w:val="32"/>
            </w:rPr>
            <w:fldChar w:fldCharType="separate"/>
          </w:r>
          <w:r>
            <w:rPr>
              <w:rFonts w:ascii="Times New Roman" w:hAnsi="Times New Roman" w:eastAsia="仿宋"/>
              <w:sz w:val="28"/>
              <w:szCs w:val="32"/>
            </w:rPr>
            <w:t>15</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7"/>
            <w:tabs>
              <w:tab w:val="right" w:leader="dot" w:pos="8724"/>
            </w:tabs>
            <w:spacing w:line="460" w:lineRule="exact"/>
            <w:ind w:left="960"/>
            <w:rPr>
              <w:rFonts w:ascii="Times New Roman" w:hAnsi="Times New Roman" w:eastAsia="仿宋"/>
              <w:sz w:val="28"/>
              <w:szCs w:val="32"/>
            </w:rPr>
          </w:pPr>
          <w:r>
            <w:fldChar w:fldCharType="begin"/>
          </w:r>
          <w:r>
            <w:instrText xml:space="preserve"> HYPERLINK \l "_Toc129976831" </w:instrText>
          </w:r>
          <w:r>
            <w:fldChar w:fldCharType="separate"/>
          </w:r>
          <w:r>
            <w:rPr>
              <w:rStyle w:val="19"/>
              <w:rFonts w:ascii="Times New Roman" w:hAnsi="Times New Roman" w:eastAsia="仿宋"/>
              <w:sz w:val="28"/>
              <w:szCs w:val="32"/>
            </w:rPr>
            <w:t>2. 调出矛盾冲突</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_Toc129976831 \h </w:instrText>
          </w:r>
          <w:r>
            <w:rPr>
              <w:rFonts w:ascii="Times New Roman" w:hAnsi="Times New Roman" w:eastAsia="仿宋"/>
              <w:sz w:val="28"/>
              <w:szCs w:val="32"/>
            </w:rPr>
            <w:fldChar w:fldCharType="separate"/>
          </w:r>
          <w:r>
            <w:rPr>
              <w:rFonts w:ascii="Times New Roman" w:hAnsi="Times New Roman" w:eastAsia="仿宋"/>
              <w:sz w:val="28"/>
              <w:szCs w:val="32"/>
            </w:rPr>
            <w:t>16</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2"/>
            <w:spacing w:line="460" w:lineRule="exact"/>
            <w:rPr>
              <w:rFonts w:ascii="Times New Roman" w:hAnsi="Times New Roman" w:eastAsia="仿宋"/>
              <w:sz w:val="28"/>
              <w:szCs w:val="32"/>
            </w:rPr>
          </w:pPr>
          <w:r>
            <w:fldChar w:fldCharType="begin"/>
          </w:r>
          <w:r>
            <w:instrText xml:space="preserve"> HYPERLINK \l "_Toc129976832" </w:instrText>
          </w:r>
          <w:r>
            <w:fldChar w:fldCharType="separate"/>
          </w:r>
          <w:r>
            <w:rPr>
              <w:rStyle w:val="19"/>
              <w:rFonts w:ascii="Times New Roman" w:hAnsi="Times New Roman" w:eastAsia="仿宋"/>
              <w:sz w:val="28"/>
              <w:szCs w:val="32"/>
            </w:rPr>
            <w:t>五、成效分析</w:t>
          </w:r>
          <w:r>
            <w:rPr>
              <w:rFonts w:ascii="Times New Roman" w:hAnsi="Times New Roman" w:eastAsia="仿宋"/>
              <w:sz w:val="28"/>
              <w:szCs w:val="32"/>
            </w:rPr>
            <w:tab/>
          </w:r>
          <w:r>
            <w:rPr>
              <w:rFonts w:ascii="Times New Roman" w:hAnsi="Times New Roman" w:eastAsia="仿宋"/>
              <w:sz w:val="28"/>
              <w:szCs w:val="32"/>
            </w:rPr>
            <w:fldChar w:fldCharType="begin"/>
          </w:r>
          <w:r>
            <w:rPr>
              <w:rFonts w:ascii="Times New Roman" w:hAnsi="Times New Roman" w:eastAsia="仿宋"/>
              <w:sz w:val="28"/>
              <w:szCs w:val="32"/>
            </w:rPr>
            <w:instrText xml:space="preserve"> PAGEREF _Toc129976832 \h </w:instrText>
          </w:r>
          <w:r>
            <w:rPr>
              <w:rFonts w:ascii="Times New Roman" w:hAnsi="Times New Roman" w:eastAsia="仿宋"/>
              <w:sz w:val="28"/>
              <w:szCs w:val="32"/>
            </w:rPr>
            <w:fldChar w:fldCharType="separate"/>
          </w:r>
          <w:r>
            <w:rPr>
              <w:rFonts w:ascii="Times New Roman" w:hAnsi="Times New Roman" w:eastAsia="仿宋"/>
              <w:sz w:val="28"/>
              <w:szCs w:val="32"/>
            </w:rPr>
            <w:t>18</w:t>
          </w:r>
          <w:r>
            <w:rPr>
              <w:rFonts w:ascii="Times New Roman" w:hAnsi="Times New Roman" w:eastAsia="仿宋"/>
              <w:sz w:val="28"/>
              <w:szCs w:val="32"/>
            </w:rPr>
            <w:fldChar w:fldCharType="end"/>
          </w:r>
          <w:r>
            <w:rPr>
              <w:rFonts w:ascii="Times New Roman" w:hAnsi="Times New Roman" w:eastAsia="仿宋"/>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"_Toc129976833" </w:instrText>
          </w:r>
          <w:r>
            <w:fldChar w:fldCharType="separate"/>
          </w:r>
          <w:r>
            <w:rPr>
              <w:rStyle w:val="19"/>
              <w:rFonts w:ascii="Times New Roman" w:hAnsi="Times New Roman" w:eastAsia="仿宋" w:cs="Times New Roman"/>
              <w:sz w:val="28"/>
              <w:szCs w:val="32"/>
            </w:rPr>
            <w:t>（一）解决了自然保护地矛盾冲突</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_Toc129976833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18</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"_Toc129976834" </w:instrText>
          </w:r>
          <w:r>
            <w:fldChar w:fldCharType="separate"/>
          </w:r>
          <w:r>
            <w:rPr>
              <w:rStyle w:val="19"/>
              <w:rFonts w:ascii="Times New Roman" w:hAnsi="Times New Roman" w:eastAsia="仿宋" w:cs="Times New Roman"/>
              <w:sz w:val="28"/>
              <w:szCs w:val="32"/>
            </w:rPr>
            <w:t>（二）夯实自然保护地监督管理基础</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_Toc129976834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18</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pStyle w:val="14"/>
            <w:spacing w:line="460" w:lineRule="exact"/>
            <w:ind w:left="480"/>
            <w:rPr>
              <w:rFonts w:ascii="Times New Roman" w:hAnsi="Times New Roman" w:eastAsia="仿宋" w:cs="Times New Roman"/>
              <w:kern w:val="2"/>
              <w:sz w:val="28"/>
              <w:szCs w:val="32"/>
            </w:rPr>
          </w:pPr>
          <w:r>
            <w:fldChar w:fldCharType="begin"/>
          </w:r>
          <w:r>
            <w:instrText xml:space="preserve"> HYPERLINK \l "_Toc129976835" </w:instrText>
          </w:r>
          <w:r>
            <w:fldChar w:fldCharType="separate"/>
          </w:r>
          <w:r>
            <w:rPr>
              <w:rStyle w:val="19"/>
              <w:rFonts w:ascii="Times New Roman" w:hAnsi="Times New Roman" w:eastAsia="仿宋" w:cs="Times New Roman"/>
              <w:sz w:val="28"/>
              <w:szCs w:val="32"/>
            </w:rPr>
            <w:t>（三）促进构建国土空间开发保护新格局</w:t>
          </w:r>
          <w:r>
            <w:rPr>
              <w:rFonts w:ascii="Times New Roman" w:hAnsi="Times New Roman" w:eastAsia="仿宋" w:cs="Times New Roman"/>
              <w:sz w:val="28"/>
              <w:szCs w:val="32"/>
            </w:rPr>
            <w:tab/>
          </w:r>
          <w:r>
            <w:rPr>
              <w:rFonts w:ascii="Times New Roman" w:hAnsi="Times New Roman" w:eastAsia="仿宋" w:cs="Times New Roman"/>
              <w:sz w:val="28"/>
              <w:szCs w:val="32"/>
            </w:rPr>
            <w:fldChar w:fldCharType="begin"/>
          </w:r>
          <w:r>
            <w:rPr>
              <w:rFonts w:ascii="Times New Roman" w:hAnsi="Times New Roman" w:eastAsia="仿宋" w:cs="Times New Roman"/>
              <w:sz w:val="28"/>
              <w:szCs w:val="32"/>
            </w:rPr>
            <w:instrText xml:space="preserve"> PAGEREF _Toc129976835 \h </w:instrText>
          </w:r>
          <w:r>
            <w:rPr>
              <w:rFonts w:ascii="Times New Roman" w:hAnsi="Times New Roman" w:eastAsia="仿宋" w:cs="Times New Roman"/>
              <w:sz w:val="28"/>
              <w:szCs w:val="32"/>
            </w:rPr>
            <w:fldChar w:fldCharType="separate"/>
          </w:r>
          <w:r>
            <w:rPr>
              <w:rFonts w:ascii="Times New Roman" w:hAnsi="Times New Roman" w:eastAsia="仿宋" w:cs="Times New Roman"/>
              <w:sz w:val="28"/>
              <w:szCs w:val="32"/>
            </w:rPr>
            <w:t>19</w:t>
          </w:r>
          <w:r>
            <w:rPr>
              <w:rFonts w:ascii="Times New Roman" w:hAnsi="Times New Roman" w:eastAsia="仿宋" w:cs="Times New Roman"/>
              <w:sz w:val="28"/>
              <w:szCs w:val="32"/>
            </w:rPr>
            <w:fldChar w:fldCharType="end"/>
          </w:r>
          <w:r>
            <w:rPr>
              <w:rFonts w:ascii="Times New Roman" w:hAnsi="Times New Roman" w:eastAsia="仿宋" w:cs="Times New Roman"/>
              <w:sz w:val="28"/>
              <w:szCs w:val="32"/>
            </w:rPr>
            <w:fldChar w:fldCharType="end"/>
          </w:r>
        </w:p>
        <w:p>
          <w:pPr>
            <w:widowControl w:val="0"/>
            <w:adjustRightInd w:val="0"/>
            <w:snapToGrid w:val="0"/>
            <w:spacing w:line="460" w:lineRule="exact"/>
            <w:rPr>
              <w:rFonts w:ascii="Times New Roman" w:hAnsi="Times New Roman" w:cs="Times New Roman"/>
              <w:b/>
              <w:bCs/>
              <w:lang w:val="zh-CN"/>
            </w:rPr>
          </w:pPr>
          <w:r>
            <w:rPr>
              <w:rFonts w:ascii="Times New Roman" w:hAnsi="Times New Roman" w:cs="Times New Roman"/>
              <w:bCs/>
              <w:lang w:val="zh-CN"/>
            </w:rPr>
            <w:fldChar w:fldCharType="end"/>
          </w:r>
        </w:p>
      </w:sdtContent>
    </w:sdt>
    <w:p>
      <w:pPr>
        <w:spacing w:line="500" w:lineRule="atLeast"/>
        <w:rPr>
          <w:rFonts w:ascii="Times New Roman" w:hAnsi="Times New Roman" w:eastAsia="仿宋" w:cs="Times New Roman"/>
          <w:b/>
          <w:bCs/>
          <w:sz w:val="28"/>
          <w:szCs w:val="28"/>
          <w:lang w:val="zh-CN"/>
        </w:rPr>
      </w:pPr>
      <w:r>
        <w:rPr>
          <w:rFonts w:ascii="Times New Roman" w:hAnsi="Times New Roman" w:eastAsia="仿宋" w:cs="Times New Roman"/>
          <w:b/>
          <w:bCs/>
          <w:sz w:val="28"/>
          <w:szCs w:val="28"/>
          <w:lang w:val="zh-CN"/>
        </w:rPr>
        <w:t>附表</w:t>
      </w:r>
    </w:p>
    <w:p>
      <w:pPr>
        <w:spacing w:line="400" w:lineRule="exact"/>
        <w:ind w:left="240" w:leftChars="100"/>
        <w:rPr>
          <w:rFonts w:ascii="Times New Roman" w:hAnsi="Times New Roman" w:eastAsia="仿宋" w:cs="Times New Roman"/>
          <w:sz w:val="28"/>
          <w:szCs w:val="28"/>
        </w:rPr>
      </w:pPr>
      <w:r>
        <w:rPr>
          <w:rFonts w:ascii="Times New Roman" w:hAnsi="Times New Roman" w:eastAsia="仿宋" w:cs="Times New Roman"/>
          <w:sz w:val="28"/>
          <w:szCs w:val="28"/>
        </w:rPr>
        <w:t>1.整合优化前后自然保护地情况对比</w:t>
      </w:r>
    </w:p>
    <w:p>
      <w:pPr>
        <w:spacing w:line="500" w:lineRule="atLeast"/>
        <w:rPr>
          <w:rFonts w:ascii="Times New Roman" w:hAnsi="Times New Roman" w:eastAsia="仿宋" w:cs="Times New Roman"/>
          <w:b/>
          <w:bCs/>
          <w:sz w:val="28"/>
          <w:szCs w:val="28"/>
        </w:rPr>
      </w:pPr>
    </w:p>
    <w:p>
      <w:pPr>
        <w:widowControl w:val="0"/>
        <w:adjustRightInd w:val="0"/>
        <w:snapToGrid w:val="0"/>
        <w:spacing w:line="520" w:lineRule="atLeast"/>
        <w:ind w:left="800" w:leftChars="100" w:hanging="560" w:hangingChars="200"/>
        <w:jc w:val="both"/>
        <w:rPr>
          <w:rFonts w:ascii="Times New Roman" w:hAnsi="Times New Roman" w:eastAsia="方正仿宋_GBK" w:cs="Times New Roman"/>
          <w:sz w:val="28"/>
          <w:szCs w:val="28"/>
        </w:rPr>
      </w:pPr>
    </w:p>
    <w:p>
      <w:pPr>
        <w:spacing w:line="500" w:lineRule="atLeast"/>
        <w:ind w:left="240" w:leftChars="100"/>
        <w:rPr>
          <w:rFonts w:ascii="Times New Roman" w:hAnsi="Times New Roman" w:eastAsia="方正仿宋_GBK" w:cs="Times New Roman"/>
          <w:sz w:val="32"/>
          <w:szCs w:val="32"/>
        </w:rPr>
        <w:sectPr>
          <w:footerReference r:id="rId7" w:type="default"/>
          <w:pgSz w:w="11910" w:h="16840"/>
          <w:pgMar w:top="2098" w:right="1588" w:bottom="1985" w:left="1588" w:header="0" w:footer="998" w:gutter="0"/>
          <w:cols w:space="425" w:num="1"/>
          <w:docGrid w:linePitch="299" w:charSpace="0"/>
        </w:sectPr>
      </w:pPr>
    </w:p>
    <w:p>
      <w:pPr>
        <w:pStyle w:val="2"/>
        <w:adjustRightInd w:val="0"/>
        <w:snapToGrid w:val="0"/>
        <w:spacing w:before="0" w:after="0" w:line="600" w:lineRule="atLeast"/>
        <w:ind w:firstLine="642" w:firstLineChars="200"/>
        <w:rPr>
          <w:rFonts w:ascii="Times New Roman" w:hAnsi="Times New Roman" w:eastAsia="黑体" w:cs="Times New Roman"/>
          <w:sz w:val="32"/>
          <w:szCs w:val="32"/>
        </w:rPr>
      </w:pPr>
      <w:bookmarkStart w:id="8" w:name="_Toc129976803"/>
      <w:r>
        <w:rPr>
          <w:rFonts w:ascii="Times New Roman" w:hAnsi="Times New Roman" w:eastAsia="黑体" w:cs="Times New Roman"/>
          <w:sz w:val="32"/>
          <w:szCs w:val="32"/>
        </w:rPr>
        <w:t>一、自然保护地现状</w:t>
      </w:r>
      <w:bookmarkEnd w:id="8"/>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通过调查摸底，截至2019年底，和田地区共建立自然保护区、湿地公园、沙漠公园等共计6个，总批复面积346520.95公顷，占和田地区国土总面积的1.41%；矢量面积223589.31公顷，占和田地区国土总面积的0.91%。其中，自然保护区1个（市级1个），湿地公园4个（均为国家级），沙漠公园1个（国家级）。</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9" w:name="_Toc129973880"/>
      <w:bookmarkStart w:id="10" w:name="_Toc129944383"/>
      <w:bookmarkStart w:id="11" w:name="_Toc129976804"/>
      <w:r>
        <w:rPr>
          <w:rFonts w:ascii="Times New Roman" w:hAnsi="Times New Roman" w:eastAsia="宋体" w:cs="Times New Roman"/>
        </w:rPr>
        <w:t>（一）主要问题</w:t>
      </w:r>
      <w:bookmarkEnd w:id="9"/>
      <w:bookmarkEnd w:id="10"/>
      <w:bookmarkEnd w:id="11"/>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12" w:name="_Toc129976805"/>
      <w:bookmarkStart w:id="13" w:name="_Toc129973881"/>
      <w:bookmarkStart w:id="14" w:name="_Toc129944384"/>
      <w:r>
        <w:rPr>
          <w:rFonts w:ascii="Times New Roman" w:hAnsi="Times New Roman" w:eastAsia="宋体"/>
        </w:rPr>
        <w:t>1. 边界范围底数不清</w:t>
      </w:r>
      <w:bookmarkEnd w:id="12"/>
      <w:bookmarkEnd w:id="13"/>
      <w:bookmarkEnd w:id="14"/>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新疆和田地区西昆仑藏羚羊繁殖地自然保护区于2004年11月24日和田地区行政公署批复成立（和行函【2004】85号），保护区级别为地州级。保护区成立后未编制自然保护区总体规划，无科考报告，无保护区成立前相关申报材料存档，目前自然保护区无明确界线范围，无功能分区。同时在各保护地都存在建设管理投入不足、基础设施设备落后、保护管理水平不高、执法监督能力不够等问题。</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15" w:name="_Toc129976806"/>
      <w:bookmarkStart w:id="16" w:name="_Toc129944385"/>
      <w:bookmarkStart w:id="17" w:name="_Toc129973882"/>
      <w:r>
        <w:rPr>
          <w:rFonts w:ascii="Times New Roman" w:hAnsi="Times New Roman" w:eastAsia="宋体"/>
        </w:rPr>
        <w:t>2. 矛盾冲突点多面广</w:t>
      </w:r>
      <w:bookmarkEnd w:id="15"/>
      <w:bookmarkEnd w:id="16"/>
      <w:bookmarkEnd w:id="17"/>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各自然保护地不同程度都积累有历史遗留问题，与村庄、耕地等存在空间交叉重叠，城乡发展、基础设施建设、工农业生产、居民</w:t>
      </w:r>
      <w:r>
        <w:rPr>
          <w:rFonts w:ascii="Times New Roman" w:hAnsi="Times New Roman" w:cs="Times New Roman"/>
          <w:kern w:val="2"/>
          <w:sz w:val="32"/>
          <w:szCs w:val="32"/>
        </w:rPr>
        <w:t>生活与保护管理矛盾</w:t>
      </w:r>
      <w:r>
        <w:rPr>
          <w:rFonts w:ascii="Times New Roman" w:hAnsi="Times New Roman" w:cs="Times New Roman"/>
          <w:sz w:val="32"/>
          <w:szCs w:val="32"/>
        </w:rPr>
        <w:t>冲</w:t>
      </w:r>
      <w:r>
        <w:rPr>
          <w:rFonts w:ascii="Times New Roman" w:hAnsi="Times New Roman" w:cs="Times New Roman"/>
          <w:kern w:val="2"/>
          <w:sz w:val="32"/>
          <w:szCs w:val="32"/>
        </w:rPr>
        <w:t>突</w:t>
      </w:r>
      <w:r>
        <w:rPr>
          <w:rFonts w:ascii="Times New Roman" w:hAnsi="Times New Roman" w:cs="Times New Roman"/>
          <w:sz w:val="32"/>
          <w:szCs w:val="32"/>
        </w:rPr>
        <w:t>尖锐，严重影响依法科学高效保护管理，制约经济社会发展。</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18" w:name="_Toc129973883"/>
      <w:bookmarkStart w:id="19" w:name="_Toc129944386"/>
      <w:bookmarkStart w:id="20" w:name="_Toc129976807"/>
      <w:r>
        <w:rPr>
          <w:rFonts w:ascii="Times New Roman" w:hAnsi="Times New Roman" w:eastAsia="宋体" w:cs="Times New Roman"/>
        </w:rPr>
        <w:t>（二）自然保护地面积</w:t>
      </w:r>
      <w:bookmarkEnd w:id="18"/>
      <w:bookmarkEnd w:id="19"/>
      <w:bookmarkEnd w:id="20"/>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21" w:name="_Toc129973884"/>
      <w:bookmarkStart w:id="22" w:name="_Toc129944387"/>
      <w:bookmarkStart w:id="23" w:name="_Toc129976808"/>
      <w:r>
        <w:rPr>
          <w:rFonts w:ascii="Times New Roman" w:hAnsi="Times New Roman" w:eastAsia="宋体"/>
        </w:rPr>
        <w:t>1. 批复面积</w:t>
      </w:r>
      <w:bookmarkEnd w:id="21"/>
      <w:bookmarkEnd w:id="22"/>
      <w:bookmarkEnd w:id="23"/>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以6个自然保护地申报和批复文件为依据进行统计，自然保护地总面积346520.95公顷。</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24" w:name="_Toc129973885"/>
      <w:bookmarkStart w:id="25" w:name="_Toc129976809"/>
      <w:bookmarkStart w:id="26" w:name="_Toc129944388"/>
      <w:r>
        <w:rPr>
          <w:rFonts w:ascii="Times New Roman" w:hAnsi="Times New Roman" w:eastAsia="宋体"/>
        </w:rPr>
        <w:t>2. 矢量面积</w:t>
      </w:r>
      <w:bookmarkEnd w:id="24"/>
      <w:bookmarkEnd w:id="25"/>
      <w:bookmarkEnd w:id="26"/>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对所有自然保护地边界和功能分区进行矢量落图，确定矢量总面积223589.31公顷。</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27" w:name="_Toc129973886"/>
      <w:bookmarkStart w:id="28" w:name="_Toc129944389"/>
      <w:bookmarkStart w:id="29" w:name="_Toc129976810"/>
      <w:r>
        <w:rPr>
          <w:rFonts w:ascii="Times New Roman" w:hAnsi="Times New Roman" w:eastAsia="宋体"/>
        </w:rPr>
        <w:t>3. 净占地面积</w:t>
      </w:r>
      <w:bookmarkEnd w:id="27"/>
      <w:bookmarkEnd w:id="28"/>
      <w:bookmarkEnd w:id="29"/>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和田地区自然保护地不存在交叉重叠，实际净占地总面积223589.31公顷。</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30" w:name="_Toc129976811"/>
      <w:bookmarkStart w:id="31" w:name="_Toc129973887"/>
      <w:bookmarkStart w:id="32" w:name="_Toc129944390"/>
      <w:r>
        <w:rPr>
          <w:rFonts w:ascii="Times New Roman" w:hAnsi="Times New Roman" w:eastAsia="宋体" w:cs="Times New Roman"/>
        </w:rPr>
        <w:t>（三）分类概述</w:t>
      </w:r>
      <w:bookmarkEnd w:id="30"/>
      <w:bookmarkEnd w:id="31"/>
      <w:bookmarkEnd w:id="32"/>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按矢量面积计，各类自然保护地具体情况如下：</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33" w:name="_Toc129973888"/>
      <w:bookmarkStart w:id="34" w:name="_Toc129944391"/>
      <w:bookmarkStart w:id="35" w:name="_Toc129976812"/>
      <w:r>
        <w:rPr>
          <w:rFonts w:ascii="Times New Roman" w:hAnsi="Times New Roman" w:eastAsia="宋体"/>
        </w:rPr>
        <w:t>1. 自然保护区</w:t>
      </w:r>
      <w:bookmarkEnd w:id="33"/>
      <w:bookmarkEnd w:id="34"/>
      <w:bookmarkEnd w:id="35"/>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和田地区有自然保护区1个，新疆和田地区西昆仑藏羚羊繁殖地自然保护区，地州级，面积1982.49公顷。</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36" w:name="_Toc129944392"/>
      <w:bookmarkStart w:id="37" w:name="_Toc129976813"/>
      <w:bookmarkStart w:id="38" w:name="_Toc129973889"/>
      <w:r>
        <w:rPr>
          <w:rFonts w:ascii="Times New Roman" w:hAnsi="Times New Roman" w:eastAsia="宋体"/>
        </w:rPr>
        <w:t>2. 湿地公园</w:t>
      </w:r>
      <w:bookmarkEnd w:id="36"/>
      <w:bookmarkEnd w:id="37"/>
      <w:bookmarkEnd w:id="38"/>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和田地区共有湿地公园4个，新疆尼雅国家湿地公园、新疆拉里昆国家湿地公园、新疆于田克里雅河国家湿地公园和疆策勒达玛沟国家湿地公园，均为国家级，总面积220559.82公顷。</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39" w:name="_Toc129944393"/>
      <w:bookmarkStart w:id="40" w:name="_Toc129973890"/>
      <w:bookmarkStart w:id="41" w:name="_Toc129976814"/>
      <w:r>
        <w:rPr>
          <w:rFonts w:ascii="Times New Roman" w:hAnsi="Times New Roman" w:eastAsia="宋体"/>
        </w:rPr>
        <w:t>3. 沙漠公园</w:t>
      </w:r>
      <w:bookmarkEnd w:id="39"/>
      <w:bookmarkEnd w:id="40"/>
      <w:bookmarkEnd w:id="41"/>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和田地区有沙漠公园1个，新疆洛浦玉龙湾国家沙漠公园，国家级，面积1047.01公顷。</w:t>
      </w:r>
    </w:p>
    <w:p>
      <w:pPr>
        <w:adjustRightInd w:val="0"/>
        <w:snapToGrid w:val="0"/>
        <w:spacing w:line="600" w:lineRule="atLeast"/>
        <w:ind w:firstLine="640" w:firstLineChars="200"/>
        <w:rPr>
          <w:rFonts w:ascii="Times New Roman" w:hAnsi="Times New Roman" w:cs="Times New Roman"/>
          <w:sz w:val="32"/>
          <w:szCs w:val="32"/>
        </w:rPr>
        <w:sectPr>
          <w:footerReference r:id="rId8" w:type="default"/>
          <w:pgSz w:w="11910" w:h="16840"/>
          <w:pgMar w:top="2098" w:right="1588" w:bottom="1985" w:left="1588" w:header="0" w:footer="998" w:gutter="0"/>
          <w:pgNumType w:start="1"/>
          <w:cols w:space="425" w:num="1"/>
          <w:docGrid w:linePitch="299" w:charSpace="0"/>
        </w:sectPr>
      </w:pPr>
    </w:p>
    <w:p>
      <w:pPr>
        <w:pStyle w:val="2"/>
        <w:adjustRightInd w:val="0"/>
        <w:snapToGrid w:val="0"/>
        <w:spacing w:before="0" w:after="0" w:line="600" w:lineRule="atLeast"/>
        <w:ind w:firstLine="642" w:firstLineChars="200"/>
        <w:rPr>
          <w:rFonts w:ascii="Times New Roman" w:hAnsi="Times New Roman" w:cs="Times New Roman"/>
          <w:sz w:val="32"/>
          <w:szCs w:val="32"/>
        </w:rPr>
      </w:pPr>
      <w:bookmarkStart w:id="42" w:name="_Toc129976815"/>
      <w:bookmarkStart w:id="43" w:name="_Toc129973891"/>
      <w:bookmarkStart w:id="44" w:name="_Toc129944394"/>
      <w:r>
        <w:rPr>
          <w:rFonts w:ascii="Times New Roman" w:hAnsi="Times New Roman" w:cs="Times New Roman"/>
          <w:sz w:val="32"/>
          <w:szCs w:val="32"/>
        </w:rPr>
        <w:t>二、工作开展情况</w:t>
      </w:r>
      <w:bookmarkEnd w:id="42"/>
      <w:bookmarkEnd w:id="43"/>
      <w:bookmarkEnd w:id="44"/>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45" w:name="_Toc129944395"/>
      <w:bookmarkStart w:id="46" w:name="_Toc129976816"/>
      <w:bookmarkStart w:id="47" w:name="_Toc129973892"/>
      <w:r>
        <w:rPr>
          <w:rFonts w:ascii="Times New Roman" w:hAnsi="Times New Roman" w:eastAsia="宋体" w:cs="Times New Roman"/>
        </w:rPr>
        <w:t>（一）工作思路</w:t>
      </w:r>
      <w:bookmarkEnd w:id="45"/>
      <w:bookmarkEnd w:id="46"/>
      <w:bookmarkEnd w:id="47"/>
    </w:p>
    <w:p>
      <w:pPr>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以习近平新时代中国特色社会主义思想为指导，全面贯彻落实习近平生态文明思想，坚持问题导向、先定规则、逐步调整、反复完善。深入开展调研调查，摸清各自然保护地现状，重点解决自然保护地交叉重叠、保护空缺、现实矛盾冲突和历史遗留问题。科学合理界定自然保护地范围，优化功能分区，细化管控措施。确保和田地区的重要生态系统、自然遗迹、自然景观和生物多样性得到有效保护。有效衔接生态保护红线、永久基本农田、城镇开发边界划定。</w:t>
      </w:r>
    </w:p>
    <w:p>
      <w:pPr>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自然保护地整合优化坚持以下原则：</w:t>
      </w:r>
    </w:p>
    <w:p>
      <w:pPr>
        <w:adjustRightInd w:val="0"/>
        <w:snapToGrid w:val="0"/>
        <w:spacing w:line="600" w:lineRule="atLeast"/>
        <w:ind w:firstLine="642" w:firstLineChars="200"/>
        <w:jc w:val="both"/>
        <w:rPr>
          <w:rFonts w:ascii="Times New Roman" w:hAnsi="Times New Roman" w:cs="Times New Roman"/>
          <w:b/>
          <w:color w:val="FF0000"/>
          <w:sz w:val="32"/>
          <w:szCs w:val="32"/>
        </w:rPr>
      </w:pPr>
      <w:r>
        <w:rPr>
          <w:rFonts w:ascii="Times New Roman" w:hAnsi="Times New Roman" w:cs="Times New Roman"/>
          <w:b/>
          <w:bCs/>
          <w:color w:val="000000" w:themeColor="text1"/>
          <w:sz w:val="32"/>
          <w:szCs w:val="32"/>
          <w14:textFill>
            <w14:solidFill>
              <w14:schemeClr w14:val="tx1"/>
            </w14:solidFill>
          </w14:textFill>
        </w:rPr>
        <w:t>1. 科学评估，</w:t>
      </w:r>
      <w:r>
        <w:rPr>
          <w:rFonts w:ascii="Times New Roman" w:hAnsi="Times New Roman" w:cs="Times New Roman"/>
          <w:b/>
          <w:bCs/>
          <w:sz w:val="32"/>
          <w:szCs w:val="32"/>
        </w:rPr>
        <w:t>合理调整。</w:t>
      </w:r>
      <w:r>
        <w:rPr>
          <w:rFonts w:ascii="Times New Roman" w:hAnsi="Times New Roman" w:cs="Times New Roman"/>
          <w:sz w:val="32"/>
          <w:szCs w:val="32"/>
        </w:rPr>
        <w:t>以主要保护对象的保护价值为基础，进行科学评价，着眼解决现实矛盾冲突和历史遗留问题。</w:t>
      </w:r>
    </w:p>
    <w:p>
      <w:pPr>
        <w:adjustRightInd w:val="0"/>
        <w:snapToGrid w:val="0"/>
        <w:spacing w:line="600" w:lineRule="atLeast"/>
        <w:ind w:firstLine="642" w:firstLineChars="200"/>
        <w:jc w:val="both"/>
        <w:rPr>
          <w:rFonts w:ascii="Times New Roman" w:hAnsi="Times New Roman" w:cs="Times New Roman"/>
          <w:sz w:val="32"/>
          <w:szCs w:val="32"/>
        </w:rPr>
      </w:pPr>
      <w:r>
        <w:rPr>
          <w:rFonts w:ascii="Times New Roman" w:hAnsi="Times New Roman" w:cs="Times New Roman"/>
          <w:b/>
          <w:bCs/>
          <w:sz w:val="32"/>
          <w:szCs w:val="32"/>
        </w:rPr>
        <w:t>2. 应划尽划，应保尽保。</w:t>
      </w:r>
      <w:r>
        <w:rPr>
          <w:rFonts w:ascii="Times New Roman" w:hAnsi="Times New Roman" w:cs="Times New Roman"/>
          <w:sz w:val="32"/>
          <w:szCs w:val="32"/>
        </w:rPr>
        <w:t>保持自然生态系统完整性和生态廊道连通性，调入与调出相结合，将应该保护的地方调入自然保护地进行保护。</w:t>
      </w:r>
    </w:p>
    <w:p>
      <w:pPr>
        <w:adjustRightInd w:val="0"/>
        <w:snapToGrid w:val="0"/>
        <w:spacing w:line="600" w:lineRule="atLeast"/>
        <w:ind w:firstLine="642" w:firstLineChars="200"/>
        <w:jc w:val="both"/>
        <w:rPr>
          <w:rFonts w:ascii="Times New Roman" w:hAnsi="Times New Roman" w:cs="Times New Roman"/>
          <w:sz w:val="32"/>
          <w:szCs w:val="32"/>
        </w:rPr>
      </w:pPr>
      <w:r>
        <w:rPr>
          <w:rFonts w:ascii="Times New Roman" w:hAnsi="Times New Roman" w:cs="Times New Roman"/>
          <w:b/>
          <w:bCs/>
          <w:sz w:val="32"/>
          <w:szCs w:val="32"/>
        </w:rPr>
        <w:t>3. 实事求是，简便易行。</w:t>
      </w:r>
      <w:r>
        <w:rPr>
          <w:rFonts w:ascii="Times New Roman" w:hAnsi="Times New Roman" w:cs="Times New Roman"/>
          <w:sz w:val="32"/>
          <w:szCs w:val="32"/>
        </w:rPr>
        <w:t>不预设自然保护地面积，简化功能分区，根据实际情况制定矛盾冲突调出标准，采取差别化管控措施，确保可操作性。</w:t>
      </w:r>
    </w:p>
    <w:p>
      <w:pPr>
        <w:widowControl w:val="0"/>
        <w:adjustRightInd w:val="0"/>
        <w:snapToGrid w:val="0"/>
        <w:spacing w:line="600" w:lineRule="atLeast"/>
        <w:ind w:firstLine="642" w:firstLineChars="200"/>
        <w:jc w:val="both"/>
        <w:rPr>
          <w:rFonts w:ascii="Times New Roman" w:hAnsi="Times New Roman" w:cs="Times New Roman"/>
          <w:sz w:val="32"/>
          <w:szCs w:val="32"/>
        </w:rPr>
      </w:pPr>
      <w:r>
        <w:rPr>
          <w:rFonts w:ascii="Times New Roman" w:hAnsi="Times New Roman" w:cs="Times New Roman"/>
          <w:b/>
          <w:bCs/>
          <w:sz w:val="32"/>
          <w:szCs w:val="32"/>
        </w:rPr>
        <w:t>4. 统筹协调，充分衔接。</w:t>
      </w:r>
      <w:r>
        <w:rPr>
          <w:rFonts w:ascii="Times New Roman" w:hAnsi="Times New Roman" w:cs="Times New Roman"/>
          <w:sz w:val="32"/>
          <w:szCs w:val="32"/>
        </w:rPr>
        <w:t>结合国土空间规划编制，衔接三条控制线划定，与生态保护红线评估调整同步开展，与永久基本农田核实整改协调推进，统筹生产、生活、生态空间。</w:t>
      </w:r>
    </w:p>
    <w:p>
      <w:pPr>
        <w:pStyle w:val="3"/>
        <w:adjustRightInd w:val="0"/>
        <w:snapToGrid w:val="0"/>
        <w:spacing w:before="0" w:after="0" w:line="600" w:lineRule="atLeast"/>
        <w:ind w:firstLine="642" w:firstLineChars="200"/>
        <w:jc w:val="both"/>
        <w:rPr>
          <w:rFonts w:ascii="Times New Roman" w:hAnsi="Times New Roman" w:eastAsia="宋体" w:cs="Times New Roman"/>
        </w:rPr>
      </w:pPr>
      <w:bookmarkStart w:id="48" w:name="_Toc129944396"/>
      <w:bookmarkStart w:id="49" w:name="_Toc129973893"/>
      <w:bookmarkStart w:id="50" w:name="_Toc129976817"/>
      <w:r>
        <w:rPr>
          <w:rFonts w:ascii="Times New Roman" w:hAnsi="Times New Roman" w:eastAsia="宋体" w:cs="Times New Roman"/>
        </w:rPr>
        <w:t>（二）工作过程</w:t>
      </w:r>
      <w:bookmarkEnd w:id="48"/>
      <w:bookmarkEnd w:id="49"/>
      <w:bookmarkEnd w:id="50"/>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51" w:name="_Toc129976818"/>
      <w:bookmarkStart w:id="52" w:name="_Toc129944397"/>
      <w:bookmarkStart w:id="53" w:name="_Toc129973894"/>
      <w:r>
        <w:rPr>
          <w:rFonts w:ascii="Times New Roman" w:hAnsi="Times New Roman" w:eastAsia="宋体"/>
        </w:rPr>
        <w:t>1.调查摸底</w:t>
      </w:r>
      <w:bookmarkEnd w:id="51"/>
      <w:bookmarkEnd w:id="52"/>
      <w:bookmarkEnd w:id="53"/>
    </w:p>
    <w:p>
      <w:pPr>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2019年10月，新疆维吾尔自治区下发了《中共中央办公厅、国务院办公厅〈关于建立以国家公园为主体的自然保护地体系的指导意见〉的实施意见》。根据《实施意见》，自治区林业局成立了工作领导小组，组织专业调查队伍，委托国家林草局西北调查规划院和新疆自治区林业规划院联合开展和田地区自然保护地调查评估优化工作。2020年2月至2020年6月，调查组对和田地区的6处自然保护地进行全面调查摸底，并开展了调研工作。对各类自然保护地范围、功能分区、保护对象、保护价值、管护现状、矛盾冲突等开展了评估。</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54" w:name="_Toc129976819"/>
      <w:bookmarkStart w:id="55" w:name="_Toc129944398"/>
      <w:bookmarkStart w:id="56" w:name="_Toc129973895"/>
      <w:r>
        <w:rPr>
          <w:rFonts w:ascii="Times New Roman" w:hAnsi="Times New Roman" w:eastAsia="宋体"/>
        </w:rPr>
        <w:t>2. 统一数据标准</w:t>
      </w:r>
      <w:bookmarkEnd w:id="54"/>
      <w:bookmarkEnd w:id="55"/>
      <w:bookmarkEnd w:id="56"/>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依据自然保护地名录、第三次全国国土调查、矿业权备案、永久基本农田、森林资源管理一张图等工作最新成果以及各类各级专项规划，结合高分卫星影像判读和现场考察，开展《自然保护地整合优化方案》编制，全过程做到与生态保护红线、永久基本农田、城镇开发边界划定工作数据底图充分衔接，确保技术逻辑相通、工作成果相融。</w:t>
      </w:r>
    </w:p>
    <w:p>
      <w:pPr>
        <w:pStyle w:val="4"/>
        <w:keepNext w:val="0"/>
        <w:keepLines w:val="0"/>
        <w:adjustRightInd w:val="0"/>
        <w:snapToGrid w:val="0"/>
        <w:spacing w:before="0" w:after="0" w:line="600" w:lineRule="atLeast"/>
        <w:ind w:firstLine="642" w:firstLineChars="200"/>
        <w:rPr>
          <w:rFonts w:ascii="Times New Roman" w:hAnsi="Times New Roman" w:eastAsia="宋体"/>
        </w:rPr>
      </w:pPr>
      <w:bookmarkStart w:id="57" w:name="_Toc129944399"/>
      <w:bookmarkStart w:id="58" w:name="_Toc129976820"/>
      <w:bookmarkStart w:id="59" w:name="_Toc129973896"/>
      <w:r>
        <w:rPr>
          <w:rFonts w:ascii="Times New Roman" w:hAnsi="Times New Roman" w:eastAsia="宋体"/>
        </w:rPr>
        <w:t>3. 联合开展工作</w:t>
      </w:r>
      <w:bookmarkEnd w:id="57"/>
      <w:bookmarkEnd w:id="58"/>
      <w:bookmarkEnd w:id="59"/>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为加强对自然保护地整合优化和生态保护红线调整划定工作的领导，和田地区林草局会同自然资源局、生态环保局成立工作领导小组，建立协调机制，对整合优化成果进行联合审核，邀请交通局、水利局等有关部门，共同对审核结果进行会审。</w:t>
      </w:r>
    </w:p>
    <w:p>
      <w:pPr>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自2020年2月份，自然保护地整合优化工作开始，经过四轮对接调整完善了和田地区自然保护地整合优化方案，于2023年3月全面完成任务，正式形成《和田地区自然保护地整合优化方案》。《方案》使各类自然保护地存在的问题和矛盾得到妥善解决、调整和管控规则得到完善、空间布局得到优化，守住了生态底线，实现了多目标平衡，统筹了发展和安全。</w:t>
      </w:r>
    </w:p>
    <w:p>
      <w:pPr>
        <w:rPr>
          <w:rFonts w:ascii="Times New Roman" w:hAnsi="Times New Roman" w:cs="Times New Roman"/>
          <w:sz w:val="32"/>
          <w:szCs w:val="32"/>
        </w:rPr>
      </w:pPr>
      <w:r>
        <w:rPr>
          <w:rFonts w:ascii="Times New Roman" w:hAnsi="Times New Roman" w:cs="Times New Roman"/>
          <w:sz w:val="32"/>
          <w:szCs w:val="32"/>
        </w:rPr>
        <w:br w:type="page"/>
      </w:r>
    </w:p>
    <w:p>
      <w:pPr>
        <w:pStyle w:val="2"/>
        <w:keepNext w:val="0"/>
        <w:keepLines w:val="0"/>
        <w:widowControl w:val="0"/>
        <w:adjustRightInd w:val="0"/>
        <w:snapToGrid w:val="0"/>
        <w:spacing w:before="0" w:after="0" w:line="600" w:lineRule="atLeast"/>
        <w:ind w:firstLine="642" w:firstLineChars="200"/>
        <w:jc w:val="both"/>
        <w:rPr>
          <w:rFonts w:ascii="Times New Roman" w:hAnsi="Times New Roman" w:cs="Times New Roman"/>
          <w:sz w:val="32"/>
          <w:szCs w:val="32"/>
        </w:rPr>
      </w:pPr>
      <w:bookmarkStart w:id="60" w:name="_Toc129976821"/>
      <w:bookmarkStart w:id="61" w:name="_Toc129973897"/>
      <w:bookmarkStart w:id="62" w:name="_Toc129944400"/>
      <w:r>
        <w:rPr>
          <w:rFonts w:ascii="Times New Roman" w:hAnsi="Times New Roman" w:cs="Times New Roman"/>
          <w:sz w:val="32"/>
          <w:szCs w:val="32"/>
        </w:rPr>
        <w:t>三、整合优化规则</w:t>
      </w:r>
      <w:bookmarkEnd w:id="60"/>
      <w:bookmarkEnd w:id="61"/>
      <w:bookmarkEnd w:id="62"/>
    </w:p>
    <w:p>
      <w:pPr>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贯彻落实中办国办《关于建立以国家公园为主体的自然保护地体系的指导意见》《关于在国土空间规划中统筹划定落实三条控制线的指导意见》精神，依据自然资源部、生态环境部、国家林草局《关于做好自然保护区范围及功能分区优化调整前期有关工作的函》《关于自然保护地整合优化有关事项的通知》《关于生态保护红线自然保护地内矿业权差别化管理的通知》《关于生态保护红线划定中有关空间矛盾冲突处理规则的补充通知》《关于在全国开展“三区三线”划定工作的函》《关于加强生态保护红线管理的通知》《关于做好风景名胜区整合优化预案编制工作的函》等文件，确定整合优化规则如下。</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63" w:name="_Toc129944401"/>
      <w:bookmarkStart w:id="64" w:name="_Toc129976822"/>
      <w:bookmarkStart w:id="65" w:name="_Toc129973898"/>
      <w:r>
        <w:rPr>
          <w:rFonts w:ascii="Times New Roman" w:hAnsi="Times New Roman" w:eastAsia="宋体" w:cs="Times New Roman"/>
        </w:rPr>
        <w:t>（一）分类分级规则</w:t>
      </w:r>
      <w:bookmarkEnd w:id="63"/>
      <w:bookmarkEnd w:id="64"/>
      <w:bookmarkEnd w:id="65"/>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1. 分类规则</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以生态功能和生物多样性评估为基础，依据所在区域的自然属性、生态价值和管理目标，对现有各类自然保护地进行梳理归类，将整合优化后的自然保护地分为自然保护区、自然公园二大类。</w:t>
      </w:r>
    </w:p>
    <w:p>
      <w:pPr>
        <w:widowControl w:val="0"/>
        <w:adjustRightInd w:val="0"/>
        <w:snapToGrid w:val="0"/>
        <w:spacing w:line="600" w:lineRule="atLeast"/>
        <w:ind w:firstLine="642" w:firstLineChars="200"/>
        <w:jc w:val="both"/>
        <w:rPr>
          <w:rFonts w:ascii="Times New Roman" w:hAnsi="Times New Roman" w:cs="Times New Roman"/>
          <w:sz w:val="32"/>
          <w:szCs w:val="32"/>
        </w:rPr>
      </w:pPr>
      <w:r>
        <w:rPr>
          <w:rFonts w:ascii="Times New Roman" w:hAnsi="Times New Roman" w:cs="Times New Roman"/>
          <w:b/>
          <w:sz w:val="32"/>
          <w:szCs w:val="32"/>
        </w:rPr>
        <w:t>自然保护区：</w:t>
      </w:r>
      <w:r>
        <w:rPr>
          <w:rFonts w:ascii="Times New Roman" w:hAnsi="Times New Roman" w:cs="Times New Roman"/>
          <w:sz w:val="32"/>
          <w:szCs w:val="32"/>
        </w:rPr>
        <w:t>将典型自然生态系统、珍稀濒危野生动植物种天然集中分布区、有特殊意义的自然遗迹划为自然保护区。现有自然保护区原则上继续保留，无明确保护对象、无重要保护价值的省级、市县级自然保护区经评估后可转为自然公园，或予以撤销。</w:t>
      </w:r>
    </w:p>
    <w:p>
      <w:pPr>
        <w:widowControl w:val="0"/>
        <w:adjustRightInd w:val="0"/>
        <w:snapToGrid w:val="0"/>
        <w:spacing w:line="600" w:lineRule="atLeast"/>
        <w:ind w:firstLine="642" w:firstLineChars="200"/>
        <w:jc w:val="both"/>
        <w:rPr>
          <w:rFonts w:ascii="Times New Roman" w:hAnsi="Times New Roman" w:cs="Times New Roman"/>
          <w:sz w:val="32"/>
          <w:szCs w:val="32"/>
        </w:rPr>
      </w:pPr>
      <w:r>
        <w:rPr>
          <w:rFonts w:ascii="Times New Roman" w:hAnsi="Times New Roman" w:cs="Times New Roman"/>
          <w:b/>
          <w:sz w:val="32"/>
          <w:szCs w:val="32"/>
        </w:rPr>
        <w:t>自然公园：</w:t>
      </w:r>
      <w:r>
        <w:rPr>
          <w:rFonts w:ascii="Times New Roman" w:hAnsi="Times New Roman" w:cs="Times New Roman"/>
          <w:sz w:val="32"/>
          <w:szCs w:val="32"/>
        </w:rPr>
        <w:t>将具有生态、观赏、文化、科学等价值的重要自然区域划为自然公园。除自然保护区外，现有其他自然保护地依据主体生态系统、自然遗迹、自然景观所属类型，分为湿地公园、沙漠公园，经评估后也可转为地方级自然保护区或予以撤销。</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2. 分级规则</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将现有国家级、省级、市（州）级等各级自然保护地，按照生态系统重要程度和事权划分原则，实行分级设立、分级管理，分为国家级和地方级。国家级自然保护区由国务院批准设立、调整、撤销，其他国家级自然公园由国家林草局批准设立、调整、撤销；地方级自然保护地由自治区政府批准设立、调整、撤销，管理主体由省级政府确定。探索公益治理、社区治理、共同治理等保护方式。</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现有国家级自然公园，经评估可以转为地方级自然保护地。现有省级、市级、县级自然保护地原则上统一改称为地方级自然保护地；经评估不具备保护价值的，可以撤销。</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66" w:name="_Toc129973899"/>
      <w:bookmarkStart w:id="67" w:name="_Toc129944402"/>
      <w:bookmarkStart w:id="68" w:name="_Toc129976823"/>
      <w:r>
        <w:rPr>
          <w:rFonts w:ascii="Times New Roman" w:hAnsi="Times New Roman" w:eastAsia="宋体" w:cs="Times New Roman"/>
        </w:rPr>
        <w:t>（二）分区优化规则</w:t>
      </w:r>
      <w:bookmarkEnd w:id="66"/>
      <w:bookmarkEnd w:id="67"/>
      <w:bookmarkEnd w:id="68"/>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基于功能定位，按照各区域的生态价值、原真性、人类活动强度，对自然保护地合理分区，实行差别化管理。自然保护区由核心保护区、一般控制区组成，原则上核心保护区禁止人为活动，一般控制区限制人为活动。自然公园按一般控制区管理。总结自然保护地发展经验教训，对标生态保护红线要求，统筹制定自然保护地分区管控规定。</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原则上，将现有自然保护区的核心区、缓冲区转为核心保护区，实验区转为一般控制区。自然保护区核心区、缓冲区内的合法水利水电等设施、历史文化名村、少数民族特色村寨和重要人文景观合法建筑，包括有历史文化价值的遗址遗迹、寺庙、名人故居、纪念馆等，调整为一般控制区。自然保护区实验区内无人为活动且具有重要保护价值的区域，特别是国家和省级重点保护野生动植物的关键分布区域、生态廊道的重要节点、重要自然遗迹等，调整为核心保护区。</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69" w:name="_Toc129976824"/>
      <w:bookmarkStart w:id="70" w:name="_Toc129944403"/>
      <w:bookmarkStart w:id="71" w:name="_Toc129973900"/>
      <w:r>
        <w:rPr>
          <w:rFonts w:ascii="Times New Roman" w:hAnsi="Times New Roman" w:eastAsia="宋体" w:cs="Times New Roman"/>
        </w:rPr>
        <w:t>（三）调入规则</w:t>
      </w:r>
      <w:bookmarkEnd w:id="69"/>
      <w:bookmarkEnd w:id="70"/>
      <w:bookmarkEnd w:id="71"/>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坚持生态优先、应划尽划，以自然保护空缺分析结果为指引，结合国土三调最新成果，全域分析森林、湿地、荒漠、冰川和永久积雪、地质遗迹等资源分布，将现有自然保护地周边生态保护价值高、生物多样性富集或具有潜在重要生态价值的区域划入自然保护地，提升自然保护地空间完整性和生态廊道连通性。</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72" w:name="_Toc129973901"/>
      <w:bookmarkStart w:id="73" w:name="_Toc129944404"/>
      <w:bookmarkStart w:id="74" w:name="_Toc129976825"/>
      <w:r>
        <w:rPr>
          <w:rFonts w:ascii="Times New Roman" w:hAnsi="Times New Roman" w:eastAsia="宋体" w:cs="Times New Roman"/>
        </w:rPr>
        <w:t>（四）矛盾冲突处理规则</w:t>
      </w:r>
      <w:bookmarkEnd w:id="72"/>
      <w:bookmarkEnd w:id="73"/>
      <w:bookmarkEnd w:id="74"/>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坚持底线思维，优先保障粮食安全、生态安全，兼顾能源资源需求，在科学评估的基础上，本着尊重历史、实事求是、相对合理的原则，妥善处理各类矛盾冲突。对标生态保护红线划定和国土空间治理要求，将不符合管控要求的矛盾冲突空间调出自然保护地范围，允许适度开展一些对生态环境不造成明显影响的人类活动，实现人与自然和谐共生。</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1. 问题点位</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对中央生态环境保护督察、自然保护地绿盾专项行动，以及违建别墅、高尔夫球场、小水电等清理整治专项行动涉及的问题点位，对照问题清单进行梳理，对标相关整改方案要求妥善处理，严禁简单地以调代改、一调了之。</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2. 耕地及永久基本农田</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核心保护区内的耕地原则上不予调出，今后逐步转为生态用地。一般控制区内集中连片的稳定耕地，因划定永久基本农田需要，可以调出自然保护地范围，但零星分散的、承载保护生态和农耕文化双重功能的梯田，旗舰物种重要觅食地的，不予调出，按一般耕地进行管理。</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3. 人工商品林</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成片人工商品林可以调出自然保护地范围，但位于重要江河干流源头两岸、重要湿地和水库周边等五类重要生态区位的，不予调出。鼓励地方政府通过租赁、置换、赎买、合作等方式，对自然保护地内的人工商品林进行统一管理，维护产权人权益，实现多元化保护，逐步转为生态公益林。今后核心保护区内的人工商品林因防灾救灾、栖息地优化等需要，经审批后可以进行树种更替和林相改造；一般控制区内的人工商品林，可以依法进行必要的抚育采伐。</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4. 矿业权</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自然保护地核心保护区内的矿业权原则上不予调出。一般控制区内的矿业权，符合生态保护红线关于矿业权分类处置规定的可以保留在自然保护地内；其他矿业权，对生态功能不造成明显影响的可调出自然保护地范围，造成明显影响的如露天砂石粘土矿不予调出。已依法设立的油气探矿权，在满足有关生态环保和安全生产要求的前提下，可继续开展勘查活动，当探明储量并大比例压缩范围后，可将开采活动占用的地面空间调出自然保护地。</w:t>
      </w:r>
    </w:p>
    <w:p>
      <w:pPr>
        <w:widowControl w:val="0"/>
        <w:adjustRightInd w:val="0"/>
        <w:snapToGrid w:val="0"/>
        <w:spacing w:line="600" w:lineRule="atLeast"/>
        <w:ind w:left="643"/>
        <w:jc w:val="both"/>
        <w:rPr>
          <w:rFonts w:ascii="Times New Roman" w:hAnsi="Times New Roman" w:cs="Times New Roman"/>
          <w:b/>
          <w:bCs/>
          <w:sz w:val="32"/>
          <w:szCs w:val="32"/>
        </w:rPr>
      </w:pPr>
      <w:r>
        <w:rPr>
          <w:rFonts w:ascii="Times New Roman" w:hAnsi="Times New Roman" w:cs="Times New Roman"/>
          <w:b/>
          <w:bCs/>
          <w:sz w:val="32"/>
          <w:szCs w:val="32"/>
        </w:rPr>
        <w:t>5. 开发区和城镇村</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自然保护地内的开发区和城镇、人口密集的村屯，可以调出自然保护地范围；零星分散的自然村落、居民点不予调出。今后结合城镇化和乡村规划的实施，严格控制增量，逐步消化存量。允许原住民和其他合法权益主体在不扩大规模的前提下，修缮必要的生产生活设施，适度开展种植、放牧、捕捞、养殖等活动。</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6. 项目设施用地</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衔接发展规划、国土空间规划和各类专项规划，对照生态保护红线管控要求，部分选址明确的能源、交通、水利等重大项目，以及一些精准扶贫或乡村振兴项目、已立项或已建成但与生态保护红线管控要求冲突的项目设施用地，经举证后可以调出自然保护地范围。</w:t>
      </w:r>
    </w:p>
    <w:p>
      <w:pPr>
        <w:widowControl w:val="0"/>
        <w:adjustRightInd w:val="0"/>
        <w:snapToGrid w:val="0"/>
        <w:spacing w:line="600" w:lineRule="atLeast"/>
        <w:ind w:firstLine="642" w:firstLineChars="200"/>
        <w:jc w:val="both"/>
        <w:rPr>
          <w:rFonts w:ascii="Times New Roman" w:hAnsi="Times New Roman" w:cs="Times New Roman"/>
          <w:b/>
          <w:bCs/>
          <w:sz w:val="32"/>
          <w:szCs w:val="32"/>
        </w:rPr>
      </w:pPr>
      <w:r>
        <w:rPr>
          <w:rFonts w:ascii="Times New Roman" w:hAnsi="Times New Roman" w:cs="Times New Roman"/>
          <w:b/>
          <w:bCs/>
          <w:sz w:val="32"/>
          <w:szCs w:val="32"/>
        </w:rPr>
        <w:t>7. 其他</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对少数已基本丧失自然属性，无明确保护对象、无重要保护价值、无法实际落地的自然保护地，经评估后可以不再保留。对因调出各类矛盾冲突连带产生的破碎地块，以及过去因技术原因引起的数据、图件与现地不符等地块，可一次性予以纠正。</w:t>
      </w:r>
    </w:p>
    <w:p>
      <w:pPr>
        <w:widowControl w:val="0"/>
        <w:adjustRightInd w:val="0"/>
        <w:snapToGrid w:val="0"/>
        <w:spacing w:line="600" w:lineRule="atLeast"/>
        <w:ind w:firstLine="640" w:firstLineChars="200"/>
        <w:jc w:val="both"/>
        <w:rPr>
          <w:rFonts w:ascii="Times New Roman" w:hAnsi="Times New Roman" w:cs="Times New Roman"/>
          <w:sz w:val="32"/>
          <w:szCs w:val="32"/>
        </w:rPr>
      </w:pPr>
    </w:p>
    <w:p>
      <w:pPr>
        <w:pStyle w:val="2"/>
        <w:adjustRightInd w:val="0"/>
        <w:snapToGrid w:val="0"/>
        <w:spacing w:before="0" w:after="0" w:line="600" w:lineRule="atLeast"/>
        <w:ind w:firstLine="642" w:firstLineChars="200"/>
        <w:rPr>
          <w:rFonts w:ascii="Times New Roman" w:hAnsi="Times New Roman" w:cs="Times New Roman"/>
          <w:sz w:val="32"/>
          <w:szCs w:val="32"/>
        </w:rPr>
        <w:sectPr>
          <w:pgSz w:w="11910" w:h="16840"/>
          <w:pgMar w:top="2098" w:right="1588" w:bottom="1985" w:left="1588" w:header="0" w:footer="998" w:gutter="0"/>
          <w:cols w:space="425" w:num="1"/>
          <w:docGrid w:linePitch="299" w:charSpace="0"/>
        </w:sectPr>
      </w:pPr>
    </w:p>
    <w:p>
      <w:pPr>
        <w:pStyle w:val="2"/>
        <w:keepNext w:val="0"/>
        <w:keepLines w:val="0"/>
        <w:widowControl w:val="0"/>
        <w:adjustRightInd w:val="0"/>
        <w:snapToGrid w:val="0"/>
        <w:spacing w:before="0" w:after="0" w:line="600" w:lineRule="atLeast"/>
        <w:ind w:firstLine="642" w:firstLineChars="200"/>
        <w:jc w:val="both"/>
        <w:rPr>
          <w:rFonts w:ascii="Times New Roman" w:hAnsi="Times New Roman" w:cs="Times New Roman"/>
          <w:sz w:val="32"/>
          <w:szCs w:val="32"/>
        </w:rPr>
      </w:pPr>
      <w:bookmarkStart w:id="75" w:name="_Toc129976826"/>
      <w:bookmarkStart w:id="76" w:name="_Toc129944405"/>
      <w:bookmarkStart w:id="77" w:name="_Toc129973902"/>
      <w:r>
        <w:rPr>
          <w:rFonts w:ascii="Times New Roman" w:hAnsi="Times New Roman" w:cs="Times New Roman"/>
          <w:sz w:val="32"/>
          <w:szCs w:val="32"/>
        </w:rPr>
        <w:t>四、整合优化结果</w:t>
      </w:r>
      <w:bookmarkEnd w:id="75"/>
      <w:bookmarkEnd w:id="76"/>
      <w:bookmarkEnd w:id="77"/>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整合优化后，和田共有6个自然保护地，总面积353758.04公顷。</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78" w:name="_Toc129944406"/>
      <w:bookmarkStart w:id="79" w:name="_Toc129976827"/>
      <w:bookmarkStart w:id="80" w:name="_Toc129973903"/>
      <w:r>
        <w:rPr>
          <w:rFonts w:ascii="Times New Roman" w:hAnsi="Times New Roman" w:eastAsia="宋体" w:cs="Times New Roman"/>
        </w:rPr>
        <w:t>（一）分类分级</w:t>
      </w:r>
      <w:bookmarkEnd w:id="78"/>
      <w:bookmarkEnd w:id="79"/>
      <w:bookmarkEnd w:id="80"/>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按类型，自然保护地分为自然保护区、自然公园二大类。其中，自然公园包括湿地公园、沙漠公园。</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按批准设立层级，自然保护地分为国家级、地方级。其中，国家级自然保护区由国务院批准设立，其他国家级自然公园由国家林草局批准设立；地方级自然保护地由自治区人民政府批准设立。</w:t>
      </w:r>
    </w:p>
    <w:p>
      <w:pPr>
        <w:widowControl w:val="0"/>
        <w:adjustRightInd w:val="0"/>
        <w:snapToGrid w:val="0"/>
        <w:spacing w:line="600" w:lineRule="atLeast"/>
        <w:ind w:firstLine="642" w:firstLineChars="200"/>
        <w:jc w:val="both"/>
        <w:rPr>
          <w:rFonts w:ascii="Times New Roman" w:hAnsi="Times New Roman" w:cs="Times New Roman"/>
          <w:b/>
          <w:sz w:val="32"/>
          <w:szCs w:val="32"/>
        </w:rPr>
      </w:pPr>
      <w:r>
        <w:rPr>
          <w:rFonts w:ascii="Times New Roman" w:hAnsi="Times New Roman" w:cs="Times New Roman"/>
          <w:b/>
          <w:sz w:val="32"/>
          <w:szCs w:val="32"/>
        </w:rPr>
        <w:t>1. 自然保护区</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整合优化后自然保护区1个，自治区级，总面积132340.01公顷，占自然保护地总面积37.41%。</w:t>
      </w:r>
    </w:p>
    <w:p>
      <w:pPr>
        <w:widowControl w:val="0"/>
        <w:adjustRightInd w:val="0"/>
        <w:snapToGrid w:val="0"/>
        <w:spacing w:line="600" w:lineRule="atLeast"/>
        <w:ind w:firstLine="642" w:firstLineChars="200"/>
        <w:jc w:val="both"/>
        <w:rPr>
          <w:rFonts w:ascii="Times New Roman" w:hAnsi="Times New Roman" w:cs="Times New Roman"/>
          <w:b/>
          <w:sz w:val="32"/>
          <w:szCs w:val="32"/>
        </w:rPr>
      </w:pPr>
      <w:r>
        <w:rPr>
          <w:rFonts w:ascii="Times New Roman" w:hAnsi="Times New Roman" w:cs="Times New Roman"/>
          <w:b/>
          <w:sz w:val="32"/>
          <w:szCs w:val="32"/>
        </w:rPr>
        <w:t>2. 自然公园</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整合优化后自然公园5个，均为国家级,总面积221418.03公顷，占自然保护地总面积的62.59%。</w:t>
      </w:r>
    </w:p>
    <w:p>
      <w:pPr>
        <w:pStyle w:val="6"/>
        <w:adjustRightInd w:val="0"/>
        <w:snapToGrid w:val="0"/>
        <w:spacing w:after="0" w:line="600" w:lineRule="atLeast"/>
        <w:ind w:firstLine="643"/>
        <w:rPr>
          <w:rFonts w:ascii="Times New Roman" w:hAnsi="Times New Roman" w:eastAsia="宋体"/>
          <w:b/>
          <w:bCs/>
          <w:sz w:val="32"/>
          <w:szCs w:val="32"/>
        </w:rPr>
      </w:pPr>
      <w:r>
        <w:rPr>
          <w:rFonts w:ascii="Times New Roman" w:hAnsi="Times New Roman" w:eastAsia="宋体"/>
          <w:b/>
          <w:bCs/>
          <w:sz w:val="32"/>
          <w:szCs w:val="32"/>
        </w:rPr>
        <w:t>（1）湿地公园</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整合优化后湿地公园4个，均为国家级，面积220383.72公顷，占自然公园总面积99.53%。</w:t>
      </w:r>
    </w:p>
    <w:p>
      <w:pPr>
        <w:pStyle w:val="6"/>
        <w:adjustRightInd w:val="0"/>
        <w:snapToGrid w:val="0"/>
        <w:spacing w:after="0" w:line="600" w:lineRule="atLeast"/>
        <w:ind w:firstLine="643"/>
        <w:rPr>
          <w:rFonts w:ascii="Times New Roman" w:hAnsi="Times New Roman" w:eastAsia="宋体"/>
          <w:b/>
          <w:bCs/>
          <w:sz w:val="32"/>
          <w:szCs w:val="32"/>
        </w:rPr>
      </w:pPr>
      <w:r>
        <w:rPr>
          <w:rFonts w:ascii="Times New Roman" w:hAnsi="Times New Roman" w:eastAsia="宋体"/>
          <w:b/>
          <w:bCs/>
          <w:sz w:val="32"/>
          <w:szCs w:val="32"/>
        </w:rPr>
        <w:t>（2）沙漠公园</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整合优化后沙漠公园1个，国家级，面积1034.31公顷，占自然公园总面积0.47%。</w:t>
      </w:r>
    </w:p>
    <w:p>
      <w:pPr>
        <w:adjustRightInd w:val="0"/>
        <w:snapToGrid w:val="0"/>
        <w:spacing w:line="400" w:lineRule="atLeast"/>
        <w:ind w:firstLine="481" w:firstLineChars="200"/>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表4-1 自然保护地分类分级情况</w:t>
      </w:r>
    </w:p>
    <w:p>
      <w:pPr>
        <w:pStyle w:val="6"/>
        <w:spacing w:after="0"/>
        <w:ind w:firstLine="360"/>
        <w:jc w:val="right"/>
        <w:rPr>
          <w:rFonts w:ascii="Times New Roman" w:hAnsi="Times New Roman" w:eastAsia="宋体"/>
          <w:color w:val="000000" w:themeColor="text1"/>
          <w:sz w:val="18"/>
          <w:szCs w:val="18"/>
          <w14:textFill>
            <w14:solidFill>
              <w14:schemeClr w14:val="tx1"/>
            </w14:solidFill>
          </w14:textFill>
        </w:rPr>
      </w:pPr>
      <w:r>
        <w:rPr>
          <w:rFonts w:ascii="Times New Roman" w:hAnsi="Times New Roman" w:eastAsia="宋体"/>
          <w:color w:val="000000" w:themeColor="text1"/>
          <w:sz w:val="18"/>
          <w:szCs w:val="18"/>
          <w14:textFill>
            <w14:solidFill>
              <w14:schemeClr w14:val="tx1"/>
            </w14:solidFill>
          </w14:textFill>
        </w:rPr>
        <w:t>单位：个、公顷</w:t>
      </w:r>
    </w:p>
    <w:tbl>
      <w:tblPr>
        <w:tblStyle w:val="16"/>
        <w:tblW w:w="5000" w:type="pct"/>
        <w:tblInd w:w="0" w:type="dxa"/>
        <w:tblLayout w:type="autofit"/>
        <w:tblCellMar>
          <w:top w:w="0" w:type="dxa"/>
          <w:left w:w="108" w:type="dxa"/>
          <w:bottom w:w="0" w:type="dxa"/>
          <w:right w:w="108" w:type="dxa"/>
        </w:tblCellMar>
      </w:tblPr>
      <w:tblGrid>
        <w:gridCol w:w="772"/>
        <w:gridCol w:w="2559"/>
        <w:gridCol w:w="1780"/>
        <w:gridCol w:w="3839"/>
      </w:tblGrid>
      <w:tr>
        <w:tblPrEx>
          <w:tblCellMar>
            <w:top w:w="0" w:type="dxa"/>
            <w:left w:w="108" w:type="dxa"/>
            <w:bottom w:w="0" w:type="dxa"/>
            <w:right w:w="108" w:type="dxa"/>
          </w:tblCellMar>
        </w:tblPrEx>
        <w:trPr>
          <w:trHeight w:val="397" w:hRule="atLeast"/>
        </w:trPr>
        <w:tc>
          <w:tcPr>
            <w:tcW w:w="43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自然保护地类型</w:t>
            </w:r>
          </w:p>
        </w:tc>
        <w:tc>
          <w:tcPr>
            <w:tcW w:w="994"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数量</w:t>
            </w:r>
          </w:p>
        </w:tc>
        <w:tc>
          <w:tcPr>
            <w:tcW w:w="2144"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面积</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总计</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353758.04</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w:t>
            </w: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自然保护区</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132340.01</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1"/>
                <w:szCs w:val="21"/>
              </w:rPr>
            </w:pP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132340.01</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w:t>
            </w: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自然公园</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5</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221418.03</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ind w:firstLine="840" w:firstLineChars="400"/>
              <w:jc w:val="both"/>
              <w:rPr>
                <w:rFonts w:ascii="Times New Roman" w:hAnsi="Times New Roman" w:cs="Times New Roman"/>
                <w:b/>
                <w:bCs/>
                <w:color w:val="000000"/>
                <w:sz w:val="21"/>
                <w:szCs w:val="21"/>
              </w:rPr>
            </w:pPr>
            <w:r>
              <w:rPr>
                <w:rFonts w:ascii="Times New Roman" w:hAnsi="Times New Roman" w:cs="Times New Roman"/>
                <w:color w:val="000000"/>
                <w:sz w:val="21"/>
                <w:szCs w:val="21"/>
              </w:rPr>
              <w:t>国家级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Cs/>
                <w:sz w:val="21"/>
                <w:szCs w:val="21"/>
              </w:rPr>
            </w:pPr>
            <w:r>
              <w:rPr>
                <w:rFonts w:ascii="Times New Roman" w:hAnsi="Times New Roman" w:cs="Times New Roman"/>
                <w:bCs/>
                <w:sz w:val="21"/>
                <w:szCs w:val="21"/>
              </w:rPr>
              <w:t>5</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221418.03</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ind w:firstLine="840" w:firstLineChars="400"/>
              <w:jc w:val="both"/>
              <w:rPr>
                <w:rFonts w:ascii="Times New Roman" w:hAnsi="Times New Roman" w:cs="Times New Roman"/>
                <w:b/>
                <w:bCs/>
                <w:color w:val="000000"/>
                <w:sz w:val="21"/>
                <w:szCs w:val="21"/>
              </w:rPr>
            </w:pPr>
            <w:r>
              <w:rPr>
                <w:rFonts w:ascii="Times New Roman" w:hAnsi="Times New Roman" w:cs="Times New Roman"/>
                <w:color w:val="000000"/>
                <w:sz w:val="21"/>
                <w:szCs w:val="21"/>
              </w:rPr>
              <w:t>地方级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2.1</w:t>
            </w: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湿地公园</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4</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220383.72</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220383.72</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2.2</w:t>
            </w: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沙漠公园</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1034.31</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99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214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1034.31</w:t>
            </w:r>
          </w:p>
        </w:tc>
      </w:tr>
      <w:tr>
        <w:tblPrEx>
          <w:tblCellMar>
            <w:top w:w="0" w:type="dxa"/>
            <w:left w:w="108" w:type="dxa"/>
            <w:bottom w:w="0" w:type="dxa"/>
            <w:right w:w="108" w:type="dxa"/>
          </w:tblCellMar>
        </w:tblPrEx>
        <w:trPr>
          <w:trHeight w:val="397" w:hRule="atLeast"/>
        </w:trPr>
        <w:tc>
          <w:tcPr>
            <w:tcW w:w="431" w:type="pct"/>
            <w:tcBorders>
              <w:top w:val="nil"/>
              <w:left w:val="single" w:color="auto" w:sz="4" w:space="0"/>
              <w:bottom w:val="single" w:color="auto" w:sz="4" w:space="0"/>
              <w:right w:val="single" w:color="auto" w:sz="4" w:space="0"/>
            </w:tcBorders>
            <w:shd w:val="clear" w:color="auto" w:fill="auto"/>
            <w:noWrap/>
            <w:vAlign w:val="center"/>
          </w:tcPr>
          <w:p>
            <w:pPr>
              <w:jc w:val="right"/>
              <w:rPr>
                <w:rFonts w:ascii="Times New Roman" w:hAnsi="Times New Roman" w:cs="Times New Roman"/>
                <w:color w:val="000000"/>
                <w:sz w:val="21"/>
                <w:szCs w:val="21"/>
              </w:rPr>
            </w:pPr>
            <w:r>
              <w:rPr>
                <w:rFonts w:ascii="Times New Roman" w:hAnsi="Times New Roman" w:cs="Times New Roman"/>
                <w:color w:val="000000"/>
                <w:sz w:val="21"/>
                <w:szCs w:val="21"/>
              </w:rPr>
              <w:t>　</w:t>
            </w:r>
          </w:p>
        </w:tc>
        <w:tc>
          <w:tcPr>
            <w:tcW w:w="1429"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994" w:type="pct"/>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cs="Times New Roman"/>
                <w:color w:val="000000"/>
                <w:sz w:val="21"/>
                <w:szCs w:val="21"/>
              </w:rPr>
            </w:pPr>
          </w:p>
        </w:tc>
        <w:tc>
          <w:tcPr>
            <w:tcW w:w="2144" w:type="pct"/>
            <w:tcBorders>
              <w:top w:val="nil"/>
              <w:left w:val="nil"/>
              <w:bottom w:val="single" w:color="auto" w:sz="4" w:space="0"/>
              <w:right w:val="single" w:color="auto" w:sz="4" w:space="0"/>
            </w:tcBorders>
            <w:shd w:val="clear" w:color="auto" w:fill="auto"/>
            <w:noWrap/>
            <w:vAlign w:val="center"/>
          </w:tcPr>
          <w:p>
            <w:pPr>
              <w:jc w:val="right"/>
              <w:rPr>
                <w:rFonts w:ascii="Times New Roman" w:hAnsi="Times New Roman" w:cs="Times New Roman"/>
                <w:color w:val="000000"/>
                <w:sz w:val="21"/>
                <w:szCs w:val="21"/>
              </w:rPr>
            </w:pPr>
          </w:p>
        </w:tc>
      </w:tr>
    </w:tbl>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81" w:name="_Toc129944407"/>
      <w:bookmarkStart w:id="82" w:name="_Toc129976828"/>
      <w:bookmarkStart w:id="83" w:name="_Toc129973904"/>
      <w:r>
        <w:rPr>
          <w:rFonts w:ascii="Times New Roman" w:hAnsi="Times New Roman" w:eastAsia="宋体" w:cs="Times New Roman"/>
        </w:rPr>
        <w:t>（二）分区管控</w:t>
      </w:r>
      <w:bookmarkEnd w:id="81"/>
      <w:bookmarkEnd w:id="82"/>
      <w:bookmarkEnd w:id="83"/>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对自然保护地进行合理分区，实行差别化管控。自然保护区分别由核心保护区和一般控制区组成，自然公园属一般控制区。原则上，核心保护区内禁止人为活动，一般控制区内限制人为活动。</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和田自然保护地核心保护区面积52744.33公顷，一般控制区301013.71公顷。其中，自然保护区核心保护区52744.33公顷，占自然保护区总面积的39.86%；一般控制区79595.68公顷，占自然保护区总面积的60.14%。</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自然公园按一般控制区管理，总面积221418.03公顷。</w:t>
      </w:r>
    </w:p>
    <w:p>
      <w:pPr>
        <w:adjustRightInd w:val="0"/>
        <w:snapToGrid w:val="0"/>
        <w:spacing w:line="600" w:lineRule="atLeast"/>
        <w:ind w:firstLine="481" w:firstLineChars="20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表4-2 自然保护地管控分区概况</w:t>
      </w:r>
    </w:p>
    <w:p>
      <w:pPr>
        <w:pStyle w:val="6"/>
        <w:spacing w:after="0"/>
        <w:ind w:firstLine="360"/>
        <w:jc w:val="right"/>
        <w:rPr>
          <w:rFonts w:ascii="Times New Roman" w:hAnsi="Times New Roman" w:eastAsia="宋体"/>
          <w:color w:val="000000" w:themeColor="text1"/>
          <w:sz w:val="18"/>
          <w:szCs w:val="18"/>
          <w14:textFill>
            <w14:solidFill>
              <w14:schemeClr w14:val="tx1"/>
            </w14:solidFill>
          </w14:textFill>
        </w:rPr>
      </w:pPr>
      <w:r>
        <w:rPr>
          <w:rFonts w:ascii="Times New Roman" w:hAnsi="Times New Roman" w:eastAsia="宋体"/>
          <w:color w:val="000000" w:themeColor="text1"/>
          <w:sz w:val="18"/>
          <w:szCs w:val="18"/>
          <w14:textFill>
            <w14:solidFill>
              <w14:schemeClr w14:val="tx1"/>
            </w14:solidFill>
          </w14:textFill>
        </w:rPr>
        <w:t>单位：公顷</w:t>
      </w:r>
    </w:p>
    <w:tbl>
      <w:tblPr>
        <w:tblStyle w:val="16"/>
        <w:tblW w:w="5000" w:type="pct"/>
        <w:tblInd w:w="0" w:type="dxa"/>
        <w:tblLayout w:type="autofit"/>
        <w:tblCellMar>
          <w:top w:w="0" w:type="dxa"/>
          <w:left w:w="108" w:type="dxa"/>
          <w:bottom w:w="0" w:type="dxa"/>
          <w:right w:w="108" w:type="dxa"/>
        </w:tblCellMar>
      </w:tblPr>
      <w:tblGrid>
        <w:gridCol w:w="1682"/>
        <w:gridCol w:w="1905"/>
        <w:gridCol w:w="2306"/>
        <w:gridCol w:w="3057"/>
      </w:tblGrid>
      <w:tr>
        <w:tblPrEx>
          <w:tblCellMar>
            <w:top w:w="0" w:type="dxa"/>
            <w:left w:w="108" w:type="dxa"/>
            <w:bottom w:w="0" w:type="dxa"/>
            <w:right w:w="108" w:type="dxa"/>
          </w:tblCellMar>
        </w:tblPrEx>
        <w:trPr>
          <w:trHeight w:val="340" w:hRule="atLeast"/>
        </w:trPr>
        <w:tc>
          <w:tcPr>
            <w:tcW w:w="94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自然保护地</w:t>
            </w:r>
          </w:p>
        </w:tc>
        <w:tc>
          <w:tcPr>
            <w:tcW w:w="1064"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总面积</w:t>
            </w:r>
          </w:p>
        </w:tc>
        <w:tc>
          <w:tcPr>
            <w:tcW w:w="1288"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核心保护区</w:t>
            </w:r>
          </w:p>
        </w:tc>
        <w:tc>
          <w:tcPr>
            <w:tcW w:w="1708"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一般控制区</w:t>
            </w:r>
          </w:p>
        </w:tc>
      </w:tr>
      <w:tr>
        <w:tblPrEx>
          <w:tblCellMar>
            <w:top w:w="0" w:type="dxa"/>
            <w:left w:w="108" w:type="dxa"/>
            <w:bottom w:w="0" w:type="dxa"/>
            <w:right w:w="108" w:type="dxa"/>
          </w:tblCellMar>
        </w:tblPrEx>
        <w:trPr>
          <w:trHeight w:val="340" w:hRule="atLeast"/>
        </w:trPr>
        <w:tc>
          <w:tcPr>
            <w:tcW w:w="940"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合计</w:t>
            </w:r>
          </w:p>
        </w:tc>
        <w:tc>
          <w:tcPr>
            <w:tcW w:w="106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353758.04</w:t>
            </w:r>
          </w:p>
        </w:tc>
        <w:tc>
          <w:tcPr>
            <w:tcW w:w="128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52744.33</w:t>
            </w:r>
          </w:p>
        </w:tc>
        <w:tc>
          <w:tcPr>
            <w:tcW w:w="170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301013.71</w:t>
            </w:r>
          </w:p>
        </w:tc>
      </w:tr>
      <w:tr>
        <w:tblPrEx>
          <w:tblCellMar>
            <w:top w:w="0" w:type="dxa"/>
            <w:left w:w="108" w:type="dxa"/>
            <w:bottom w:w="0" w:type="dxa"/>
            <w:right w:w="108" w:type="dxa"/>
          </w:tblCellMar>
        </w:tblPrEx>
        <w:trPr>
          <w:trHeight w:val="340" w:hRule="atLeast"/>
        </w:trPr>
        <w:tc>
          <w:tcPr>
            <w:tcW w:w="9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自然保护区</w:t>
            </w:r>
          </w:p>
        </w:tc>
        <w:tc>
          <w:tcPr>
            <w:tcW w:w="106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132340.01</w:t>
            </w:r>
          </w:p>
        </w:tc>
        <w:tc>
          <w:tcPr>
            <w:tcW w:w="128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52744.33</w:t>
            </w:r>
          </w:p>
        </w:tc>
        <w:tc>
          <w:tcPr>
            <w:tcW w:w="170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79595.68</w:t>
            </w:r>
          </w:p>
        </w:tc>
      </w:tr>
      <w:tr>
        <w:tblPrEx>
          <w:tblCellMar>
            <w:top w:w="0" w:type="dxa"/>
            <w:left w:w="108" w:type="dxa"/>
            <w:bottom w:w="0" w:type="dxa"/>
            <w:right w:w="108" w:type="dxa"/>
          </w:tblCellMar>
        </w:tblPrEx>
        <w:trPr>
          <w:trHeight w:val="340" w:hRule="atLeast"/>
        </w:trPr>
        <w:tc>
          <w:tcPr>
            <w:tcW w:w="9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1064"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p>
        </w:tc>
        <w:tc>
          <w:tcPr>
            <w:tcW w:w="128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70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r>
      <w:tr>
        <w:tblPrEx>
          <w:tblCellMar>
            <w:top w:w="0" w:type="dxa"/>
            <w:left w:w="108" w:type="dxa"/>
            <w:bottom w:w="0" w:type="dxa"/>
            <w:right w:w="108" w:type="dxa"/>
          </w:tblCellMar>
        </w:tblPrEx>
        <w:trPr>
          <w:trHeight w:val="340" w:hRule="atLeast"/>
        </w:trPr>
        <w:tc>
          <w:tcPr>
            <w:tcW w:w="9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1064"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132340.01</w:t>
            </w:r>
          </w:p>
        </w:tc>
        <w:tc>
          <w:tcPr>
            <w:tcW w:w="128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52744.33</w:t>
            </w:r>
          </w:p>
        </w:tc>
        <w:tc>
          <w:tcPr>
            <w:tcW w:w="170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79595.68</w:t>
            </w:r>
          </w:p>
        </w:tc>
      </w:tr>
      <w:tr>
        <w:tblPrEx>
          <w:tblCellMar>
            <w:top w:w="0" w:type="dxa"/>
            <w:left w:w="108" w:type="dxa"/>
            <w:bottom w:w="0" w:type="dxa"/>
            <w:right w:w="108" w:type="dxa"/>
          </w:tblCellMar>
        </w:tblPrEx>
        <w:trPr>
          <w:trHeight w:val="340" w:hRule="atLeast"/>
        </w:trPr>
        <w:tc>
          <w:tcPr>
            <w:tcW w:w="940"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自然公园</w:t>
            </w:r>
          </w:p>
        </w:tc>
        <w:tc>
          <w:tcPr>
            <w:tcW w:w="1064"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221418.03</w:t>
            </w:r>
          </w:p>
        </w:tc>
        <w:tc>
          <w:tcPr>
            <w:tcW w:w="1288"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1"/>
                <w:szCs w:val="21"/>
              </w:rPr>
            </w:pPr>
          </w:p>
        </w:tc>
        <w:tc>
          <w:tcPr>
            <w:tcW w:w="1708"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221418.03</w:t>
            </w:r>
          </w:p>
        </w:tc>
      </w:tr>
    </w:tbl>
    <w:p>
      <w:pPr>
        <w:jc w:val="center"/>
        <w:rPr>
          <w:rFonts w:ascii="Times New Roman" w:hAnsi="Times New Roman" w:cs="Times New Roman"/>
          <w:sz w:val="21"/>
          <w:szCs w:val="21"/>
        </w:rPr>
      </w:pP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84" w:name="_Toc129976829"/>
      <w:bookmarkStart w:id="85" w:name="_Toc129944408"/>
      <w:bookmarkStart w:id="86" w:name="_Toc129973905"/>
      <w:r>
        <w:rPr>
          <w:rFonts w:ascii="Times New Roman" w:hAnsi="Times New Roman" w:eastAsia="宋体" w:cs="Times New Roman"/>
        </w:rPr>
        <w:t>（三）调入和调出</w:t>
      </w:r>
      <w:bookmarkEnd w:id="84"/>
      <w:bookmarkEnd w:id="85"/>
      <w:bookmarkEnd w:id="86"/>
    </w:p>
    <w:p>
      <w:pPr>
        <w:pStyle w:val="4"/>
        <w:adjustRightInd w:val="0"/>
        <w:snapToGrid w:val="0"/>
        <w:spacing w:before="0" w:after="0" w:line="600" w:lineRule="atLeast"/>
        <w:ind w:firstLine="642" w:firstLineChars="200"/>
        <w:rPr>
          <w:rFonts w:ascii="Times New Roman" w:hAnsi="Times New Roman" w:eastAsia="宋体"/>
        </w:rPr>
      </w:pPr>
      <w:bookmarkStart w:id="87" w:name="_Toc129944409"/>
      <w:bookmarkStart w:id="88" w:name="_Toc129973906"/>
      <w:bookmarkStart w:id="89" w:name="_Toc129976830"/>
      <w:r>
        <w:rPr>
          <w:rFonts w:ascii="Times New Roman" w:hAnsi="Times New Roman" w:eastAsia="宋体"/>
        </w:rPr>
        <w:t>1. 调入生态空间</w:t>
      </w:r>
      <w:bookmarkEnd w:id="87"/>
      <w:bookmarkEnd w:id="88"/>
      <w:bookmarkEnd w:id="89"/>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和田地区自然保护地共调入面积136824.47公顷。主要包括生态保护红线范围内的16894.11公顷，及其他与原保护地有同质性的属野生动物重要栖息地、繁殖地119930.36公顷。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1）新疆和田地区西昆仑藏羚羊繁殖地地方级自然保护区调入面积132340.01公顷。调整结果：查阅该区域过往科学考察资料，调入区域是藏羚羊重要繁殖栖息区域，是藏羚羊西藏羌塘西部种群重要迁徙廊道。整合优化后面积为132340.01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（2）新疆尼雅国家级湿地公园调入4484.46公顷。调整结果：整合优化后总面积62962.74公顷。</w:t>
      </w:r>
    </w:p>
    <w:p>
      <w:pPr>
        <w:pStyle w:val="4"/>
        <w:adjustRightInd w:val="0"/>
        <w:snapToGrid w:val="0"/>
        <w:spacing w:before="0" w:after="0" w:line="600" w:lineRule="atLeast"/>
        <w:ind w:firstLine="642" w:firstLineChars="200"/>
        <w:rPr>
          <w:rFonts w:ascii="Times New Roman" w:hAnsi="Times New Roman" w:eastAsia="宋体"/>
        </w:rPr>
      </w:pPr>
      <w:bookmarkStart w:id="90" w:name="_Toc129973907"/>
      <w:bookmarkStart w:id="91" w:name="_Toc129976831"/>
      <w:bookmarkStart w:id="92" w:name="_Toc129944410"/>
      <w:r>
        <w:rPr>
          <w:rFonts w:ascii="Times New Roman" w:hAnsi="Times New Roman" w:eastAsia="宋体"/>
        </w:rPr>
        <w:t>2. 调出矛盾冲突</w:t>
      </w:r>
      <w:bookmarkEnd w:id="90"/>
      <w:bookmarkEnd w:id="91"/>
      <w:bookmarkEnd w:id="92"/>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整合优化拟从和田地区自然保护地调出面积6655.74公顷。主要包括耕地222.52公顷、村庄2.26公顷，以及其他各类矛盾冲突空间连带产生的破碎地块6430.96公顷。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1）新疆和田地区西昆仑藏羚羊繁殖地自然保护区：一是批复坐标范围与实际范围不一致；二是批复面积132000.00公顷与矢量图形面积1982.49公顷，差异较大。同时依据实际情况和文献资料分析该区域不属藏羚羊主要繁殖栖息迁徙区域。因此，将自然保护区保护价值低的区域，共计1982.49公顷全部调出。</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（2）新疆策勒达玛沟国家湿地公园：调出连片稳定耕地4.09公顷，按地形优化边界调出8.35公顷，共调出12.44公顷。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（3）新疆拉里昆国家湿地公园：调出连片稳定耕地198.80公顷，按地形优化边界及细碎图斑等调出9.64公顷，共调出208.44公顷。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（4）新疆尼雅国家湿地公园：调出村庄2.26公顷，调出其他保护价值低或无保护价值、各类矛盾冲突面积4430.20公顷，共调出4432.46公顷。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（5）新疆于田克里雅河国家湿地公园：调出连片稳定耕地7.2公顷。</w:t>
      </w:r>
    </w:p>
    <w:p>
      <w:pPr>
        <w:widowControl w:val="0"/>
        <w:adjustRightInd w:val="0"/>
        <w:snapToGrid w:val="0"/>
        <w:spacing w:line="60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（6）新疆洛浦玉龙湾国家沙漠公园：调出连片稳定耕地12.43公顷，调出细碎图斑0.27公顷，共调出12.70公顷。</w:t>
      </w:r>
    </w:p>
    <w:p>
      <w:pPr>
        <w:adjustRightInd w:val="0"/>
        <w:snapToGrid w:val="0"/>
        <w:spacing w:line="620" w:lineRule="exact"/>
        <w:jc w:val="center"/>
        <w:rPr>
          <w:rFonts w:ascii="Times New Roman" w:hAnsi="Times New Roman" w:cs="Times New Roman"/>
          <w:color w:val="000000" w:themeColor="text1"/>
          <w14:textFill>
            <w14:solidFill>
              <w14:schemeClr w14:val="tx1"/>
            </w14:solidFill>
          </w14:textFill>
        </w:rPr>
      </w:pPr>
    </w:p>
    <w:p>
      <w:pPr>
        <w:adjustRightInd w:val="0"/>
        <w:snapToGrid w:val="0"/>
        <w:spacing w:line="620" w:lineRule="exact"/>
        <w:jc w:val="center"/>
        <w:rPr>
          <w:rFonts w:ascii="Times New Roman" w:hAnsi="Times New Roman" w:cs="Times New Roman"/>
          <w:b/>
          <w:bCs/>
          <w:color w:val="000000" w:themeColor="text1"/>
          <w14:textFill>
            <w14:solidFill>
              <w14:schemeClr w14:val="tx1"/>
            </w14:solidFill>
          </w14:textFill>
        </w:rPr>
      </w:pPr>
    </w:p>
    <w:p>
      <w:pPr>
        <w:adjustRightInd w:val="0"/>
        <w:snapToGrid w:val="0"/>
        <w:spacing w:line="620" w:lineRule="exact"/>
        <w:jc w:val="center"/>
        <w:rPr>
          <w:rFonts w:ascii="Times New Roman" w:hAnsi="Times New Roman" w:cs="Times New Roman"/>
          <w:b/>
          <w:bCs/>
          <w:color w:val="000000" w:themeColor="text1"/>
          <w14:textFill>
            <w14:solidFill>
              <w14:schemeClr w14:val="tx1"/>
            </w14:solidFill>
          </w14:textFill>
        </w:rPr>
      </w:pPr>
      <w:bookmarkStart w:id="105" w:name="_GoBack"/>
      <w:bookmarkEnd w:id="105"/>
      <w:r>
        <w:rPr>
          <w:rFonts w:ascii="Times New Roman" w:hAnsi="Times New Roman" w:cs="Times New Roman"/>
          <w:b/>
          <w:bCs/>
          <w:color w:val="000000" w:themeColor="text1"/>
          <w14:textFill>
            <w14:solidFill>
              <w14:schemeClr w14:val="tx1"/>
            </w14:solidFill>
          </w14:textFill>
        </w:rPr>
        <w:t>表4-3 自然保护地整合优化调入调出情况</w:t>
      </w:r>
    </w:p>
    <w:p>
      <w:pPr>
        <w:pStyle w:val="6"/>
        <w:spacing w:after="0"/>
        <w:ind w:firstLine="480"/>
        <w:jc w:val="right"/>
        <w:rPr>
          <w:rFonts w:ascii="Times New Roman" w:hAnsi="Times New Roman" w:eastAsia="宋体"/>
          <w:color w:val="000000" w:themeColor="text1"/>
          <w:szCs w:val="21"/>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 xml:space="preserve">           </w:t>
      </w:r>
      <w:r>
        <w:rPr>
          <w:rFonts w:ascii="Times New Roman" w:hAnsi="Times New Roman" w:eastAsia="宋体"/>
          <w:color w:val="000000" w:themeColor="text1"/>
          <w:sz w:val="18"/>
          <w:szCs w:val="18"/>
          <w14:textFill>
            <w14:solidFill>
              <w14:schemeClr w14:val="tx1"/>
            </w14:solidFill>
          </w14:textFill>
        </w:rPr>
        <w:t>单位：公顷</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
        <w:gridCol w:w="2622"/>
        <w:gridCol w:w="1844"/>
        <w:gridCol w:w="1561"/>
        <w:gridCol w:w="141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exact"/>
        </w:trPr>
        <w:tc>
          <w:tcPr>
            <w:tcW w:w="179"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p>
        </w:tc>
        <w:tc>
          <w:tcPr>
            <w:tcW w:w="1465"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保护地名称</w:t>
            </w:r>
          </w:p>
        </w:tc>
        <w:tc>
          <w:tcPr>
            <w:tcW w:w="1030" w:type="pct"/>
            <w:shd w:val="clear" w:color="auto" w:fill="auto"/>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调出面积</w:t>
            </w:r>
          </w:p>
        </w:tc>
        <w:tc>
          <w:tcPr>
            <w:tcW w:w="872" w:type="pct"/>
            <w:shd w:val="clear" w:color="auto" w:fill="auto"/>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调入面积</w:t>
            </w:r>
          </w:p>
        </w:tc>
        <w:tc>
          <w:tcPr>
            <w:tcW w:w="791" w:type="pct"/>
            <w:shd w:val="clear" w:color="auto" w:fill="auto"/>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整合后面积</w:t>
            </w:r>
          </w:p>
        </w:tc>
        <w:tc>
          <w:tcPr>
            <w:tcW w:w="663" w:type="pct"/>
            <w:shd w:val="clear" w:color="auto" w:fill="auto"/>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面积变化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p>
        </w:tc>
        <w:tc>
          <w:tcPr>
            <w:tcW w:w="1465" w:type="pct"/>
            <w:shd w:val="clear" w:color="auto" w:fill="auto"/>
            <w:noWrap/>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和田地区</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6655.74</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136824.47</w:t>
            </w: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353758.04</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130168.73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sz w:val="21"/>
                <w:szCs w:val="21"/>
              </w:rPr>
              <w:t>1</w:t>
            </w:r>
          </w:p>
        </w:tc>
        <w:tc>
          <w:tcPr>
            <w:tcW w:w="146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新疆和田地区西昆仑藏羚羊繁殖地自然保护区</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1982.49</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132340.01</w:t>
            </w: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132340.01</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1982.49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sz w:val="21"/>
                <w:szCs w:val="21"/>
              </w:rPr>
              <w:t>2</w:t>
            </w:r>
          </w:p>
        </w:tc>
        <w:tc>
          <w:tcPr>
            <w:tcW w:w="146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新疆策勒达玛沟国家湿地公园</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12.44</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1708.83</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sz w:val="21"/>
                <w:szCs w:val="21"/>
              </w:rPr>
              <w:t>3</w:t>
            </w:r>
          </w:p>
        </w:tc>
        <w:tc>
          <w:tcPr>
            <w:tcW w:w="146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新疆拉里昆国家湿地公园</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208.44</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12737.7</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-208.44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sz w:val="21"/>
                <w:szCs w:val="21"/>
              </w:rPr>
              <w:t>4</w:t>
            </w:r>
          </w:p>
        </w:tc>
        <w:tc>
          <w:tcPr>
            <w:tcW w:w="146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新疆尼雅国家湿地公园</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4432.46</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4484.46</w:t>
            </w: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62962.74</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sz w:val="21"/>
                <w:szCs w:val="21"/>
              </w:rPr>
              <w:t>5</w:t>
            </w:r>
          </w:p>
        </w:tc>
        <w:tc>
          <w:tcPr>
            <w:tcW w:w="146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新疆于田克里雅河国家湿地公园</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7.2</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142974.45</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79" w:type="pct"/>
            <w:shd w:val="clear" w:color="auto" w:fill="auto"/>
            <w:noWrap/>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sz w:val="21"/>
                <w:szCs w:val="21"/>
              </w:rPr>
              <w:t>6</w:t>
            </w:r>
          </w:p>
        </w:tc>
        <w:tc>
          <w:tcPr>
            <w:tcW w:w="146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新疆洛浦玉龙湾国家沙漠公园</w:t>
            </w:r>
          </w:p>
        </w:tc>
        <w:tc>
          <w:tcPr>
            <w:tcW w:w="1030"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12.70</w:t>
            </w:r>
          </w:p>
        </w:tc>
        <w:tc>
          <w:tcPr>
            <w:tcW w:w="872"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p>
        </w:tc>
        <w:tc>
          <w:tcPr>
            <w:tcW w:w="791" w:type="pct"/>
            <w:shd w:val="clear" w:color="000000" w:fill="FFFFFF"/>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1034.31</w:t>
            </w:r>
          </w:p>
        </w:tc>
        <w:tc>
          <w:tcPr>
            <w:tcW w:w="663" w:type="pct"/>
            <w:shd w:val="clear" w:color="auto" w:fill="auto"/>
            <w:noWrap/>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-12.70</w:t>
            </w:r>
          </w:p>
        </w:tc>
      </w:tr>
    </w:tbl>
    <w:p>
      <w:pPr>
        <w:adjustRightInd w:val="0"/>
        <w:snapToGrid w:val="0"/>
        <w:spacing w:line="62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表4-4自然保护地调出矛盾冲突情况</w:t>
      </w:r>
    </w:p>
    <w:p>
      <w:pPr>
        <w:pStyle w:val="6"/>
        <w:spacing w:after="0"/>
        <w:ind w:firstLine="360"/>
        <w:jc w:val="right"/>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18"/>
          <w:szCs w:val="18"/>
          <w14:textFill>
            <w14:solidFill>
              <w14:schemeClr w14:val="tx1"/>
            </w14:solidFill>
          </w14:textFill>
        </w:rPr>
        <w:t>单位：公顷</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gridCol w:w="1276"/>
        <w:gridCol w:w="708"/>
        <w:gridCol w:w="851"/>
        <w:gridCol w:w="851"/>
        <w:gridCol w:w="422"/>
        <w:gridCol w:w="992"/>
        <w:gridCol w:w="5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308"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保护地名称</w:t>
            </w:r>
          </w:p>
        </w:tc>
        <w:tc>
          <w:tcPr>
            <w:tcW w:w="726"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耕地</w:t>
            </w:r>
          </w:p>
        </w:tc>
        <w:tc>
          <w:tcPr>
            <w:tcW w:w="403"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人工商品林</w:t>
            </w:r>
          </w:p>
        </w:tc>
        <w:tc>
          <w:tcPr>
            <w:tcW w:w="484"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矿业权</w:t>
            </w:r>
          </w:p>
        </w:tc>
        <w:tc>
          <w:tcPr>
            <w:tcW w:w="484"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开发区</w:t>
            </w:r>
          </w:p>
        </w:tc>
        <w:tc>
          <w:tcPr>
            <w:tcW w:w="240"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城镇</w:t>
            </w:r>
          </w:p>
        </w:tc>
        <w:tc>
          <w:tcPr>
            <w:tcW w:w="564" w:type="pct"/>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村庄</w:t>
            </w:r>
          </w:p>
        </w:tc>
        <w:tc>
          <w:tcPr>
            <w:tcW w:w="322"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项目用地</w:t>
            </w:r>
          </w:p>
        </w:tc>
        <w:tc>
          <w:tcPr>
            <w:tcW w:w="469"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308" w:type="pct"/>
            <w:shd w:val="clear" w:color="auto" w:fill="auto"/>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和田地区</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222.52</w:t>
            </w: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p>
        </w:tc>
        <w:tc>
          <w:tcPr>
            <w:tcW w:w="564" w:type="pct"/>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2.26</w:t>
            </w: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p>
        </w:tc>
        <w:tc>
          <w:tcPr>
            <w:tcW w:w="469"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6430.96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08" w:type="pct"/>
            <w:shd w:val="clear" w:color="auto" w:fill="auto"/>
            <w:noWrap/>
            <w:tcMar>
              <w:left w:w="28" w:type="dxa"/>
              <w:right w:w="28" w:type="dxa"/>
            </w:tcMar>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新疆和田地区西昆仑藏羚羊繁殖地自然保护区</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564" w:type="pct"/>
            <w:vAlign w:val="center"/>
          </w:tcPr>
          <w:p>
            <w:pPr>
              <w:adjustRightInd w:val="0"/>
              <w:snapToGrid w:val="0"/>
              <w:spacing w:line="400" w:lineRule="atLeast"/>
              <w:jc w:val="center"/>
              <w:rPr>
                <w:rFonts w:ascii="Times New Roman" w:hAnsi="Times New Roman" w:cs="Times New Roman"/>
                <w:color w:val="000000"/>
                <w:sz w:val="21"/>
                <w:szCs w:val="21"/>
              </w:rPr>
            </w:pP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69" w:type="pct"/>
            <w:shd w:val="clear" w:color="auto" w:fill="auto"/>
            <w:noWrap/>
            <w:tcMar>
              <w:left w:w="28" w:type="dxa"/>
              <w:right w:w="28" w:type="dxa"/>
            </w:tcMar>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1982.49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1308" w:type="pct"/>
            <w:shd w:val="clear" w:color="auto" w:fill="auto"/>
            <w:noWrap/>
            <w:tcMar>
              <w:left w:w="28" w:type="dxa"/>
              <w:right w:w="28" w:type="dxa"/>
            </w:tcMar>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新疆策勒达玛沟国家湿地公园</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4.09</w:t>
            </w: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564" w:type="pct"/>
            <w:vAlign w:val="center"/>
          </w:tcPr>
          <w:p>
            <w:pPr>
              <w:adjustRightInd w:val="0"/>
              <w:snapToGrid w:val="0"/>
              <w:spacing w:line="400" w:lineRule="atLeast"/>
              <w:jc w:val="center"/>
              <w:rPr>
                <w:rFonts w:ascii="Times New Roman" w:hAnsi="Times New Roman" w:cs="Times New Roman"/>
                <w:color w:val="000000"/>
                <w:sz w:val="21"/>
                <w:szCs w:val="21"/>
              </w:rPr>
            </w:pP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69"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08" w:type="pct"/>
            <w:shd w:val="clear" w:color="auto" w:fill="auto"/>
            <w:noWrap/>
            <w:tcMar>
              <w:left w:w="28" w:type="dxa"/>
              <w:right w:w="28" w:type="dxa"/>
            </w:tcMar>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新疆拉里昆国家湿地公园</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198.80</w:t>
            </w: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564" w:type="pct"/>
            <w:vAlign w:val="center"/>
          </w:tcPr>
          <w:p>
            <w:pPr>
              <w:adjustRightInd w:val="0"/>
              <w:snapToGrid w:val="0"/>
              <w:spacing w:line="400" w:lineRule="atLeast"/>
              <w:jc w:val="center"/>
              <w:rPr>
                <w:rFonts w:ascii="Times New Roman" w:hAnsi="Times New Roman" w:cs="Times New Roman"/>
                <w:color w:val="000000"/>
                <w:sz w:val="21"/>
                <w:szCs w:val="21"/>
              </w:rPr>
            </w:pP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69"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08" w:type="pct"/>
            <w:shd w:val="clear" w:color="auto" w:fill="auto"/>
            <w:noWrap/>
            <w:tcMar>
              <w:left w:w="28" w:type="dxa"/>
              <w:right w:w="28" w:type="dxa"/>
            </w:tcMar>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新疆尼雅国家湿地公园</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564" w:type="pct"/>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2.26</w:t>
            </w: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69"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4430.20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08" w:type="pct"/>
            <w:shd w:val="clear" w:color="auto" w:fill="auto"/>
            <w:noWrap/>
            <w:tcMar>
              <w:left w:w="28" w:type="dxa"/>
              <w:right w:w="28" w:type="dxa"/>
            </w:tcMar>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新疆于田克里雅河国家湿地公园</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7.2</w:t>
            </w: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564" w:type="pct"/>
            <w:vAlign w:val="center"/>
          </w:tcPr>
          <w:p>
            <w:pPr>
              <w:adjustRightInd w:val="0"/>
              <w:snapToGrid w:val="0"/>
              <w:spacing w:line="400" w:lineRule="atLeast"/>
              <w:jc w:val="center"/>
              <w:rPr>
                <w:rFonts w:ascii="Times New Roman" w:hAnsi="Times New Roman" w:cs="Times New Roman"/>
                <w:color w:val="000000"/>
                <w:sz w:val="21"/>
                <w:szCs w:val="21"/>
              </w:rPr>
            </w:pP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69"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1308" w:type="pct"/>
            <w:shd w:val="clear" w:color="auto" w:fill="auto"/>
            <w:noWrap/>
            <w:tcMar>
              <w:left w:w="28" w:type="dxa"/>
              <w:right w:w="28" w:type="dxa"/>
            </w:tcMar>
            <w:vAlign w:val="center"/>
          </w:tcPr>
          <w:p>
            <w:pPr>
              <w:adjustRightInd w:val="0"/>
              <w:snapToGrid w:val="0"/>
              <w:spacing w:line="300" w:lineRule="atLeast"/>
              <w:jc w:val="center"/>
              <w:rPr>
                <w:rFonts w:ascii="Times New Roman" w:hAnsi="Times New Roman" w:cs="Times New Roman"/>
                <w:sz w:val="21"/>
                <w:szCs w:val="21"/>
              </w:rPr>
            </w:pPr>
            <w:r>
              <w:rPr>
                <w:rFonts w:ascii="Times New Roman" w:hAnsi="Times New Roman" w:cs="Times New Roman"/>
                <w:color w:val="000000"/>
                <w:sz w:val="21"/>
                <w:szCs w:val="21"/>
              </w:rPr>
              <w:t>新疆洛浦玉龙湾国家沙漠公园</w:t>
            </w:r>
          </w:p>
        </w:tc>
        <w:tc>
          <w:tcPr>
            <w:tcW w:w="726"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12.43</w:t>
            </w:r>
          </w:p>
        </w:tc>
        <w:tc>
          <w:tcPr>
            <w:tcW w:w="403"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84"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240"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564" w:type="pct"/>
          </w:tcPr>
          <w:p>
            <w:pPr>
              <w:adjustRightInd w:val="0"/>
              <w:snapToGrid w:val="0"/>
              <w:spacing w:line="400" w:lineRule="atLeast"/>
              <w:jc w:val="center"/>
              <w:rPr>
                <w:rFonts w:ascii="Times New Roman" w:hAnsi="Times New Roman" w:cs="Times New Roman"/>
                <w:color w:val="000000"/>
                <w:sz w:val="21"/>
                <w:szCs w:val="21"/>
              </w:rPr>
            </w:pPr>
          </w:p>
        </w:tc>
        <w:tc>
          <w:tcPr>
            <w:tcW w:w="322"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p>
        </w:tc>
        <w:tc>
          <w:tcPr>
            <w:tcW w:w="469" w:type="pct"/>
            <w:shd w:val="clear" w:color="auto" w:fill="auto"/>
            <w:noWrap/>
            <w:tcMar>
              <w:left w:w="28" w:type="dxa"/>
              <w:right w:w="28" w:type="dxa"/>
            </w:tcMar>
            <w:vAlign w:val="center"/>
          </w:tcPr>
          <w:p>
            <w:pPr>
              <w:adjustRightInd w:val="0"/>
              <w:snapToGrid w:val="0"/>
              <w:spacing w:line="40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0.27</w:t>
            </w:r>
          </w:p>
        </w:tc>
      </w:tr>
    </w:tbl>
    <w:p>
      <w:pPr>
        <w:widowControl w:val="0"/>
        <w:adjustRightInd w:val="0"/>
        <w:snapToGrid w:val="0"/>
        <w:spacing w:line="600" w:lineRule="atLeast"/>
        <w:ind w:firstLine="640" w:firstLineChars="200"/>
        <w:jc w:val="both"/>
        <w:rPr>
          <w:rFonts w:ascii="Times New Roman" w:hAnsi="Times New Roman" w:cs="Times New Roman"/>
          <w:sz w:val="32"/>
          <w:szCs w:val="32"/>
        </w:rPr>
        <w:sectPr>
          <w:pgSz w:w="11910" w:h="16840"/>
          <w:pgMar w:top="2098" w:right="1588" w:bottom="1985" w:left="1588" w:header="0" w:footer="998" w:gutter="0"/>
          <w:cols w:space="425" w:num="1"/>
          <w:docGrid w:linePitch="299" w:charSpace="0"/>
        </w:sectPr>
      </w:pPr>
    </w:p>
    <w:p>
      <w:pPr>
        <w:pStyle w:val="2"/>
        <w:keepNext w:val="0"/>
        <w:keepLines w:val="0"/>
        <w:widowControl w:val="0"/>
        <w:adjustRightInd w:val="0"/>
        <w:snapToGrid w:val="0"/>
        <w:spacing w:before="120" w:beforeLines="50" w:after="120" w:afterLines="50" w:line="600" w:lineRule="atLeast"/>
        <w:ind w:firstLine="642" w:firstLineChars="200"/>
        <w:jc w:val="both"/>
        <w:rPr>
          <w:rFonts w:ascii="Times New Roman" w:hAnsi="Times New Roman" w:cs="Times New Roman"/>
          <w:sz w:val="32"/>
          <w:szCs w:val="32"/>
        </w:rPr>
      </w:pPr>
      <w:bookmarkStart w:id="93" w:name="_Toc129976832"/>
      <w:bookmarkStart w:id="94" w:name="_Toc129944411"/>
      <w:bookmarkStart w:id="95" w:name="_Toc129973908"/>
      <w:r>
        <w:rPr>
          <w:rFonts w:ascii="Times New Roman" w:hAnsi="Times New Roman" w:cs="Times New Roman"/>
          <w:sz w:val="32"/>
          <w:szCs w:val="32"/>
        </w:rPr>
        <w:t>五、成效分析</w:t>
      </w:r>
      <w:bookmarkEnd w:id="93"/>
      <w:bookmarkEnd w:id="94"/>
      <w:bookmarkEnd w:id="95"/>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96" w:name="_Toc129973909"/>
      <w:bookmarkStart w:id="97" w:name="_Toc129976833"/>
      <w:bookmarkStart w:id="98" w:name="_Toc129944412"/>
      <w:r>
        <w:rPr>
          <w:rFonts w:ascii="Times New Roman" w:hAnsi="Times New Roman" w:eastAsia="宋体" w:cs="Times New Roman"/>
        </w:rPr>
        <w:t>（一）解决了自然保护地矛盾冲突</w:t>
      </w:r>
      <w:bookmarkEnd w:id="96"/>
      <w:bookmarkEnd w:id="97"/>
      <w:bookmarkEnd w:id="98"/>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将各自然保护地内的耕地、永久基本农田、村庄及其他各类矛盾冲突空间连带产生的破碎地块等按规定调出，解决了历史遗留问题和现实矛盾冲突；将一些重要的自然生态系统、自然景观、自然遗迹、野生动植物及其重要栖息地纳入自然保护地范围，进一步优化了和田地区生态安全整体格局，有利于生物多样性保护，提高生态稳定性。《方案》调整优化了各个自然保护地边界范围，促进了自然保护地保护发展与社会经济发展的和谐关系，有利实现生态保护与区域经济的可持续发展。</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99" w:name="_Toc129976834"/>
      <w:bookmarkStart w:id="100" w:name="_Toc129973910"/>
      <w:bookmarkStart w:id="101" w:name="_Toc129944413"/>
      <w:r>
        <w:rPr>
          <w:rFonts w:ascii="Times New Roman" w:hAnsi="Times New Roman" w:eastAsia="宋体" w:cs="Times New Roman"/>
        </w:rPr>
        <w:t>（二）夯实自然保护地监督管理基础</w:t>
      </w:r>
      <w:bookmarkEnd w:id="99"/>
      <w:bookmarkEnd w:id="100"/>
      <w:bookmarkEnd w:id="101"/>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摸清了和田自然保护地数量、结构、分布等基本情况，全面掌握了自然保护地内人口分布、土地分类、矿产开发等经济社会现状，形成了统一完备的自然保护地基础信息数据库，并为每一个自然保护地制作了范围及分区空间矢量图。</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整合优化后自然保护地边界范围更加清晰、类型定位更加明确、功能分区更加科学，管控规则和管理制度将更加合理、完善，为依法、高效开展自然保护地监测、评估、考核、执法、监管等奠定了扎实的基础。</w:t>
      </w:r>
    </w:p>
    <w:p>
      <w:pPr>
        <w:pStyle w:val="3"/>
        <w:keepNext w:val="0"/>
        <w:keepLines w:val="0"/>
        <w:widowControl w:val="0"/>
        <w:adjustRightInd w:val="0"/>
        <w:snapToGrid w:val="0"/>
        <w:spacing w:before="0" w:after="0" w:line="600" w:lineRule="atLeast"/>
        <w:ind w:firstLine="642" w:firstLineChars="200"/>
        <w:jc w:val="both"/>
        <w:rPr>
          <w:rFonts w:ascii="Times New Roman" w:hAnsi="Times New Roman" w:eastAsia="宋体" w:cs="Times New Roman"/>
        </w:rPr>
      </w:pPr>
      <w:bookmarkStart w:id="102" w:name="_Toc129944414"/>
      <w:bookmarkStart w:id="103" w:name="_Toc129976835"/>
      <w:bookmarkStart w:id="104" w:name="_Toc129973911"/>
      <w:r>
        <w:rPr>
          <w:rFonts w:ascii="Times New Roman" w:hAnsi="Times New Roman" w:eastAsia="宋体" w:cs="Times New Roman"/>
        </w:rPr>
        <w:t>（三）促进构建国土空间开发保护新格局</w:t>
      </w:r>
      <w:bookmarkEnd w:id="102"/>
      <w:bookmarkEnd w:id="103"/>
      <w:bookmarkEnd w:id="104"/>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整合优化从自然保护地内调出耕地及永久基本农田和城镇村等空间矛盾冲突，与《国土空间规划》编制和“三区三线”划定统筹部署、协同推进，成果无缝对接，合理布局生产、生活、生态空间。</w:t>
      </w:r>
    </w:p>
    <w:p>
      <w:pPr>
        <w:widowControl w:val="0"/>
        <w:adjustRightInd w:val="0"/>
        <w:snapToGrid w:val="0"/>
        <w:spacing w:line="600" w:lineRule="atLeast"/>
        <w:ind w:firstLine="640" w:firstLineChars="200"/>
        <w:jc w:val="both"/>
        <w:rPr>
          <w:rFonts w:ascii="Times New Roman" w:hAnsi="Times New Roman" w:cs="Times New Roman"/>
          <w:sz w:val="32"/>
          <w:szCs w:val="32"/>
        </w:rPr>
      </w:pPr>
      <w:r>
        <w:rPr>
          <w:rFonts w:ascii="Times New Roman" w:hAnsi="Times New Roman" w:cs="Times New Roman"/>
          <w:sz w:val="32"/>
          <w:szCs w:val="32"/>
        </w:rPr>
        <w:t>整合优化后自然保护地与国土空间规划生态功能区格局更趋一致，有利于全面保护重要生态区域和典型自然生态系统、推动山水林田湖草沙一体化保护和系统治理，有利于落实国土空间用途管制制度、构建国土空间开发保护新格局。</w:t>
      </w:r>
    </w:p>
    <w:p>
      <w:pPr>
        <w:rPr>
          <w:rFonts w:ascii="Times New Roman" w:hAnsi="Times New Roman" w:cs="Times New Roman"/>
          <w:sz w:val="32"/>
          <w:szCs w:val="32"/>
        </w:rPr>
      </w:pPr>
      <w:r>
        <w:rPr>
          <w:rFonts w:ascii="Times New Roman" w:hAnsi="Times New Roman" w:cs="Times New Roman"/>
          <w:sz w:val="32"/>
          <w:szCs w:val="32"/>
        </w:rPr>
        <w:br w:type="page"/>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附表1             整合优化前后自然保护地情况对比</w:t>
      </w:r>
    </w:p>
    <w:p>
      <w:pPr>
        <w:spacing w:line="300" w:lineRule="exact"/>
        <w:ind w:firstLine="2186" w:firstLineChars="911"/>
        <w:jc w:val="right"/>
        <w:rPr>
          <w:rFonts w:ascii="Times New Roman" w:hAnsi="Times New Roman" w:cs="Times New Roman"/>
        </w:rPr>
      </w:pPr>
      <w:r>
        <w:rPr>
          <w:rFonts w:ascii="Times New Roman" w:hAnsi="Times New Roman" w:cs="Times New Roman"/>
        </w:rPr>
        <w:t>单位：个、公顷</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928"/>
        <w:gridCol w:w="678"/>
        <w:gridCol w:w="1112"/>
        <w:gridCol w:w="1681"/>
        <w:gridCol w:w="904"/>
        <w:gridCol w:w="638"/>
        <w:gridCol w:w="11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579" w:type="pct"/>
            <w:gridSpan w:val="4"/>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整合优化前</w:t>
            </w:r>
          </w:p>
        </w:tc>
        <w:tc>
          <w:tcPr>
            <w:tcW w:w="2420" w:type="pct"/>
            <w:gridSpan w:val="4"/>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整合优化后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579" w:type="pct"/>
            <w:gridSpan w:val="2"/>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自然保护地类型</w:t>
            </w:r>
          </w:p>
        </w:tc>
        <w:tc>
          <w:tcPr>
            <w:tcW w:w="379" w:type="pct"/>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数量</w:t>
            </w:r>
          </w:p>
        </w:tc>
        <w:tc>
          <w:tcPr>
            <w:tcW w:w="620" w:type="pct"/>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面积</w:t>
            </w:r>
          </w:p>
        </w:tc>
        <w:tc>
          <w:tcPr>
            <w:tcW w:w="1444" w:type="pct"/>
            <w:gridSpan w:val="2"/>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自然保护地类型</w:t>
            </w:r>
          </w:p>
        </w:tc>
        <w:tc>
          <w:tcPr>
            <w:tcW w:w="355" w:type="pct"/>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数量</w:t>
            </w:r>
          </w:p>
        </w:tc>
        <w:tc>
          <w:tcPr>
            <w:tcW w:w="620" w:type="pct"/>
            <w:shd w:val="clear" w:color="auto" w:fill="auto"/>
            <w:noWrap/>
            <w:vAlign w:val="center"/>
          </w:tcPr>
          <w:p>
            <w:pPr>
              <w:adjustRightInd w:val="0"/>
              <w:snapToGrid w:val="0"/>
              <w:spacing w:line="300" w:lineRule="atLeast"/>
              <w:jc w:val="center"/>
              <w:rPr>
                <w:rFonts w:ascii="Times New Roman" w:hAnsi="Times New Roman" w:cs="Times New Roman"/>
                <w:b/>
                <w:bCs/>
                <w:sz w:val="21"/>
                <w:szCs w:val="21"/>
              </w:rPr>
            </w:pPr>
            <w:r>
              <w:rPr>
                <w:rFonts w:ascii="Times New Roman" w:hAnsi="Times New Roman" w:cs="Times New Roman"/>
                <w:b/>
                <w:bCs/>
                <w:sz w:val="21"/>
                <w:szCs w:val="21"/>
              </w:rPr>
              <w:t>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自然保护区</w:t>
            </w: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1982.49</w:t>
            </w:r>
          </w:p>
        </w:tc>
        <w:tc>
          <w:tcPr>
            <w:tcW w:w="939" w:type="pct"/>
            <w:vMerge w:val="restart"/>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自然保护区</w:t>
            </w:r>
          </w:p>
        </w:tc>
        <w:tc>
          <w:tcPr>
            <w:tcW w:w="505" w:type="pct"/>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132340.01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939" w:type="pct"/>
            <w:vMerge w:val="continue"/>
            <w:shd w:val="clear" w:color="auto" w:fill="auto"/>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省级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939" w:type="pct"/>
            <w:vMerge w:val="continue"/>
            <w:shd w:val="clear" w:color="auto" w:fill="auto"/>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132340.01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市县级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1982.49</w:t>
            </w:r>
          </w:p>
        </w:tc>
        <w:tc>
          <w:tcPr>
            <w:tcW w:w="939" w:type="pct"/>
            <w:vMerge w:val="continue"/>
            <w:shd w:val="clear" w:color="auto" w:fill="auto"/>
            <w:noWrap/>
            <w:vAlign w:val="center"/>
          </w:tcPr>
          <w:p>
            <w:pPr>
              <w:jc w:val="center"/>
              <w:rPr>
                <w:rFonts w:ascii="Times New Roman" w:hAnsi="Times New Roman" w:cs="Times New Roman"/>
                <w:color w:val="000000"/>
                <w:sz w:val="21"/>
                <w:szCs w:val="21"/>
              </w:rPr>
            </w:pPr>
          </w:p>
        </w:tc>
        <w:tc>
          <w:tcPr>
            <w:tcW w:w="505" w:type="pct"/>
            <w:shd w:val="clear" w:color="auto" w:fill="auto"/>
            <w:vAlign w:val="center"/>
          </w:tcPr>
          <w:p>
            <w:pPr>
              <w:jc w:val="center"/>
              <w:rPr>
                <w:rFonts w:ascii="Times New Roman" w:hAnsi="Times New Roman" w:cs="Times New Roman"/>
                <w:color w:val="000000"/>
                <w:sz w:val="21"/>
                <w:szCs w:val="21"/>
              </w:rPr>
            </w:pPr>
          </w:p>
        </w:tc>
        <w:tc>
          <w:tcPr>
            <w:tcW w:w="355" w:type="pct"/>
            <w:shd w:val="clear" w:color="auto" w:fill="auto"/>
            <w:noWrap/>
            <w:vAlign w:val="center"/>
          </w:tcPr>
          <w:p>
            <w:pPr>
              <w:adjustRightInd w:val="0"/>
              <w:snapToGrid w:val="0"/>
              <w:spacing w:line="300" w:lineRule="atLeas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自然公园</w:t>
            </w:r>
          </w:p>
        </w:tc>
        <w:tc>
          <w:tcPr>
            <w:tcW w:w="518" w:type="pct"/>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5</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221606.82</w:t>
            </w:r>
          </w:p>
        </w:tc>
        <w:tc>
          <w:tcPr>
            <w:tcW w:w="939"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自然公园</w:t>
            </w:r>
          </w:p>
        </w:tc>
        <w:tc>
          <w:tcPr>
            <w:tcW w:w="505" w:type="pct"/>
            <w:shd w:val="clear" w:color="auto" w:fill="auto"/>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5</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221418.03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noWrap/>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5</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221606.82</w:t>
            </w:r>
          </w:p>
        </w:tc>
        <w:tc>
          <w:tcPr>
            <w:tcW w:w="939" w:type="pct"/>
            <w:vMerge w:val="continue"/>
            <w:shd w:val="clear" w:color="auto" w:fill="auto"/>
            <w:noWrap/>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5</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221418.03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noWrap/>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939" w:type="pct"/>
            <w:vMerge w:val="continue"/>
            <w:shd w:val="clear" w:color="auto" w:fill="auto"/>
            <w:noWrap/>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湿地公园</w:t>
            </w: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4</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220559.82</w:t>
            </w:r>
          </w:p>
        </w:tc>
        <w:tc>
          <w:tcPr>
            <w:tcW w:w="939"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湿地公园</w:t>
            </w: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4</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220383.72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4</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220559.82</w:t>
            </w:r>
          </w:p>
        </w:tc>
        <w:tc>
          <w:tcPr>
            <w:tcW w:w="939" w:type="pct"/>
            <w:vMerge w:val="continue"/>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4</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220383.72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vAlign w:val="center"/>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939" w:type="pct"/>
            <w:vMerge w:val="continue"/>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沙漠公园</w:t>
            </w: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1047.01</w:t>
            </w:r>
          </w:p>
        </w:tc>
        <w:tc>
          <w:tcPr>
            <w:tcW w:w="939" w:type="pct"/>
            <w:vMerge w:val="restar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沙漠公园</w:t>
            </w: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1034.31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noWrap/>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1047.01</w:t>
            </w:r>
          </w:p>
        </w:tc>
        <w:tc>
          <w:tcPr>
            <w:tcW w:w="939" w:type="pct"/>
            <w:vMerge w:val="continue"/>
            <w:shd w:val="clear" w:color="auto" w:fill="auto"/>
            <w:noWrap/>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国家级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w:t>
            </w: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r>
              <w:rPr>
                <w:rFonts w:ascii="Times New Roman" w:hAnsi="Times New Roman" w:cs="Times New Roman"/>
                <w:sz w:val="21"/>
                <w:szCs w:val="21"/>
              </w:rPr>
              <w:t>1034.31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vMerge w:val="continue"/>
            <w:shd w:val="clear" w:color="auto" w:fill="auto"/>
            <w:noWrap/>
          </w:tcPr>
          <w:p>
            <w:pPr>
              <w:jc w:val="center"/>
              <w:rPr>
                <w:rFonts w:ascii="Times New Roman" w:hAnsi="Times New Roman" w:cs="Times New Roman"/>
                <w:color w:val="000000"/>
                <w:sz w:val="21"/>
                <w:szCs w:val="21"/>
              </w:rPr>
            </w:pPr>
          </w:p>
        </w:tc>
        <w:tc>
          <w:tcPr>
            <w:tcW w:w="518" w:type="pct"/>
            <w:shd w:val="clear" w:color="auto" w:fill="auto"/>
            <w:noWrap/>
            <w:vAlign w:val="center"/>
          </w:tcPr>
          <w:p>
            <w:pPr>
              <w:jc w:val="center"/>
              <w:rPr>
                <w:rFonts w:ascii="Times New Roman" w:hAnsi="Times New Roman" w:cs="Times New Roman"/>
                <w:color w:val="000000"/>
                <w:sz w:val="21"/>
                <w:szCs w:val="21"/>
              </w:rPr>
            </w:pPr>
          </w:p>
        </w:tc>
        <w:tc>
          <w:tcPr>
            <w:tcW w:w="379"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939" w:type="pct"/>
            <w:vMerge w:val="continue"/>
            <w:shd w:val="clear" w:color="auto" w:fill="auto"/>
            <w:noWrap/>
            <w:vAlign w:val="center"/>
          </w:tcPr>
          <w:p>
            <w:pPr>
              <w:jc w:val="center"/>
              <w:rPr>
                <w:rFonts w:ascii="Times New Roman" w:hAnsi="Times New Roman" w:cs="Times New Roman"/>
                <w:color w:val="000000"/>
                <w:sz w:val="21"/>
                <w:szCs w:val="21"/>
              </w:rPr>
            </w:pPr>
          </w:p>
        </w:tc>
        <w:tc>
          <w:tcPr>
            <w:tcW w:w="505" w:type="pct"/>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地方级</w:t>
            </w:r>
          </w:p>
        </w:tc>
        <w:tc>
          <w:tcPr>
            <w:tcW w:w="355"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c>
          <w:tcPr>
            <w:tcW w:w="620" w:type="pct"/>
            <w:shd w:val="clear" w:color="auto" w:fill="auto"/>
            <w:noWrap/>
            <w:vAlign w:val="center"/>
          </w:tcPr>
          <w:p>
            <w:pPr>
              <w:adjustRightInd w:val="0"/>
              <w:snapToGrid w:val="0"/>
              <w:spacing w:line="300" w:lineRule="atLeast"/>
              <w:jc w:val="right"/>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060" w:type="pct"/>
            <w:tcBorders>
              <w:bottom w:val="single" w:color="auto" w:sz="12" w:space="0"/>
            </w:tcBorders>
            <w:shd w:val="clear" w:color="auto" w:fill="auto"/>
            <w:noWrap/>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合计</w:t>
            </w:r>
          </w:p>
        </w:tc>
        <w:tc>
          <w:tcPr>
            <w:tcW w:w="518" w:type="pct"/>
            <w:tcBorders>
              <w:bottom w:val="single" w:color="auto" w:sz="12" w:space="0"/>
            </w:tcBorders>
            <w:shd w:val="clear" w:color="auto" w:fill="auto"/>
            <w:noWrap/>
            <w:vAlign w:val="center"/>
          </w:tcPr>
          <w:p>
            <w:pPr>
              <w:jc w:val="center"/>
              <w:rPr>
                <w:rFonts w:ascii="Times New Roman" w:hAnsi="Times New Roman" w:cs="Times New Roman"/>
                <w:color w:val="000000"/>
                <w:sz w:val="21"/>
                <w:szCs w:val="21"/>
              </w:rPr>
            </w:pPr>
          </w:p>
        </w:tc>
        <w:tc>
          <w:tcPr>
            <w:tcW w:w="379" w:type="pct"/>
            <w:tcBorders>
              <w:bottom w:val="single" w:color="auto" w:sz="12" w:space="0"/>
            </w:tcBorders>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6</w:t>
            </w:r>
          </w:p>
        </w:tc>
        <w:tc>
          <w:tcPr>
            <w:tcW w:w="620" w:type="pct"/>
            <w:tcBorders>
              <w:bottom w:val="single" w:color="auto" w:sz="12" w:space="0"/>
            </w:tcBorders>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223589.31</w:t>
            </w:r>
          </w:p>
        </w:tc>
        <w:tc>
          <w:tcPr>
            <w:tcW w:w="939" w:type="pct"/>
            <w:tcBorders>
              <w:bottom w:val="single" w:color="auto" w:sz="12" w:space="0"/>
            </w:tcBorders>
            <w:shd w:val="clear" w:color="auto" w:fill="auto"/>
            <w:noWrap/>
            <w:vAlign w:val="center"/>
          </w:tcPr>
          <w:p>
            <w:pPr>
              <w:jc w:val="center"/>
              <w:rPr>
                <w:rFonts w:ascii="Times New Roman" w:hAnsi="Times New Roman" w:cs="Times New Roman"/>
                <w:color w:val="000000"/>
                <w:sz w:val="21"/>
                <w:szCs w:val="21"/>
              </w:rPr>
            </w:pPr>
          </w:p>
        </w:tc>
        <w:tc>
          <w:tcPr>
            <w:tcW w:w="505" w:type="pct"/>
            <w:tcBorders>
              <w:bottom w:val="single" w:color="auto" w:sz="12" w:space="0"/>
            </w:tcBorders>
            <w:shd w:val="clear" w:color="auto" w:fill="auto"/>
            <w:noWrap/>
            <w:vAlign w:val="center"/>
          </w:tcPr>
          <w:p>
            <w:pPr>
              <w:jc w:val="center"/>
              <w:rPr>
                <w:rFonts w:ascii="Times New Roman" w:hAnsi="Times New Roman" w:cs="Times New Roman"/>
                <w:color w:val="000000"/>
                <w:sz w:val="21"/>
                <w:szCs w:val="21"/>
              </w:rPr>
            </w:pPr>
          </w:p>
        </w:tc>
        <w:tc>
          <w:tcPr>
            <w:tcW w:w="355" w:type="pct"/>
            <w:tcBorders>
              <w:bottom w:val="single" w:color="auto" w:sz="12" w:space="0"/>
            </w:tcBorders>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6</w:t>
            </w:r>
          </w:p>
        </w:tc>
        <w:tc>
          <w:tcPr>
            <w:tcW w:w="620" w:type="pct"/>
            <w:tcBorders>
              <w:bottom w:val="single" w:color="auto" w:sz="12" w:space="0"/>
            </w:tcBorders>
            <w:shd w:val="clear" w:color="auto" w:fill="auto"/>
            <w:noWrap/>
            <w:vAlign w:val="center"/>
          </w:tcPr>
          <w:p>
            <w:pPr>
              <w:adjustRightInd w:val="0"/>
              <w:snapToGrid w:val="0"/>
              <w:spacing w:line="300" w:lineRule="atLeast"/>
              <w:jc w:val="right"/>
              <w:rPr>
                <w:rFonts w:ascii="Times New Roman" w:hAnsi="Times New Roman" w:cs="Times New Roman"/>
                <w:b/>
                <w:bCs/>
                <w:sz w:val="21"/>
                <w:szCs w:val="21"/>
              </w:rPr>
            </w:pPr>
            <w:r>
              <w:rPr>
                <w:rFonts w:ascii="Times New Roman" w:hAnsi="Times New Roman" w:cs="Times New Roman"/>
                <w:b/>
                <w:bCs/>
                <w:sz w:val="21"/>
                <w:szCs w:val="21"/>
              </w:rPr>
              <w:t>353758.04</w:t>
            </w:r>
          </w:p>
        </w:tc>
      </w:tr>
    </w:tbl>
    <w:p>
      <w:pPr>
        <w:spacing w:line="500" w:lineRule="atLeast"/>
        <w:rPr>
          <w:rFonts w:ascii="Times New Roman" w:hAnsi="Times New Roman" w:cs="Times New Roman"/>
          <w:b/>
          <w:bCs/>
        </w:rPr>
      </w:pPr>
    </w:p>
    <w:p>
      <w:pPr>
        <w:spacing w:line="500" w:lineRule="atLeast"/>
        <w:rPr>
          <w:b/>
          <w:bCs/>
        </w:rPr>
      </w:pPr>
    </w:p>
    <w:p>
      <w:pPr>
        <w:widowControl w:val="0"/>
        <w:adjustRightInd w:val="0"/>
        <w:snapToGrid w:val="0"/>
        <w:spacing w:line="600" w:lineRule="atLeast"/>
        <w:ind w:firstLine="640" w:firstLineChars="200"/>
        <w:jc w:val="both"/>
        <w:rPr>
          <w:rFonts w:ascii="Times New Roman" w:hAnsi="Times New Roman" w:eastAsia="方正仿宋_GBK" w:cs="Times New Roman"/>
          <w:sz w:val="32"/>
          <w:szCs w:val="32"/>
        </w:rPr>
      </w:pPr>
    </w:p>
    <w:sectPr>
      <w:footerReference r:id="rId9" w:type="default"/>
      <w:pgSz w:w="11910" w:h="16840"/>
      <w:pgMar w:top="2098" w:right="1588" w:bottom="1985" w:left="1588" w:header="0" w:footer="998" w:gutter="0"/>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汉仪中圆B5"/>
    <w:panose1 w:val="02010600030101010101"/>
    <w:charset w:val="86"/>
    <w:family w:val="auto"/>
    <w:pitch w:val="default"/>
    <w:sig w:usb0="00000000" w:usb1="00000000" w:usb2="00000016" w:usb3="00000000" w:csb0="0004000F" w:csb1="00000000"/>
  </w:font>
  <w:font w:name="等线">
    <w:altName w:val="汉仪中圆B5"/>
    <w:panose1 w:val="02010600030101010101"/>
    <w:charset w:val="86"/>
    <w:family w:val="auto"/>
    <w:pitch w:val="default"/>
    <w:sig w:usb0="00000000" w:usb1="00000000" w:usb2="00000016" w:usb3="00000000" w:csb0="0004000F" w:csb1="00000000"/>
  </w:font>
  <w:font w:name="方正楷体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423287"/>
    </w:sdtPr>
    <w:sdtContent>
      <w:p>
        <w:pPr>
          <w:pStyle w:val="10"/>
          <w:jc w:val="center"/>
        </w:pPr>
        <w:r>
          <w:fldChar w:fldCharType="begin"/>
        </w:r>
        <w:r>
          <w:instrText xml:space="preserve">PAGE   \* MERGEFORMAT</w:instrText>
        </w:r>
        <w:r>
          <w:fldChar w:fldCharType="separate"/>
        </w:r>
        <w:r>
          <w:rPr>
            <w:lang w:val="zh-CN"/>
          </w:rPr>
          <w:t>ii</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3278048"/>
    </w:sdtPr>
    <w:sdtContent>
      <w:p>
        <w:pPr>
          <w:pStyle w:val="10"/>
          <w:jc w:val="center"/>
        </w:pPr>
        <w:r>
          <w:fldChar w:fldCharType="begin"/>
        </w:r>
        <w:r>
          <w:instrText xml:space="preserve">PAGE   \* MERGEFORMAT</w:instrText>
        </w:r>
        <w:r>
          <w:fldChar w:fldCharType="separate"/>
        </w:r>
        <w:r>
          <w:rPr>
            <w:lang w:val="zh-CN"/>
          </w:rPr>
          <w:t>17</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5414432"/>
    </w:sdtPr>
    <w:sdtContent>
      <w:p>
        <w:pPr>
          <w:pStyle w:val="10"/>
          <w:jc w:val="center"/>
        </w:pPr>
        <w:r>
          <w:fldChar w:fldCharType="begin"/>
        </w:r>
        <w:r>
          <w:instrText xml:space="preserve">PAGE   \* MERGEFORMAT</w:instrText>
        </w:r>
        <w:r>
          <w:fldChar w:fldCharType="separate"/>
        </w:r>
        <w:r>
          <w:rPr>
            <w:lang w:val="zh-CN"/>
          </w:rPr>
          <w:t>18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Yjc4ZmY0ZjUzMzViMWVmYWU2YjdlNWNlN2I2ODAifQ=="/>
    <w:docVar w:name="KSO_WPS_MARK_KEY" w:val="ede6e27f-036f-4c68-afa6-45d55eab27a7"/>
  </w:docVars>
  <w:rsids>
    <w:rsidRoot w:val="001A7598"/>
    <w:rsid w:val="00000188"/>
    <w:rsid w:val="00001F5E"/>
    <w:rsid w:val="000107E3"/>
    <w:rsid w:val="00020244"/>
    <w:rsid w:val="000213E2"/>
    <w:rsid w:val="0002187F"/>
    <w:rsid w:val="00022AC3"/>
    <w:rsid w:val="0002468E"/>
    <w:rsid w:val="00024C54"/>
    <w:rsid w:val="0002699C"/>
    <w:rsid w:val="00027C20"/>
    <w:rsid w:val="0003332E"/>
    <w:rsid w:val="00034170"/>
    <w:rsid w:val="00034AB7"/>
    <w:rsid w:val="00044276"/>
    <w:rsid w:val="00044647"/>
    <w:rsid w:val="00044B8A"/>
    <w:rsid w:val="00054ACC"/>
    <w:rsid w:val="00055AD4"/>
    <w:rsid w:val="00055B74"/>
    <w:rsid w:val="00055C65"/>
    <w:rsid w:val="00056D4D"/>
    <w:rsid w:val="00061DE0"/>
    <w:rsid w:val="00065AD1"/>
    <w:rsid w:val="00067B2B"/>
    <w:rsid w:val="00070648"/>
    <w:rsid w:val="00070ABC"/>
    <w:rsid w:val="00076246"/>
    <w:rsid w:val="00077562"/>
    <w:rsid w:val="0008154E"/>
    <w:rsid w:val="000819FF"/>
    <w:rsid w:val="00081DE4"/>
    <w:rsid w:val="000834CB"/>
    <w:rsid w:val="000852E6"/>
    <w:rsid w:val="00085B12"/>
    <w:rsid w:val="00085EC5"/>
    <w:rsid w:val="00090FBA"/>
    <w:rsid w:val="000934C9"/>
    <w:rsid w:val="00094E25"/>
    <w:rsid w:val="000A10C4"/>
    <w:rsid w:val="000A1E2D"/>
    <w:rsid w:val="000A27BF"/>
    <w:rsid w:val="000A34C3"/>
    <w:rsid w:val="000A4881"/>
    <w:rsid w:val="000A534C"/>
    <w:rsid w:val="000A73A4"/>
    <w:rsid w:val="000B0D97"/>
    <w:rsid w:val="000B2881"/>
    <w:rsid w:val="000B413E"/>
    <w:rsid w:val="000B46D9"/>
    <w:rsid w:val="000B672A"/>
    <w:rsid w:val="000C117F"/>
    <w:rsid w:val="000C1C12"/>
    <w:rsid w:val="000C371D"/>
    <w:rsid w:val="000C67AF"/>
    <w:rsid w:val="000D4230"/>
    <w:rsid w:val="000D603E"/>
    <w:rsid w:val="000E04D0"/>
    <w:rsid w:val="000E133D"/>
    <w:rsid w:val="000E4731"/>
    <w:rsid w:val="000E4CFC"/>
    <w:rsid w:val="000E5596"/>
    <w:rsid w:val="000E78ED"/>
    <w:rsid w:val="000F273E"/>
    <w:rsid w:val="000F35DE"/>
    <w:rsid w:val="000F3818"/>
    <w:rsid w:val="000F3DBB"/>
    <w:rsid w:val="000F4D0E"/>
    <w:rsid w:val="000F67C3"/>
    <w:rsid w:val="000F77B9"/>
    <w:rsid w:val="000F79A6"/>
    <w:rsid w:val="00103724"/>
    <w:rsid w:val="00103C1C"/>
    <w:rsid w:val="00103C28"/>
    <w:rsid w:val="00105AC4"/>
    <w:rsid w:val="00107028"/>
    <w:rsid w:val="00110748"/>
    <w:rsid w:val="00110F61"/>
    <w:rsid w:val="0011377A"/>
    <w:rsid w:val="00113AD7"/>
    <w:rsid w:val="00113E71"/>
    <w:rsid w:val="00116154"/>
    <w:rsid w:val="001169AE"/>
    <w:rsid w:val="00120C35"/>
    <w:rsid w:val="00122493"/>
    <w:rsid w:val="00123C40"/>
    <w:rsid w:val="00126BD2"/>
    <w:rsid w:val="001270D0"/>
    <w:rsid w:val="001350FA"/>
    <w:rsid w:val="0013676D"/>
    <w:rsid w:val="00136A77"/>
    <w:rsid w:val="00137C88"/>
    <w:rsid w:val="0014015E"/>
    <w:rsid w:val="00140B84"/>
    <w:rsid w:val="00140BAB"/>
    <w:rsid w:val="00141513"/>
    <w:rsid w:val="00142D3D"/>
    <w:rsid w:val="00144E61"/>
    <w:rsid w:val="001468F6"/>
    <w:rsid w:val="00147682"/>
    <w:rsid w:val="00150FEE"/>
    <w:rsid w:val="00153126"/>
    <w:rsid w:val="001555BD"/>
    <w:rsid w:val="001605DA"/>
    <w:rsid w:val="00162D71"/>
    <w:rsid w:val="00166EAD"/>
    <w:rsid w:val="0016757D"/>
    <w:rsid w:val="001728A0"/>
    <w:rsid w:val="00172989"/>
    <w:rsid w:val="001741FF"/>
    <w:rsid w:val="00175013"/>
    <w:rsid w:val="00176171"/>
    <w:rsid w:val="0018433D"/>
    <w:rsid w:val="00187112"/>
    <w:rsid w:val="0019037F"/>
    <w:rsid w:val="0019517A"/>
    <w:rsid w:val="00195B35"/>
    <w:rsid w:val="00196451"/>
    <w:rsid w:val="001A0FE2"/>
    <w:rsid w:val="001A1745"/>
    <w:rsid w:val="001A4004"/>
    <w:rsid w:val="001A513F"/>
    <w:rsid w:val="001A561F"/>
    <w:rsid w:val="001A6A22"/>
    <w:rsid w:val="001A7598"/>
    <w:rsid w:val="001B1D8D"/>
    <w:rsid w:val="001B1D9B"/>
    <w:rsid w:val="001B43A2"/>
    <w:rsid w:val="001C3FC3"/>
    <w:rsid w:val="001C5786"/>
    <w:rsid w:val="001C60AE"/>
    <w:rsid w:val="001D0597"/>
    <w:rsid w:val="001D0C70"/>
    <w:rsid w:val="001D156A"/>
    <w:rsid w:val="001D1737"/>
    <w:rsid w:val="001D27D1"/>
    <w:rsid w:val="001D333C"/>
    <w:rsid w:val="001D534D"/>
    <w:rsid w:val="001D627F"/>
    <w:rsid w:val="001E0224"/>
    <w:rsid w:val="001E0E9F"/>
    <w:rsid w:val="001E4F3C"/>
    <w:rsid w:val="001E56ED"/>
    <w:rsid w:val="001F1FC5"/>
    <w:rsid w:val="001F39A1"/>
    <w:rsid w:val="001F405D"/>
    <w:rsid w:val="001F57E8"/>
    <w:rsid w:val="001F65FE"/>
    <w:rsid w:val="001F6BC8"/>
    <w:rsid w:val="002008B7"/>
    <w:rsid w:val="002021AF"/>
    <w:rsid w:val="00205014"/>
    <w:rsid w:val="00205E3F"/>
    <w:rsid w:val="002078F0"/>
    <w:rsid w:val="00210D0A"/>
    <w:rsid w:val="0021296F"/>
    <w:rsid w:val="0021318F"/>
    <w:rsid w:val="0021427F"/>
    <w:rsid w:val="00214D5C"/>
    <w:rsid w:val="0021528A"/>
    <w:rsid w:val="00217D5A"/>
    <w:rsid w:val="00217F39"/>
    <w:rsid w:val="002218A0"/>
    <w:rsid w:val="002237FF"/>
    <w:rsid w:val="00226A6B"/>
    <w:rsid w:val="00226F92"/>
    <w:rsid w:val="0023182D"/>
    <w:rsid w:val="00231FD9"/>
    <w:rsid w:val="002332BC"/>
    <w:rsid w:val="002348D1"/>
    <w:rsid w:val="002351C0"/>
    <w:rsid w:val="002358A9"/>
    <w:rsid w:val="0023623E"/>
    <w:rsid w:val="002362B4"/>
    <w:rsid w:val="00241DAF"/>
    <w:rsid w:val="00246681"/>
    <w:rsid w:val="00251250"/>
    <w:rsid w:val="00252671"/>
    <w:rsid w:val="00252CE5"/>
    <w:rsid w:val="00254E60"/>
    <w:rsid w:val="00256252"/>
    <w:rsid w:val="00256B7E"/>
    <w:rsid w:val="00263E4A"/>
    <w:rsid w:val="0026403C"/>
    <w:rsid w:val="002644EA"/>
    <w:rsid w:val="002647B5"/>
    <w:rsid w:val="00265D1A"/>
    <w:rsid w:val="0026655F"/>
    <w:rsid w:val="0026728F"/>
    <w:rsid w:val="0027350E"/>
    <w:rsid w:val="00273EF8"/>
    <w:rsid w:val="0027418C"/>
    <w:rsid w:val="002752BC"/>
    <w:rsid w:val="002752CE"/>
    <w:rsid w:val="00280D38"/>
    <w:rsid w:val="0028231D"/>
    <w:rsid w:val="002838D3"/>
    <w:rsid w:val="0028430D"/>
    <w:rsid w:val="0028470B"/>
    <w:rsid w:val="0028664D"/>
    <w:rsid w:val="0028721B"/>
    <w:rsid w:val="00290199"/>
    <w:rsid w:val="002938EB"/>
    <w:rsid w:val="002A1455"/>
    <w:rsid w:val="002A187B"/>
    <w:rsid w:val="002A4B3A"/>
    <w:rsid w:val="002A63EF"/>
    <w:rsid w:val="002B0345"/>
    <w:rsid w:val="002B0FDE"/>
    <w:rsid w:val="002B2D21"/>
    <w:rsid w:val="002B49C8"/>
    <w:rsid w:val="002B56CA"/>
    <w:rsid w:val="002B5DAC"/>
    <w:rsid w:val="002B75CA"/>
    <w:rsid w:val="002B7FE3"/>
    <w:rsid w:val="002C0907"/>
    <w:rsid w:val="002C154E"/>
    <w:rsid w:val="002C1690"/>
    <w:rsid w:val="002C2243"/>
    <w:rsid w:val="002C2C66"/>
    <w:rsid w:val="002C3336"/>
    <w:rsid w:val="002C6F7C"/>
    <w:rsid w:val="002C7758"/>
    <w:rsid w:val="002D535D"/>
    <w:rsid w:val="002D5CE5"/>
    <w:rsid w:val="002E32CA"/>
    <w:rsid w:val="002E52F2"/>
    <w:rsid w:val="002F3EB6"/>
    <w:rsid w:val="002F3F6B"/>
    <w:rsid w:val="00300A36"/>
    <w:rsid w:val="00304575"/>
    <w:rsid w:val="00305870"/>
    <w:rsid w:val="00305CA0"/>
    <w:rsid w:val="00307C21"/>
    <w:rsid w:val="00307CE9"/>
    <w:rsid w:val="003111B1"/>
    <w:rsid w:val="00312FDC"/>
    <w:rsid w:val="003156CE"/>
    <w:rsid w:val="0032259C"/>
    <w:rsid w:val="00323DCB"/>
    <w:rsid w:val="003256F5"/>
    <w:rsid w:val="00325B06"/>
    <w:rsid w:val="00327655"/>
    <w:rsid w:val="00327A84"/>
    <w:rsid w:val="00330279"/>
    <w:rsid w:val="0033287D"/>
    <w:rsid w:val="003372AC"/>
    <w:rsid w:val="0034014D"/>
    <w:rsid w:val="00343BF8"/>
    <w:rsid w:val="003452F0"/>
    <w:rsid w:val="003453FA"/>
    <w:rsid w:val="003479BD"/>
    <w:rsid w:val="00347EAD"/>
    <w:rsid w:val="0035376F"/>
    <w:rsid w:val="0035396D"/>
    <w:rsid w:val="0035717E"/>
    <w:rsid w:val="00362676"/>
    <w:rsid w:val="00374ADA"/>
    <w:rsid w:val="00374C24"/>
    <w:rsid w:val="00374E0F"/>
    <w:rsid w:val="003767DD"/>
    <w:rsid w:val="003776F5"/>
    <w:rsid w:val="00377786"/>
    <w:rsid w:val="003802CA"/>
    <w:rsid w:val="00382FF7"/>
    <w:rsid w:val="0039141B"/>
    <w:rsid w:val="00391C84"/>
    <w:rsid w:val="00394A48"/>
    <w:rsid w:val="00395908"/>
    <w:rsid w:val="00396C7C"/>
    <w:rsid w:val="003A246A"/>
    <w:rsid w:val="003A2DED"/>
    <w:rsid w:val="003A498C"/>
    <w:rsid w:val="003A4E03"/>
    <w:rsid w:val="003A7943"/>
    <w:rsid w:val="003B144D"/>
    <w:rsid w:val="003B14A6"/>
    <w:rsid w:val="003B1C45"/>
    <w:rsid w:val="003B220F"/>
    <w:rsid w:val="003B2EC2"/>
    <w:rsid w:val="003B454B"/>
    <w:rsid w:val="003B47EB"/>
    <w:rsid w:val="003B6C7B"/>
    <w:rsid w:val="003B7521"/>
    <w:rsid w:val="003C0950"/>
    <w:rsid w:val="003C145A"/>
    <w:rsid w:val="003C2C8E"/>
    <w:rsid w:val="003D4D42"/>
    <w:rsid w:val="003D597F"/>
    <w:rsid w:val="003D59D5"/>
    <w:rsid w:val="003D5D4C"/>
    <w:rsid w:val="003D5D6E"/>
    <w:rsid w:val="003D6072"/>
    <w:rsid w:val="003D61B6"/>
    <w:rsid w:val="003D658C"/>
    <w:rsid w:val="003D67B2"/>
    <w:rsid w:val="003E4967"/>
    <w:rsid w:val="003E5676"/>
    <w:rsid w:val="003E6CCA"/>
    <w:rsid w:val="003E743D"/>
    <w:rsid w:val="003E77E8"/>
    <w:rsid w:val="003F05FC"/>
    <w:rsid w:val="003F0BF4"/>
    <w:rsid w:val="003F14A6"/>
    <w:rsid w:val="003F2FD8"/>
    <w:rsid w:val="003F38FB"/>
    <w:rsid w:val="003F4A92"/>
    <w:rsid w:val="003F50C1"/>
    <w:rsid w:val="0040063E"/>
    <w:rsid w:val="004014EC"/>
    <w:rsid w:val="004032DB"/>
    <w:rsid w:val="00405173"/>
    <w:rsid w:val="00407E49"/>
    <w:rsid w:val="00413109"/>
    <w:rsid w:val="0041413A"/>
    <w:rsid w:val="00414303"/>
    <w:rsid w:val="004201BA"/>
    <w:rsid w:val="004221F3"/>
    <w:rsid w:val="004229CF"/>
    <w:rsid w:val="00422A2D"/>
    <w:rsid w:val="004257C6"/>
    <w:rsid w:val="004300ED"/>
    <w:rsid w:val="00430461"/>
    <w:rsid w:val="004333C3"/>
    <w:rsid w:val="00434B4D"/>
    <w:rsid w:val="004362C5"/>
    <w:rsid w:val="0043664F"/>
    <w:rsid w:val="004367E3"/>
    <w:rsid w:val="004376A2"/>
    <w:rsid w:val="00440AC1"/>
    <w:rsid w:val="004435D6"/>
    <w:rsid w:val="0044401A"/>
    <w:rsid w:val="00451C57"/>
    <w:rsid w:val="00455279"/>
    <w:rsid w:val="0046038F"/>
    <w:rsid w:val="00461285"/>
    <w:rsid w:val="00461552"/>
    <w:rsid w:val="004642DC"/>
    <w:rsid w:val="00466207"/>
    <w:rsid w:val="004678AA"/>
    <w:rsid w:val="00471DC4"/>
    <w:rsid w:val="00472113"/>
    <w:rsid w:val="0047242C"/>
    <w:rsid w:val="004727FA"/>
    <w:rsid w:val="00472F97"/>
    <w:rsid w:val="004733C2"/>
    <w:rsid w:val="00473A47"/>
    <w:rsid w:val="00475C8C"/>
    <w:rsid w:val="0047623C"/>
    <w:rsid w:val="004768DD"/>
    <w:rsid w:val="00481A09"/>
    <w:rsid w:val="00484B4B"/>
    <w:rsid w:val="00485758"/>
    <w:rsid w:val="004864D1"/>
    <w:rsid w:val="004920DF"/>
    <w:rsid w:val="00493306"/>
    <w:rsid w:val="004A0BCA"/>
    <w:rsid w:val="004A3221"/>
    <w:rsid w:val="004A5C5F"/>
    <w:rsid w:val="004B5949"/>
    <w:rsid w:val="004B5AA5"/>
    <w:rsid w:val="004B725C"/>
    <w:rsid w:val="004C2A85"/>
    <w:rsid w:val="004C2FE1"/>
    <w:rsid w:val="004C3570"/>
    <w:rsid w:val="004C4F67"/>
    <w:rsid w:val="004C6A92"/>
    <w:rsid w:val="004C7FA0"/>
    <w:rsid w:val="004C7FDF"/>
    <w:rsid w:val="004D65C5"/>
    <w:rsid w:val="004D6ABF"/>
    <w:rsid w:val="004D6B96"/>
    <w:rsid w:val="004D6D5E"/>
    <w:rsid w:val="004D75E0"/>
    <w:rsid w:val="004D792C"/>
    <w:rsid w:val="004E011B"/>
    <w:rsid w:val="004E020D"/>
    <w:rsid w:val="004E19AB"/>
    <w:rsid w:val="004E424A"/>
    <w:rsid w:val="004E7026"/>
    <w:rsid w:val="004E7384"/>
    <w:rsid w:val="004E7487"/>
    <w:rsid w:val="004F169B"/>
    <w:rsid w:val="004F16F4"/>
    <w:rsid w:val="004F3EBC"/>
    <w:rsid w:val="004F411C"/>
    <w:rsid w:val="004F4D04"/>
    <w:rsid w:val="004F504D"/>
    <w:rsid w:val="004F568F"/>
    <w:rsid w:val="004F7905"/>
    <w:rsid w:val="00500C1B"/>
    <w:rsid w:val="00501515"/>
    <w:rsid w:val="0050203C"/>
    <w:rsid w:val="00504104"/>
    <w:rsid w:val="005042D2"/>
    <w:rsid w:val="005048F2"/>
    <w:rsid w:val="00504924"/>
    <w:rsid w:val="00504B61"/>
    <w:rsid w:val="00506A76"/>
    <w:rsid w:val="00506CF1"/>
    <w:rsid w:val="0050716A"/>
    <w:rsid w:val="00511137"/>
    <w:rsid w:val="005126E7"/>
    <w:rsid w:val="00521663"/>
    <w:rsid w:val="005217F0"/>
    <w:rsid w:val="00522A37"/>
    <w:rsid w:val="005236FD"/>
    <w:rsid w:val="00535DAE"/>
    <w:rsid w:val="005419EB"/>
    <w:rsid w:val="0055089E"/>
    <w:rsid w:val="00554546"/>
    <w:rsid w:val="00556837"/>
    <w:rsid w:val="005606F9"/>
    <w:rsid w:val="00561146"/>
    <w:rsid w:val="00563D2D"/>
    <w:rsid w:val="005648CF"/>
    <w:rsid w:val="00567E99"/>
    <w:rsid w:val="00572769"/>
    <w:rsid w:val="00572F15"/>
    <w:rsid w:val="00573EFF"/>
    <w:rsid w:val="005756A9"/>
    <w:rsid w:val="0057572B"/>
    <w:rsid w:val="00575918"/>
    <w:rsid w:val="0057706F"/>
    <w:rsid w:val="005801F2"/>
    <w:rsid w:val="00580A89"/>
    <w:rsid w:val="00583DBD"/>
    <w:rsid w:val="00585317"/>
    <w:rsid w:val="00586576"/>
    <w:rsid w:val="00590B29"/>
    <w:rsid w:val="005917D1"/>
    <w:rsid w:val="00594975"/>
    <w:rsid w:val="005973B4"/>
    <w:rsid w:val="00597B47"/>
    <w:rsid w:val="005A4CE3"/>
    <w:rsid w:val="005A6151"/>
    <w:rsid w:val="005A7C83"/>
    <w:rsid w:val="005B25B2"/>
    <w:rsid w:val="005B5ED3"/>
    <w:rsid w:val="005C04DF"/>
    <w:rsid w:val="005C14D4"/>
    <w:rsid w:val="005C2260"/>
    <w:rsid w:val="005C4053"/>
    <w:rsid w:val="005C4175"/>
    <w:rsid w:val="005C4E30"/>
    <w:rsid w:val="005D2F14"/>
    <w:rsid w:val="005D4065"/>
    <w:rsid w:val="005D49EE"/>
    <w:rsid w:val="005D4D1F"/>
    <w:rsid w:val="005E0961"/>
    <w:rsid w:val="005E3BBB"/>
    <w:rsid w:val="005E3CFC"/>
    <w:rsid w:val="005E4BAD"/>
    <w:rsid w:val="005E62F2"/>
    <w:rsid w:val="005E6ABD"/>
    <w:rsid w:val="005E7E30"/>
    <w:rsid w:val="005F005D"/>
    <w:rsid w:val="005F14A5"/>
    <w:rsid w:val="005F2B01"/>
    <w:rsid w:val="005F4CCC"/>
    <w:rsid w:val="006035D5"/>
    <w:rsid w:val="00603B69"/>
    <w:rsid w:val="00605028"/>
    <w:rsid w:val="006053ED"/>
    <w:rsid w:val="006063FF"/>
    <w:rsid w:val="00607757"/>
    <w:rsid w:val="00612631"/>
    <w:rsid w:val="00613D60"/>
    <w:rsid w:val="00621FB8"/>
    <w:rsid w:val="006220F0"/>
    <w:rsid w:val="006228BD"/>
    <w:rsid w:val="00627DB0"/>
    <w:rsid w:val="00632DDC"/>
    <w:rsid w:val="00633F89"/>
    <w:rsid w:val="00635A56"/>
    <w:rsid w:val="006364D4"/>
    <w:rsid w:val="00636B94"/>
    <w:rsid w:val="006371B6"/>
    <w:rsid w:val="00640844"/>
    <w:rsid w:val="00643B7C"/>
    <w:rsid w:val="00644E3F"/>
    <w:rsid w:val="00651307"/>
    <w:rsid w:val="00651C48"/>
    <w:rsid w:val="00652D22"/>
    <w:rsid w:val="00653091"/>
    <w:rsid w:val="00661F76"/>
    <w:rsid w:val="0066231F"/>
    <w:rsid w:val="006642F6"/>
    <w:rsid w:val="00664E08"/>
    <w:rsid w:val="006655B8"/>
    <w:rsid w:val="00666FB7"/>
    <w:rsid w:val="0066796C"/>
    <w:rsid w:val="00670731"/>
    <w:rsid w:val="006718E0"/>
    <w:rsid w:val="00672869"/>
    <w:rsid w:val="0068163E"/>
    <w:rsid w:val="00684BA6"/>
    <w:rsid w:val="0068742E"/>
    <w:rsid w:val="006879A1"/>
    <w:rsid w:val="00687F83"/>
    <w:rsid w:val="00692B2D"/>
    <w:rsid w:val="00695077"/>
    <w:rsid w:val="00696A01"/>
    <w:rsid w:val="00697025"/>
    <w:rsid w:val="006A0584"/>
    <w:rsid w:val="006A15A8"/>
    <w:rsid w:val="006A5BF7"/>
    <w:rsid w:val="006B0753"/>
    <w:rsid w:val="006B1584"/>
    <w:rsid w:val="006B31C3"/>
    <w:rsid w:val="006B3D2C"/>
    <w:rsid w:val="006B4DE0"/>
    <w:rsid w:val="006B7769"/>
    <w:rsid w:val="006C02DC"/>
    <w:rsid w:val="006C04E7"/>
    <w:rsid w:val="006C1266"/>
    <w:rsid w:val="006C201E"/>
    <w:rsid w:val="006C2ABA"/>
    <w:rsid w:val="006C3F49"/>
    <w:rsid w:val="006C601C"/>
    <w:rsid w:val="006C6C29"/>
    <w:rsid w:val="006C71D1"/>
    <w:rsid w:val="006C7740"/>
    <w:rsid w:val="006D0F47"/>
    <w:rsid w:val="006D2F39"/>
    <w:rsid w:val="006D3472"/>
    <w:rsid w:val="006D4F3D"/>
    <w:rsid w:val="006D6BE2"/>
    <w:rsid w:val="006D6E85"/>
    <w:rsid w:val="006E1DCB"/>
    <w:rsid w:val="006E3CDF"/>
    <w:rsid w:val="006E555A"/>
    <w:rsid w:val="006F24A6"/>
    <w:rsid w:val="006F638D"/>
    <w:rsid w:val="006F7CE8"/>
    <w:rsid w:val="0070138A"/>
    <w:rsid w:val="00701F80"/>
    <w:rsid w:val="00704486"/>
    <w:rsid w:val="0070634A"/>
    <w:rsid w:val="00712185"/>
    <w:rsid w:val="007148DB"/>
    <w:rsid w:val="007202BB"/>
    <w:rsid w:val="007205A3"/>
    <w:rsid w:val="00723B61"/>
    <w:rsid w:val="007241CC"/>
    <w:rsid w:val="00724FDB"/>
    <w:rsid w:val="00725679"/>
    <w:rsid w:val="007258F6"/>
    <w:rsid w:val="007260C2"/>
    <w:rsid w:val="00726731"/>
    <w:rsid w:val="00727163"/>
    <w:rsid w:val="00735593"/>
    <w:rsid w:val="00736EEC"/>
    <w:rsid w:val="0074140A"/>
    <w:rsid w:val="007433C2"/>
    <w:rsid w:val="0074496A"/>
    <w:rsid w:val="0074543D"/>
    <w:rsid w:val="0074636C"/>
    <w:rsid w:val="00747A12"/>
    <w:rsid w:val="007507F2"/>
    <w:rsid w:val="007509EA"/>
    <w:rsid w:val="007515EA"/>
    <w:rsid w:val="007524E5"/>
    <w:rsid w:val="00753109"/>
    <w:rsid w:val="00754D38"/>
    <w:rsid w:val="00754E7D"/>
    <w:rsid w:val="00755959"/>
    <w:rsid w:val="0076369D"/>
    <w:rsid w:val="007678C8"/>
    <w:rsid w:val="00770CB5"/>
    <w:rsid w:val="00776BE9"/>
    <w:rsid w:val="0078077E"/>
    <w:rsid w:val="00782D00"/>
    <w:rsid w:val="00783736"/>
    <w:rsid w:val="00784B62"/>
    <w:rsid w:val="0079011B"/>
    <w:rsid w:val="00790C8D"/>
    <w:rsid w:val="0079456B"/>
    <w:rsid w:val="00794BAB"/>
    <w:rsid w:val="00796505"/>
    <w:rsid w:val="007A001A"/>
    <w:rsid w:val="007A6A38"/>
    <w:rsid w:val="007B18A2"/>
    <w:rsid w:val="007B2B08"/>
    <w:rsid w:val="007B31A1"/>
    <w:rsid w:val="007B31AD"/>
    <w:rsid w:val="007B3AD3"/>
    <w:rsid w:val="007B6797"/>
    <w:rsid w:val="007C06C9"/>
    <w:rsid w:val="007C155F"/>
    <w:rsid w:val="007C2707"/>
    <w:rsid w:val="007C71CC"/>
    <w:rsid w:val="007C7E23"/>
    <w:rsid w:val="007D0B04"/>
    <w:rsid w:val="007D10EF"/>
    <w:rsid w:val="007D3A73"/>
    <w:rsid w:val="007D6D35"/>
    <w:rsid w:val="007D6D44"/>
    <w:rsid w:val="007E0300"/>
    <w:rsid w:val="007E4347"/>
    <w:rsid w:val="007F1426"/>
    <w:rsid w:val="007F1ADE"/>
    <w:rsid w:val="007F4327"/>
    <w:rsid w:val="007F4B12"/>
    <w:rsid w:val="007F5182"/>
    <w:rsid w:val="007F537A"/>
    <w:rsid w:val="007F66AD"/>
    <w:rsid w:val="0080465F"/>
    <w:rsid w:val="008107AB"/>
    <w:rsid w:val="00811D66"/>
    <w:rsid w:val="00812AE2"/>
    <w:rsid w:val="008131C3"/>
    <w:rsid w:val="00813B3B"/>
    <w:rsid w:val="00813ECF"/>
    <w:rsid w:val="00814C7E"/>
    <w:rsid w:val="00814DE5"/>
    <w:rsid w:val="00821E01"/>
    <w:rsid w:val="00826184"/>
    <w:rsid w:val="0082667C"/>
    <w:rsid w:val="00827932"/>
    <w:rsid w:val="00827E55"/>
    <w:rsid w:val="008307B9"/>
    <w:rsid w:val="0083275F"/>
    <w:rsid w:val="00832DFB"/>
    <w:rsid w:val="0083350D"/>
    <w:rsid w:val="00836BCB"/>
    <w:rsid w:val="0084018C"/>
    <w:rsid w:val="00841CBC"/>
    <w:rsid w:val="00845772"/>
    <w:rsid w:val="00850689"/>
    <w:rsid w:val="00851859"/>
    <w:rsid w:val="0085200D"/>
    <w:rsid w:val="00853A60"/>
    <w:rsid w:val="00855C42"/>
    <w:rsid w:val="00855E51"/>
    <w:rsid w:val="00857781"/>
    <w:rsid w:val="008607D1"/>
    <w:rsid w:val="00863299"/>
    <w:rsid w:val="008677D2"/>
    <w:rsid w:val="008704F9"/>
    <w:rsid w:val="00872590"/>
    <w:rsid w:val="00873DA3"/>
    <w:rsid w:val="00881FD8"/>
    <w:rsid w:val="0088683F"/>
    <w:rsid w:val="00887448"/>
    <w:rsid w:val="00887D6B"/>
    <w:rsid w:val="00887DFF"/>
    <w:rsid w:val="0089311B"/>
    <w:rsid w:val="008A0133"/>
    <w:rsid w:val="008A296A"/>
    <w:rsid w:val="008A63B1"/>
    <w:rsid w:val="008B6A39"/>
    <w:rsid w:val="008C1EAB"/>
    <w:rsid w:val="008C2D79"/>
    <w:rsid w:val="008C4222"/>
    <w:rsid w:val="008C50FB"/>
    <w:rsid w:val="008C5D3B"/>
    <w:rsid w:val="008C606B"/>
    <w:rsid w:val="008C642C"/>
    <w:rsid w:val="008D297D"/>
    <w:rsid w:val="008D384B"/>
    <w:rsid w:val="008D3894"/>
    <w:rsid w:val="008D4FF3"/>
    <w:rsid w:val="008D54A1"/>
    <w:rsid w:val="008D5CEF"/>
    <w:rsid w:val="008D6FAA"/>
    <w:rsid w:val="008D7100"/>
    <w:rsid w:val="008E5987"/>
    <w:rsid w:val="008E6511"/>
    <w:rsid w:val="008F1202"/>
    <w:rsid w:val="008F3095"/>
    <w:rsid w:val="008F36A1"/>
    <w:rsid w:val="008F4A03"/>
    <w:rsid w:val="008F5FF8"/>
    <w:rsid w:val="008F6816"/>
    <w:rsid w:val="00901811"/>
    <w:rsid w:val="009034CB"/>
    <w:rsid w:val="00910B49"/>
    <w:rsid w:val="00913B5D"/>
    <w:rsid w:val="0091453F"/>
    <w:rsid w:val="00916133"/>
    <w:rsid w:val="009205A0"/>
    <w:rsid w:val="00923A06"/>
    <w:rsid w:val="00923DE9"/>
    <w:rsid w:val="00924D08"/>
    <w:rsid w:val="00925E58"/>
    <w:rsid w:val="00926DEE"/>
    <w:rsid w:val="0092717A"/>
    <w:rsid w:val="0092745E"/>
    <w:rsid w:val="009274AF"/>
    <w:rsid w:val="0093046E"/>
    <w:rsid w:val="009305B6"/>
    <w:rsid w:val="0093371F"/>
    <w:rsid w:val="00933F17"/>
    <w:rsid w:val="009345A9"/>
    <w:rsid w:val="00935897"/>
    <w:rsid w:val="00935FC5"/>
    <w:rsid w:val="009409D5"/>
    <w:rsid w:val="0094269B"/>
    <w:rsid w:val="00944C34"/>
    <w:rsid w:val="00946343"/>
    <w:rsid w:val="00947E0F"/>
    <w:rsid w:val="00953279"/>
    <w:rsid w:val="009571F3"/>
    <w:rsid w:val="009601A1"/>
    <w:rsid w:val="009619E5"/>
    <w:rsid w:val="00962975"/>
    <w:rsid w:val="009629A2"/>
    <w:rsid w:val="00962F96"/>
    <w:rsid w:val="00964AE4"/>
    <w:rsid w:val="009668FC"/>
    <w:rsid w:val="009679AE"/>
    <w:rsid w:val="00970416"/>
    <w:rsid w:val="00970725"/>
    <w:rsid w:val="00976EF7"/>
    <w:rsid w:val="00977B37"/>
    <w:rsid w:val="00977D4A"/>
    <w:rsid w:val="009839BA"/>
    <w:rsid w:val="00983FFA"/>
    <w:rsid w:val="0098430D"/>
    <w:rsid w:val="009857C8"/>
    <w:rsid w:val="0099003A"/>
    <w:rsid w:val="00990BEA"/>
    <w:rsid w:val="00991A80"/>
    <w:rsid w:val="009934CE"/>
    <w:rsid w:val="00995677"/>
    <w:rsid w:val="0099704E"/>
    <w:rsid w:val="009A19EC"/>
    <w:rsid w:val="009A1F55"/>
    <w:rsid w:val="009A448F"/>
    <w:rsid w:val="009A466B"/>
    <w:rsid w:val="009B0B25"/>
    <w:rsid w:val="009B393F"/>
    <w:rsid w:val="009B3B6E"/>
    <w:rsid w:val="009B4FDC"/>
    <w:rsid w:val="009B75B7"/>
    <w:rsid w:val="009B7A2E"/>
    <w:rsid w:val="009C0BE6"/>
    <w:rsid w:val="009C0E29"/>
    <w:rsid w:val="009C3265"/>
    <w:rsid w:val="009C3CCD"/>
    <w:rsid w:val="009C5899"/>
    <w:rsid w:val="009C671D"/>
    <w:rsid w:val="009D201E"/>
    <w:rsid w:val="009D2F55"/>
    <w:rsid w:val="009D3E95"/>
    <w:rsid w:val="009D47E0"/>
    <w:rsid w:val="009D60C7"/>
    <w:rsid w:val="009D64A7"/>
    <w:rsid w:val="009E1EC9"/>
    <w:rsid w:val="009E6FC3"/>
    <w:rsid w:val="009F49FD"/>
    <w:rsid w:val="009F4A78"/>
    <w:rsid w:val="009F5261"/>
    <w:rsid w:val="009F5F16"/>
    <w:rsid w:val="00A01060"/>
    <w:rsid w:val="00A013A2"/>
    <w:rsid w:val="00A01A77"/>
    <w:rsid w:val="00A02A86"/>
    <w:rsid w:val="00A05B14"/>
    <w:rsid w:val="00A12A79"/>
    <w:rsid w:val="00A154AE"/>
    <w:rsid w:val="00A15B4A"/>
    <w:rsid w:val="00A24A6C"/>
    <w:rsid w:val="00A26CBD"/>
    <w:rsid w:val="00A31124"/>
    <w:rsid w:val="00A320D6"/>
    <w:rsid w:val="00A32A10"/>
    <w:rsid w:val="00A32BB8"/>
    <w:rsid w:val="00A34BBA"/>
    <w:rsid w:val="00A36956"/>
    <w:rsid w:val="00A41B6C"/>
    <w:rsid w:val="00A42E19"/>
    <w:rsid w:val="00A4371C"/>
    <w:rsid w:val="00A4493C"/>
    <w:rsid w:val="00A50CDA"/>
    <w:rsid w:val="00A5112D"/>
    <w:rsid w:val="00A51217"/>
    <w:rsid w:val="00A546C8"/>
    <w:rsid w:val="00A559FE"/>
    <w:rsid w:val="00A63525"/>
    <w:rsid w:val="00A639A8"/>
    <w:rsid w:val="00A65E10"/>
    <w:rsid w:val="00A6763C"/>
    <w:rsid w:val="00A701DA"/>
    <w:rsid w:val="00A70D9E"/>
    <w:rsid w:val="00A72165"/>
    <w:rsid w:val="00A74DD0"/>
    <w:rsid w:val="00A80BDB"/>
    <w:rsid w:val="00A82254"/>
    <w:rsid w:val="00A8400F"/>
    <w:rsid w:val="00A848C8"/>
    <w:rsid w:val="00A853E8"/>
    <w:rsid w:val="00A85AAF"/>
    <w:rsid w:val="00A86343"/>
    <w:rsid w:val="00A92EE4"/>
    <w:rsid w:val="00A93E45"/>
    <w:rsid w:val="00A95EB3"/>
    <w:rsid w:val="00AA00B1"/>
    <w:rsid w:val="00AA0BBA"/>
    <w:rsid w:val="00AA3F9F"/>
    <w:rsid w:val="00AA52CE"/>
    <w:rsid w:val="00AA5E62"/>
    <w:rsid w:val="00AA6BC3"/>
    <w:rsid w:val="00AB0211"/>
    <w:rsid w:val="00AB072E"/>
    <w:rsid w:val="00AB1918"/>
    <w:rsid w:val="00AB1B9C"/>
    <w:rsid w:val="00AB22B0"/>
    <w:rsid w:val="00AB2E4B"/>
    <w:rsid w:val="00AB4C83"/>
    <w:rsid w:val="00AB5134"/>
    <w:rsid w:val="00AB5A6E"/>
    <w:rsid w:val="00AB6AFD"/>
    <w:rsid w:val="00AB6C44"/>
    <w:rsid w:val="00AC165C"/>
    <w:rsid w:val="00AC1A38"/>
    <w:rsid w:val="00AC7DD8"/>
    <w:rsid w:val="00AD1175"/>
    <w:rsid w:val="00AD13B0"/>
    <w:rsid w:val="00AD1F8C"/>
    <w:rsid w:val="00AD2638"/>
    <w:rsid w:val="00AD3BB6"/>
    <w:rsid w:val="00AD552A"/>
    <w:rsid w:val="00AD5642"/>
    <w:rsid w:val="00AD7E0F"/>
    <w:rsid w:val="00AD7FC8"/>
    <w:rsid w:val="00AE0748"/>
    <w:rsid w:val="00AE138F"/>
    <w:rsid w:val="00AE13C6"/>
    <w:rsid w:val="00AE13DB"/>
    <w:rsid w:val="00AE1E23"/>
    <w:rsid w:val="00AE424F"/>
    <w:rsid w:val="00AE4CD6"/>
    <w:rsid w:val="00AE57D9"/>
    <w:rsid w:val="00AE59E0"/>
    <w:rsid w:val="00AE6DC9"/>
    <w:rsid w:val="00AE70FC"/>
    <w:rsid w:val="00AE7490"/>
    <w:rsid w:val="00AE763B"/>
    <w:rsid w:val="00AF0837"/>
    <w:rsid w:val="00AF098C"/>
    <w:rsid w:val="00AF26D4"/>
    <w:rsid w:val="00AF46EE"/>
    <w:rsid w:val="00AF6C64"/>
    <w:rsid w:val="00AF78C2"/>
    <w:rsid w:val="00AF7E0E"/>
    <w:rsid w:val="00B001BA"/>
    <w:rsid w:val="00B008D9"/>
    <w:rsid w:val="00B02B9F"/>
    <w:rsid w:val="00B049E7"/>
    <w:rsid w:val="00B04B45"/>
    <w:rsid w:val="00B0670B"/>
    <w:rsid w:val="00B07310"/>
    <w:rsid w:val="00B07537"/>
    <w:rsid w:val="00B07630"/>
    <w:rsid w:val="00B125FB"/>
    <w:rsid w:val="00B14023"/>
    <w:rsid w:val="00B146E4"/>
    <w:rsid w:val="00B14726"/>
    <w:rsid w:val="00B15C26"/>
    <w:rsid w:val="00B17093"/>
    <w:rsid w:val="00B177E4"/>
    <w:rsid w:val="00B212F3"/>
    <w:rsid w:val="00B24088"/>
    <w:rsid w:val="00B2415D"/>
    <w:rsid w:val="00B24BDF"/>
    <w:rsid w:val="00B24F74"/>
    <w:rsid w:val="00B266B5"/>
    <w:rsid w:val="00B2771A"/>
    <w:rsid w:val="00B3015D"/>
    <w:rsid w:val="00B313A2"/>
    <w:rsid w:val="00B3570D"/>
    <w:rsid w:val="00B363EC"/>
    <w:rsid w:val="00B418B5"/>
    <w:rsid w:val="00B4259E"/>
    <w:rsid w:val="00B42EAF"/>
    <w:rsid w:val="00B434AB"/>
    <w:rsid w:val="00B4424A"/>
    <w:rsid w:val="00B46AC9"/>
    <w:rsid w:val="00B46B2C"/>
    <w:rsid w:val="00B47041"/>
    <w:rsid w:val="00B47FA4"/>
    <w:rsid w:val="00B50B45"/>
    <w:rsid w:val="00B5174F"/>
    <w:rsid w:val="00B521C8"/>
    <w:rsid w:val="00B53AB5"/>
    <w:rsid w:val="00B53BF5"/>
    <w:rsid w:val="00B56227"/>
    <w:rsid w:val="00B57B4A"/>
    <w:rsid w:val="00B65197"/>
    <w:rsid w:val="00B65827"/>
    <w:rsid w:val="00B7045D"/>
    <w:rsid w:val="00B718D4"/>
    <w:rsid w:val="00B71907"/>
    <w:rsid w:val="00B72138"/>
    <w:rsid w:val="00B72512"/>
    <w:rsid w:val="00B748C1"/>
    <w:rsid w:val="00B7626F"/>
    <w:rsid w:val="00B77172"/>
    <w:rsid w:val="00B80AB7"/>
    <w:rsid w:val="00B83CF5"/>
    <w:rsid w:val="00B84600"/>
    <w:rsid w:val="00B848B8"/>
    <w:rsid w:val="00B8518E"/>
    <w:rsid w:val="00B86B19"/>
    <w:rsid w:val="00B87849"/>
    <w:rsid w:val="00B907EE"/>
    <w:rsid w:val="00B9137A"/>
    <w:rsid w:val="00B92E40"/>
    <w:rsid w:val="00B9341D"/>
    <w:rsid w:val="00B94C29"/>
    <w:rsid w:val="00B96C7B"/>
    <w:rsid w:val="00B97316"/>
    <w:rsid w:val="00BA1832"/>
    <w:rsid w:val="00BA2382"/>
    <w:rsid w:val="00BA4627"/>
    <w:rsid w:val="00BA4B58"/>
    <w:rsid w:val="00BA5C9E"/>
    <w:rsid w:val="00BA6839"/>
    <w:rsid w:val="00BA6883"/>
    <w:rsid w:val="00BB052E"/>
    <w:rsid w:val="00BB0B20"/>
    <w:rsid w:val="00BB0FB0"/>
    <w:rsid w:val="00BB1D76"/>
    <w:rsid w:val="00BB40F9"/>
    <w:rsid w:val="00BB4574"/>
    <w:rsid w:val="00BB613D"/>
    <w:rsid w:val="00BB6502"/>
    <w:rsid w:val="00BB6ED3"/>
    <w:rsid w:val="00BB70CF"/>
    <w:rsid w:val="00BC29F2"/>
    <w:rsid w:val="00BC30D0"/>
    <w:rsid w:val="00BC3705"/>
    <w:rsid w:val="00BC3809"/>
    <w:rsid w:val="00BC45BA"/>
    <w:rsid w:val="00BC5FC1"/>
    <w:rsid w:val="00BC63AF"/>
    <w:rsid w:val="00BD2E3B"/>
    <w:rsid w:val="00BD35D4"/>
    <w:rsid w:val="00BD3886"/>
    <w:rsid w:val="00BD4BED"/>
    <w:rsid w:val="00BD5772"/>
    <w:rsid w:val="00BD6AB7"/>
    <w:rsid w:val="00BD731F"/>
    <w:rsid w:val="00BE4A20"/>
    <w:rsid w:val="00BE6546"/>
    <w:rsid w:val="00BF1E2C"/>
    <w:rsid w:val="00BF5E1D"/>
    <w:rsid w:val="00C04926"/>
    <w:rsid w:val="00C05545"/>
    <w:rsid w:val="00C05AC5"/>
    <w:rsid w:val="00C0627A"/>
    <w:rsid w:val="00C06490"/>
    <w:rsid w:val="00C074FA"/>
    <w:rsid w:val="00C119BA"/>
    <w:rsid w:val="00C13FB9"/>
    <w:rsid w:val="00C14A94"/>
    <w:rsid w:val="00C15520"/>
    <w:rsid w:val="00C159DE"/>
    <w:rsid w:val="00C1775E"/>
    <w:rsid w:val="00C218C7"/>
    <w:rsid w:val="00C22184"/>
    <w:rsid w:val="00C223EF"/>
    <w:rsid w:val="00C247A9"/>
    <w:rsid w:val="00C2549D"/>
    <w:rsid w:val="00C256CD"/>
    <w:rsid w:val="00C26B31"/>
    <w:rsid w:val="00C31CFF"/>
    <w:rsid w:val="00C32319"/>
    <w:rsid w:val="00C33C55"/>
    <w:rsid w:val="00C3473F"/>
    <w:rsid w:val="00C3519D"/>
    <w:rsid w:val="00C45B1C"/>
    <w:rsid w:val="00C46F4A"/>
    <w:rsid w:val="00C51594"/>
    <w:rsid w:val="00C52BD1"/>
    <w:rsid w:val="00C60B4D"/>
    <w:rsid w:val="00C60BBB"/>
    <w:rsid w:val="00C60DF1"/>
    <w:rsid w:val="00C62D50"/>
    <w:rsid w:val="00C639DB"/>
    <w:rsid w:val="00C63C3F"/>
    <w:rsid w:val="00C65715"/>
    <w:rsid w:val="00C66139"/>
    <w:rsid w:val="00C70807"/>
    <w:rsid w:val="00C710B2"/>
    <w:rsid w:val="00C71A0B"/>
    <w:rsid w:val="00C72866"/>
    <w:rsid w:val="00C75502"/>
    <w:rsid w:val="00C7789C"/>
    <w:rsid w:val="00C92298"/>
    <w:rsid w:val="00C9489B"/>
    <w:rsid w:val="00C9516A"/>
    <w:rsid w:val="00C9653B"/>
    <w:rsid w:val="00C97C3E"/>
    <w:rsid w:val="00CA114D"/>
    <w:rsid w:val="00CA5C14"/>
    <w:rsid w:val="00CB030E"/>
    <w:rsid w:val="00CB381B"/>
    <w:rsid w:val="00CB4F31"/>
    <w:rsid w:val="00CB5463"/>
    <w:rsid w:val="00CB54E2"/>
    <w:rsid w:val="00CB6361"/>
    <w:rsid w:val="00CB760F"/>
    <w:rsid w:val="00CC023B"/>
    <w:rsid w:val="00CC1593"/>
    <w:rsid w:val="00CC1E17"/>
    <w:rsid w:val="00CC2745"/>
    <w:rsid w:val="00CC5E99"/>
    <w:rsid w:val="00CC6072"/>
    <w:rsid w:val="00CD0603"/>
    <w:rsid w:val="00CD18EC"/>
    <w:rsid w:val="00CD1A0F"/>
    <w:rsid w:val="00CD3031"/>
    <w:rsid w:val="00CD4CEC"/>
    <w:rsid w:val="00CD5B8C"/>
    <w:rsid w:val="00CD6862"/>
    <w:rsid w:val="00CD6948"/>
    <w:rsid w:val="00CD6CD3"/>
    <w:rsid w:val="00CD7EB2"/>
    <w:rsid w:val="00CE142A"/>
    <w:rsid w:val="00CE2089"/>
    <w:rsid w:val="00CE4177"/>
    <w:rsid w:val="00CE501B"/>
    <w:rsid w:val="00CE59B7"/>
    <w:rsid w:val="00CE6E0B"/>
    <w:rsid w:val="00CE7E8F"/>
    <w:rsid w:val="00CF0C37"/>
    <w:rsid w:val="00CF21AC"/>
    <w:rsid w:val="00CF3193"/>
    <w:rsid w:val="00D0302B"/>
    <w:rsid w:val="00D03320"/>
    <w:rsid w:val="00D06407"/>
    <w:rsid w:val="00D06AEB"/>
    <w:rsid w:val="00D11FD9"/>
    <w:rsid w:val="00D12585"/>
    <w:rsid w:val="00D129D2"/>
    <w:rsid w:val="00D13F7E"/>
    <w:rsid w:val="00D21627"/>
    <w:rsid w:val="00D225DD"/>
    <w:rsid w:val="00D23549"/>
    <w:rsid w:val="00D25028"/>
    <w:rsid w:val="00D30300"/>
    <w:rsid w:val="00D30805"/>
    <w:rsid w:val="00D34785"/>
    <w:rsid w:val="00D42698"/>
    <w:rsid w:val="00D43B96"/>
    <w:rsid w:val="00D44C74"/>
    <w:rsid w:val="00D51480"/>
    <w:rsid w:val="00D518E5"/>
    <w:rsid w:val="00D535BA"/>
    <w:rsid w:val="00D538AC"/>
    <w:rsid w:val="00D638B1"/>
    <w:rsid w:val="00D64308"/>
    <w:rsid w:val="00D7075F"/>
    <w:rsid w:val="00D70A3E"/>
    <w:rsid w:val="00D72125"/>
    <w:rsid w:val="00D73350"/>
    <w:rsid w:val="00D740D7"/>
    <w:rsid w:val="00D74924"/>
    <w:rsid w:val="00D77A6F"/>
    <w:rsid w:val="00D8062C"/>
    <w:rsid w:val="00D865CF"/>
    <w:rsid w:val="00D87299"/>
    <w:rsid w:val="00D87EF4"/>
    <w:rsid w:val="00D900A2"/>
    <w:rsid w:val="00D90411"/>
    <w:rsid w:val="00D92897"/>
    <w:rsid w:val="00D9581C"/>
    <w:rsid w:val="00DA0F3C"/>
    <w:rsid w:val="00DA163A"/>
    <w:rsid w:val="00DA1F61"/>
    <w:rsid w:val="00DA613B"/>
    <w:rsid w:val="00DA736B"/>
    <w:rsid w:val="00DB171A"/>
    <w:rsid w:val="00DB1C23"/>
    <w:rsid w:val="00DC3F96"/>
    <w:rsid w:val="00DC6040"/>
    <w:rsid w:val="00DC787A"/>
    <w:rsid w:val="00DD0A73"/>
    <w:rsid w:val="00DD4484"/>
    <w:rsid w:val="00DD49CF"/>
    <w:rsid w:val="00DD6A6D"/>
    <w:rsid w:val="00DE0531"/>
    <w:rsid w:val="00DE0AB1"/>
    <w:rsid w:val="00DE2F44"/>
    <w:rsid w:val="00DE2FDF"/>
    <w:rsid w:val="00DE38CA"/>
    <w:rsid w:val="00DE60ED"/>
    <w:rsid w:val="00DE630B"/>
    <w:rsid w:val="00DE7689"/>
    <w:rsid w:val="00DE7E4F"/>
    <w:rsid w:val="00DF5FD2"/>
    <w:rsid w:val="00E0115E"/>
    <w:rsid w:val="00E03BCA"/>
    <w:rsid w:val="00E044F7"/>
    <w:rsid w:val="00E06259"/>
    <w:rsid w:val="00E076E0"/>
    <w:rsid w:val="00E11F66"/>
    <w:rsid w:val="00E1298C"/>
    <w:rsid w:val="00E16390"/>
    <w:rsid w:val="00E208E0"/>
    <w:rsid w:val="00E20A65"/>
    <w:rsid w:val="00E20B00"/>
    <w:rsid w:val="00E2251E"/>
    <w:rsid w:val="00E22948"/>
    <w:rsid w:val="00E23289"/>
    <w:rsid w:val="00E248FA"/>
    <w:rsid w:val="00E25022"/>
    <w:rsid w:val="00E2592F"/>
    <w:rsid w:val="00E27000"/>
    <w:rsid w:val="00E3033F"/>
    <w:rsid w:val="00E320FA"/>
    <w:rsid w:val="00E3660D"/>
    <w:rsid w:val="00E409EB"/>
    <w:rsid w:val="00E450BB"/>
    <w:rsid w:val="00E4617F"/>
    <w:rsid w:val="00E474E6"/>
    <w:rsid w:val="00E5210E"/>
    <w:rsid w:val="00E53537"/>
    <w:rsid w:val="00E53EA1"/>
    <w:rsid w:val="00E567B1"/>
    <w:rsid w:val="00E56D06"/>
    <w:rsid w:val="00E56FF4"/>
    <w:rsid w:val="00E62BCF"/>
    <w:rsid w:val="00E6319D"/>
    <w:rsid w:val="00E63E5A"/>
    <w:rsid w:val="00E65ACD"/>
    <w:rsid w:val="00E65D81"/>
    <w:rsid w:val="00E7172F"/>
    <w:rsid w:val="00E72473"/>
    <w:rsid w:val="00E72BBB"/>
    <w:rsid w:val="00E764D4"/>
    <w:rsid w:val="00E76D7F"/>
    <w:rsid w:val="00E816E2"/>
    <w:rsid w:val="00E82802"/>
    <w:rsid w:val="00E84FB7"/>
    <w:rsid w:val="00E861BA"/>
    <w:rsid w:val="00E92380"/>
    <w:rsid w:val="00E93E9F"/>
    <w:rsid w:val="00E96AF4"/>
    <w:rsid w:val="00E96B9D"/>
    <w:rsid w:val="00EA002C"/>
    <w:rsid w:val="00EA064F"/>
    <w:rsid w:val="00EA1268"/>
    <w:rsid w:val="00EA15C2"/>
    <w:rsid w:val="00EA2A65"/>
    <w:rsid w:val="00EA3172"/>
    <w:rsid w:val="00EA364F"/>
    <w:rsid w:val="00EA4902"/>
    <w:rsid w:val="00EB0B2A"/>
    <w:rsid w:val="00EB10F5"/>
    <w:rsid w:val="00EB2072"/>
    <w:rsid w:val="00EB522E"/>
    <w:rsid w:val="00EB75CF"/>
    <w:rsid w:val="00EC014C"/>
    <w:rsid w:val="00EC0C41"/>
    <w:rsid w:val="00EC27DE"/>
    <w:rsid w:val="00EC519E"/>
    <w:rsid w:val="00EC7A8B"/>
    <w:rsid w:val="00ED0BF5"/>
    <w:rsid w:val="00ED2577"/>
    <w:rsid w:val="00ED5AC0"/>
    <w:rsid w:val="00ED6D75"/>
    <w:rsid w:val="00EE15CE"/>
    <w:rsid w:val="00EE17DB"/>
    <w:rsid w:val="00EE66AE"/>
    <w:rsid w:val="00EE75C7"/>
    <w:rsid w:val="00EE7BC8"/>
    <w:rsid w:val="00EF2897"/>
    <w:rsid w:val="00EF6DB2"/>
    <w:rsid w:val="00EF6DB9"/>
    <w:rsid w:val="00F0225D"/>
    <w:rsid w:val="00F04B0C"/>
    <w:rsid w:val="00F05B21"/>
    <w:rsid w:val="00F066CE"/>
    <w:rsid w:val="00F07B59"/>
    <w:rsid w:val="00F109DD"/>
    <w:rsid w:val="00F154F1"/>
    <w:rsid w:val="00F15E0B"/>
    <w:rsid w:val="00F15FAC"/>
    <w:rsid w:val="00F16FCF"/>
    <w:rsid w:val="00F22A64"/>
    <w:rsid w:val="00F309C0"/>
    <w:rsid w:val="00F3292F"/>
    <w:rsid w:val="00F3428C"/>
    <w:rsid w:val="00F34D10"/>
    <w:rsid w:val="00F358E5"/>
    <w:rsid w:val="00F35AAB"/>
    <w:rsid w:val="00F3774F"/>
    <w:rsid w:val="00F40A5C"/>
    <w:rsid w:val="00F422EA"/>
    <w:rsid w:val="00F42903"/>
    <w:rsid w:val="00F42CDE"/>
    <w:rsid w:val="00F42E76"/>
    <w:rsid w:val="00F45ADB"/>
    <w:rsid w:val="00F506C3"/>
    <w:rsid w:val="00F517FF"/>
    <w:rsid w:val="00F546FF"/>
    <w:rsid w:val="00F56160"/>
    <w:rsid w:val="00F57D31"/>
    <w:rsid w:val="00F60166"/>
    <w:rsid w:val="00F647DE"/>
    <w:rsid w:val="00F64C5B"/>
    <w:rsid w:val="00F65F0B"/>
    <w:rsid w:val="00F72783"/>
    <w:rsid w:val="00F73B52"/>
    <w:rsid w:val="00F747F9"/>
    <w:rsid w:val="00F75925"/>
    <w:rsid w:val="00F80CA5"/>
    <w:rsid w:val="00F81B24"/>
    <w:rsid w:val="00F82036"/>
    <w:rsid w:val="00F84B5E"/>
    <w:rsid w:val="00F84C0B"/>
    <w:rsid w:val="00F872FC"/>
    <w:rsid w:val="00F87A0C"/>
    <w:rsid w:val="00F9239C"/>
    <w:rsid w:val="00FA1F1F"/>
    <w:rsid w:val="00FA55C7"/>
    <w:rsid w:val="00FA6691"/>
    <w:rsid w:val="00FA6A2F"/>
    <w:rsid w:val="00FB1481"/>
    <w:rsid w:val="00FB16DC"/>
    <w:rsid w:val="00FB2CE8"/>
    <w:rsid w:val="00FB3973"/>
    <w:rsid w:val="00FB63D2"/>
    <w:rsid w:val="00FB725C"/>
    <w:rsid w:val="00FC253A"/>
    <w:rsid w:val="00FC3E2C"/>
    <w:rsid w:val="00FC5750"/>
    <w:rsid w:val="00FD1420"/>
    <w:rsid w:val="00FD5E10"/>
    <w:rsid w:val="00FE00C9"/>
    <w:rsid w:val="00FE197E"/>
    <w:rsid w:val="00FE32C4"/>
    <w:rsid w:val="00FE394C"/>
    <w:rsid w:val="00FF0D95"/>
    <w:rsid w:val="00FF4E91"/>
    <w:rsid w:val="00FF58B8"/>
    <w:rsid w:val="00FF64AD"/>
    <w:rsid w:val="012B28D2"/>
    <w:rsid w:val="017E4D56"/>
    <w:rsid w:val="01CF4A64"/>
    <w:rsid w:val="01E524CB"/>
    <w:rsid w:val="01EA636A"/>
    <w:rsid w:val="02283FBF"/>
    <w:rsid w:val="02480E0C"/>
    <w:rsid w:val="029E7BF0"/>
    <w:rsid w:val="02D47146"/>
    <w:rsid w:val="02DE140E"/>
    <w:rsid w:val="02F974E7"/>
    <w:rsid w:val="0303580E"/>
    <w:rsid w:val="0312102E"/>
    <w:rsid w:val="032E3237"/>
    <w:rsid w:val="036B4CC9"/>
    <w:rsid w:val="03E41A37"/>
    <w:rsid w:val="041D775E"/>
    <w:rsid w:val="043153AE"/>
    <w:rsid w:val="046265D7"/>
    <w:rsid w:val="047A5783"/>
    <w:rsid w:val="04B35139"/>
    <w:rsid w:val="04B90867"/>
    <w:rsid w:val="04D5126F"/>
    <w:rsid w:val="04F504E4"/>
    <w:rsid w:val="051D3ED7"/>
    <w:rsid w:val="05222D38"/>
    <w:rsid w:val="053377FA"/>
    <w:rsid w:val="0573132E"/>
    <w:rsid w:val="06582A86"/>
    <w:rsid w:val="06AD5A5D"/>
    <w:rsid w:val="06BD5DFB"/>
    <w:rsid w:val="079A613C"/>
    <w:rsid w:val="08177212"/>
    <w:rsid w:val="083E4AC1"/>
    <w:rsid w:val="08BC5A2F"/>
    <w:rsid w:val="08FD4BD5"/>
    <w:rsid w:val="0912138E"/>
    <w:rsid w:val="09314E03"/>
    <w:rsid w:val="095347EA"/>
    <w:rsid w:val="0972669A"/>
    <w:rsid w:val="09BD2D3E"/>
    <w:rsid w:val="09C032F2"/>
    <w:rsid w:val="09F108E6"/>
    <w:rsid w:val="09FF17D5"/>
    <w:rsid w:val="0A5A206E"/>
    <w:rsid w:val="0A837EA2"/>
    <w:rsid w:val="0AD92B47"/>
    <w:rsid w:val="0AD96271"/>
    <w:rsid w:val="0AF93A73"/>
    <w:rsid w:val="0B1D50BA"/>
    <w:rsid w:val="0B364BBC"/>
    <w:rsid w:val="0B8E12CC"/>
    <w:rsid w:val="0BA161C4"/>
    <w:rsid w:val="0BE13704"/>
    <w:rsid w:val="0C2D70B6"/>
    <w:rsid w:val="0C44027C"/>
    <w:rsid w:val="0C6E758A"/>
    <w:rsid w:val="0CF060BC"/>
    <w:rsid w:val="0D240313"/>
    <w:rsid w:val="0D25389A"/>
    <w:rsid w:val="0D6718A1"/>
    <w:rsid w:val="0DCC03E8"/>
    <w:rsid w:val="0DFB1DD4"/>
    <w:rsid w:val="0DFC2659"/>
    <w:rsid w:val="0E06668B"/>
    <w:rsid w:val="0E7D24AD"/>
    <w:rsid w:val="0E841427"/>
    <w:rsid w:val="0E8478E3"/>
    <w:rsid w:val="0E9C1555"/>
    <w:rsid w:val="0EFD3BA7"/>
    <w:rsid w:val="0F017D30"/>
    <w:rsid w:val="0F36262A"/>
    <w:rsid w:val="0F41394C"/>
    <w:rsid w:val="0F603B32"/>
    <w:rsid w:val="0F6C29EE"/>
    <w:rsid w:val="0FA67D74"/>
    <w:rsid w:val="0FB87AA7"/>
    <w:rsid w:val="1017657C"/>
    <w:rsid w:val="10192377"/>
    <w:rsid w:val="10401BD1"/>
    <w:rsid w:val="104E59F2"/>
    <w:rsid w:val="110354CB"/>
    <w:rsid w:val="111B747A"/>
    <w:rsid w:val="113436F4"/>
    <w:rsid w:val="113B5CC0"/>
    <w:rsid w:val="11441D0A"/>
    <w:rsid w:val="116D0E66"/>
    <w:rsid w:val="118034A9"/>
    <w:rsid w:val="11A958FA"/>
    <w:rsid w:val="11AE4CBE"/>
    <w:rsid w:val="11D97B27"/>
    <w:rsid w:val="122276B6"/>
    <w:rsid w:val="12641C4E"/>
    <w:rsid w:val="12A41798"/>
    <w:rsid w:val="12F23742"/>
    <w:rsid w:val="12F9132B"/>
    <w:rsid w:val="131F51A8"/>
    <w:rsid w:val="134A544A"/>
    <w:rsid w:val="135125E0"/>
    <w:rsid w:val="135E7259"/>
    <w:rsid w:val="13E54E5B"/>
    <w:rsid w:val="142C3572"/>
    <w:rsid w:val="14573757"/>
    <w:rsid w:val="146E6986"/>
    <w:rsid w:val="148D5F2D"/>
    <w:rsid w:val="14A00F30"/>
    <w:rsid w:val="14E562A9"/>
    <w:rsid w:val="158B7678"/>
    <w:rsid w:val="15BE0A1E"/>
    <w:rsid w:val="163F2035"/>
    <w:rsid w:val="16565773"/>
    <w:rsid w:val="16686F5F"/>
    <w:rsid w:val="168C426A"/>
    <w:rsid w:val="16EE37BA"/>
    <w:rsid w:val="16FC3D08"/>
    <w:rsid w:val="1772122B"/>
    <w:rsid w:val="178E25AD"/>
    <w:rsid w:val="179A2C7A"/>
    <w:rsid w:val="179A541A"/>
    <w:rsid w:val="17A353B7"/>
    <w:rsid w:val="17B64A1F"/>
    <w:rsid w:val="17C229BC"/>
    <w:rsid w:val="1866724B"/>
    <w:rsid w:val="187A34BB"/>
    <w:rsid w:val="1967359B"/>
    <w:rsid w:val="19B44692"/>
    <w:rsid w:val="19BD5DB2"/>
    <w:rsid w:val="1A5959E3"/>
    <w:rsid w:val="1A78652D"/>
    <w:rsid w:val="1B0506E2"/>
    <w:rsid w:val="1B0D101F"/>
    <w:rsid w:val="1B222459"/>
    <w:rsid w:val="1B301A6C"/>
    <w:rsid w:val="1B7656DE"/>
    <w:rsid w:val="1C0E2F29"/>
    <w:rsid w:val="1C103B5E"/>
    <w:rsid w:val="1C96074F"/>
    <w:rsid w:val="1CA33C9F"/>
    <w:rsid w:val="1CCE1300"/>
    <w:rsid w:val="1CED54F9"/>
    <w:rsid w:val="1D115E6F"/>
    <w:rsid w:val="1D2A0508"/>
    <w:rsid w:val="1D404691"/>
    <w:rsid w:val="1D9627FE"/>
    <w:rsid w:val="1DB72CF9"/>
    <w:rsid w:val="1DE00697"/>
    <w:rsid w:val="1DE34B3F"/>
    <w:rsid w:val="1E8C5161"/>
    <w:rsid w:val="1F2D0D03"/>
    <w:rsid w:val="1F381BCC"/>
    <w:rsid w:val="1F3A4035"/>
    <w:rsid w:val="1F6956DF"/>
    <w:rsid w:val="1F8513EE"/>
    <w:rsid w:val="1F996FAD"/>
    <w:rsid w:val="1FA208E9"/>
    <w:rsid w:val="1FB308E1"/>
    <w:rsid w:val="20547046"/>
    <w:rsid w:val="208E74ED"/>
    <w:rsid w:val="20C42653"/>
    <w:rsid w:val="20E529DD"/>
    <w:rsid w:val="21B165EA"/>
    <w:rsid w:val="21B91F5E"/>
    <w:rsid w:val="223F279D"/>
    <w:rsid w:val="227712A8"/>
    <w:rsid w:val="22BC073D"/>
    <w:rsid w:val="22BC3549"/>
    <w:rsid w:val="22E27CDB"/>
    <w:rsid w:val="22F22FEA"/>
    <w:rsid w:val="22FE5379"/>
    <w:rsid w:val="234B5E4A"/>
    <w:rsid w:val="23983A20"/>
    <w:rsid w:val="23CA52D6"/>
    <w:rsid w:val="23CE5327"/>
    <w:rsid w:val="23D679A8"/>
    <w:rsid w:val="24634577"/>
    <w:rsid w:val="247D3C02"/>
    <w:rsid w:val="248B45BB"/>
    <w:rsid w:val="24C64E92"/>
    <w:rsid w:val="24DA2E7D"/>
    <w:rsid w:val="25034EC9"/>
    <w:rsid w:val="250760FB"/>
    <w:rsid w:val="258D3289"/>
    <w:rsid w:val="25BB5AF2"/>
    <w:rsid w:val="25C91C6F"/>
    <w:rsid w:val="25C93B97"/>
    <w:rsid w:val="25EB1BA0"/>
    <w:rsid w:val="25F80603"/>
    <w:rsid w:val="26520D85"/>
    <w:rsid w:val="26604343"/>
    <w:rsid w:val="267E5E62"/>
    <w:rsid w:val="26887917"/>
    <w:rsid w:val="268C6650"/>
    <w:rsid w:val="26A7395C"/>
    <w:rsid w:val="26E77EBD"/>
    <w:rsid w:val="271369F4"/>
    <w:rsid w:val="27312AB5"/>
    <w:rsid w:val="27B7772F"/>
    <w:rsid w:val="27C62DBA"/>
    <w:rsid w:val="27C942C1"/>
    <w:rsid w:val="28071F7F"/>
    <w:rsid w:val="281A55AD"/>
    <w:rsid w:val="28457E4D"/>
    <w:rsid w:val="288109DE"/>
    <w:rsid w:val="28885614"/>
    <w:rsid w:val="288E1755"/>
    <w:rsid w:val="28C675C2"/>
    <w:rsid w:val="292E3676"/>
    <w:rsid w:val="29694CD4"/>
    <w:rsid w:val="297C6045"/>
    <w:rsid w:val="29974B73"/>
    <w:rsid w:val="29C413A9"/>
    <w:rsid w:val="29DA3942"/>
    <w:rsid w:val="2A1C1B46"/>
    <w:rsid w:val="2A4C19A4"/>
    <w:rsid w:val="2A6A4976"/>
    <w:rsid w:val="2AE50248"/>
    <w:rsid w:val="2B18299E"/>
    <w:rsid w:val="2B391C53"/>
    <w:rsid w:val="2B522706"/>
    <w:rsid w:val="2B582DA4"/>
    <w:rsid w:val="2BE6754D"/>
    <w:rsid w:val="2BFF7E3B"/>
    <w:rsid w:val="2C214B77"/>
    <w:rsid w:val="2C2A767A"/>
    <w:rsid w:val="2C2C3E82"/>
    <w:rsid w:val="2C452D1D"/>
    <w:rsid w:val="2C532BDA"/>
    <w:rsid w:val="2C82363F"/>
    <w:rsid w:val="2C90590B"/>
    <w:rsid w:val="2CB050A9"/>
    <w:rsid w:val="2CE97DB3"/>
    <w:rsid w:val="2CEC5B1D"/>
    <w:rsid w:val="2CEF5C8D"/>
    <w:rsid w:val="2D2743BE"/>
    <w:rsid w:val="2D83129D"/>
    <w:rsid w:val="2D9B54FE"/>
    <w:rsid w:val="2DAF4A40"/>
    <w:rsid w:val="2DCC4A44"/>
    <w:rsid w:val="2DE60832"/>
    <w:rsid w:val="2E0020EF"/>
    <w:rsid w:val="2E0D7B88"/>
    <w:rsid w:val="2E127196"/>
    <w:rsid w:val="2E790AA3"/>
    <w:rsid w:val="2E9C565B"/>
    <w:rsid w:val="2ED04027"/>
    <w:rsid w:val="2EF36729"/>
    <w:rsid w:val="2F223298"/>
    <w:rsid w:val="2F2A7AFD"/>
    <w:rsid w:val="2F314811"/>
    <w:rsid w:val="2F520F27"/>
    <w:rsid w:val="2F802AB1"/>
    <w:rsid w:val="2F934C85"/>
    <w:rsid w:val="2FC430EC"/>
    <w:rsid w:val="2FCA1EEB"/>
    <w:rsid w:val="2FE52642"/>
    <w:rsid w:val="300C1919"/>
    <w:rsid w:val="30360522"/>
    <w:rsid w:val="305D5DD5"/>
    <w:rsid w:val="30825A7D"/>
    <w:rsid w:val="30864A77"/>
    <w:rsid w:val="30941A7B"/>
    <w:rsid w:val="30B63FAF"/>
    <w:rsid w:val="30C65F44"/>
    <w:rsid w:val="30F815C8"/>
    <w:rsid w:val="30F8356E"/>
    <w:rsid w:val="315B2216"/>
    <w:rsid w:val="31C13761"/>
    <w:rsid w:val="32237BFA"/>
    <w:rsid w:val="32A966E7"/>
    <w:rsid w:val="32C4261E"/>
    <w:rsid w:val="333E19DF"/>
    <w:rsid w:val="336B3F62"/>
    <w:rsid w:val="33931A89"/>
    <w:rsid w:val="33C71554"/>
    <w:rsid w:val="34555D7D"/>
    <w:rsid w:val="347F35BB"/>
    <w:rsid w:val="34A96146"/>
    <w:rsid w:val="34B22E6F"/>
    <w:rsid w:val="35142490"/>
    <w:rsid w:val="354377C2"/>
    <w:rsid w:val="355B43C0"/>
    <w:rsid w:val="35A024DB"/>
    <w:rsid w:val="35C41568"/>
    <w:rsid w:val="35DC779C"/>
    <w:rsid w:val="363C0059"/>
    <w:rsid w:val="36631C6B"/>
    <w:rsid w:val="3667175C"/>
    <w:rsid w:val="36DE3DE9"/>
    <w:rsid w:val="373316DA"/>
    <w:rsid w:val="377F1805"/>
    <w:rsid w:val="37A62CA0"/>
    <w:rsid w:val="37DA181F"/>
    <w:rsid w:val="37E05098"/>
    <w:rsid w:val="37F04CCB"/>
    <w:rsid w:val="389664A1"/>
    <w:rsid w:val="38E253BC"/>
    <w:rsid w:val="3902452F"/>
    <w:rsid w:val="395F5E05"/>
    <w:rsid w:val="3962620A"/>
    <w:rsid w:val="396D5405"/>
    <w:rsid w:val="3ADE5C43"/>
    <w:rsid w:val="3AE0388B"/>
    <w:rsid w:val="3B011B19"/>
    <w:rsid w:val="3B40182B"/>
    <w:rsid w:val="3B781D15"/>
    <w:rsid w:val="3BBB2829"/>
    <w:rsid w:val="3BBE2A56"/>
    <w:rsid w:val="3C5B2DB3"/>
    <w:rsid w:val="3C9F3143"/>
    <w:rsid w:val="3CC5579B"/>
    <w:rsid w:val="3CDE7502"/>
    <w:rsid w:val="3CFC3BA5"/>
    <w:rsid w:val="3D322C64"/>
    <w:rsid w:val="3D58579F"/>
    <w:rsid w:val="3DD6337D"/>
    <w:rsid w:val="3DE20851"/>
    <w:rsid w:val="3E482B58"/>
    <w:rsid w:val="3E6058C7"/>
    <w:rsid w:val="3E6D3687"/>
    <w:rsid w:val="3E861CDC"/>
    <w:rsid w:val="3EB03E7A"/>
    <w:rsid w:val="3F1828A8"/>
    <w:rsid w:val="3F1C3A82"/>
    <w:rsid w:val="400C03BD"/>
    <w:rsid w:val="400F7F20"/>
    <w:rsid w:val="401C293C"/>
    <w:rsid w:val="401E4DE6"/>
    <w:rsid w:val="402312B3"/>
    <w:rsid w:val="40540563"/>
    <w:rsid w:val="405B58B7"/>
    <w:rsid w:val="40924180"/>
    <w:rsid w:val="40A71368"/>
    <w:rsid w:val="41BC046A"/>
    <w:rsid w:val="422F1D71"/>
    <w:rsid w:val="42AD011F"/>
    <w:rsid w:val="430738A1"/>
    <w:rsid w:val="431616AA"/>
    <w:rsid w:val="434A3612"/>
    <w:rsid w:val="437B1833"/>
    <w:rsid w:val="43A74CF5"/>
    <w:rsid w:val="43AF1B52"/>
    <w:rsid w:val="43EE1DB0"/>
    <w:rsid w:val="43FA7166"/>
    <w:rsid w:val="443471B8"/>
    <w:rsid w:val="44552CD8"/>
    <w:rsid w:val="44BD1C6D"/>
    <w:rsid w:val="44D7725B"/>
    <w:rsid w:val="45383381"/>
    <w:rsid w:val="45642893"/>
    <w:rsid w:val="45CC2006"/>
    <w:rsid w:val="461478EE"/>
    <w:rsid w:val="46323B86"/>
    <w:rsid w:val="46B419A3"/>
    <w:rsid w:val="46BC12B0"/>
    <w:rsid w:val="46F72710"/>
    <w:rsid w:val="472D2104"/>
    <w:rsid w:val="473320B8"/>
    <w:rsid w:val="47C3438C"/>
    <w:rsid w:val="480E182F"/>
    <w:rsid w:val="493E3129"/>
    <w:rsid w:val="49786C09"/>
    <w:rsid w:val="49F44538"/>
    <w:rsid w:val="4A472C7D"/>
    <w:rsid w:val="4A6B671F"/>
    <w:rsid w:val="4ADA0B0E"/>
    <w:rsid w:val="4AE2272B"/>
    <w:rsid w:val="4B26385C"/>
    <w:rsid w:val="4B4A5132"/>
    <w:rsid w:val="4B5E26A2"/>
    <w:rsid w:val="4B8059BB"/>
    <w:rsid w:val="4BE2315D"/>
    <w:rsid w:val="4C0E4C0C"/>
    <w:rsid w:val="4C1E7E1B"/>
    <w:rsid w:val="4C884F93"/>
    <w:rsid w:val="4C913BEB"/>
    <w:rsid w:val="4CFB3A88"/>
    <w:rsid w:val="4D0542F6"/>
    <w:rsid w:val="4D0D105F"/>
    <w:rsid w:val="4D225808"/>
    <w:rsid w:val="4D6869B1"/>
    <w:rsid w:val="4DA166B7"/>
    <w:rsid w:val="4DD80552"/>
    <w:rsid w:val="4DE02AB8"/>
    <w:rsid w:val="4E6112E3"/>
    <w:rsid w:val="4EAB6B3C"/>
    <w:rsid w:val="4EDA62C8"/>
    <w:rsid w:val="4F060CAD"/>
    <w:rsid w:val="4F0803BC"/>
    <w:rsid w:val="4F2B362C"/>
    <w:rsid w:val="4F8A6911"/>
    <w:rsid w:val="4F977458"/>
    <w:rsid w:val="50342011"/>
    <w:rsid w:val="503A5393"/>
    <w:rsid w:val="50481D63"/>
    <w:rsid w:val="505329DC"/>
    <w:rsid w:val="50780FD3"/>
    <w:rsid w:val="50E44FCC"/>
    <w:rsid w:val="512653FC"/>
    <w:rsid w:val="518E2652"/>
    <w:rsid w:val="51D21809"/>
    <w:rsid w:val="52000723"/>
    <w:rsid w:val="52143055"/>
    <w:rsid w:val="523408AE"/>
    <w:rsid w:val="52882639"/>
    <w:rsid w:val="5290134D"/>
    <w:rsid w:val="52983565"/>
    <w:rsid w:val="52A4374C"/>
    <w:rsid w:val="538434F5"/>
    <w:rsid w:val="53C148FC"/>
    <w:rsid w:val="53EC49E8"/>
    <w:rsid w:val="547551B0"/>
    <w:rsid w:val="548C2A7C"/>
    <w:rsid w:val="54CB587F"/>
    <w:rsid w:val="54F735E1"/>
    <w:rsid w:val="55425416"/>
    <w:rsid w:val="55606494"/>
    <w:rsid w:val="557660BD"/>
    <w:rsid w:val="56060C69"/>
    <w:rsid w:val="56253FEB"/>
    <w:rsid w:val="563F3703"/>
    <w:rsid w:val="566F5BA7"/>
    <w:rsid w:val="569752EE"/>
    <w:rsid w:val="56A32240"/>
    <w:rsid w:val="56BA1CED"/>
    <w:rsid w:val="571C1071"/>
    <w:rsid w:val="576F66FC"/>
    <w:rsid w:val="57B14FBA"/>
    <w:rsid w:val="57D53A34"/>
    <w:rsid w:val="57FF6124"/>
    <w:rsid w:val="58285D4E"/>
    <w:rsid w:val="5832163D"/>
    <w:rsid w:val="583E326D"/>
    <w:rsid w:val="58762B4F"/>
    <w:rsid w:val="58831FCD"/>
    <w:rsid w:val="58B65AA2"/>
    <w:rsid w:val="5A124C57"/>
    <w:rsid w:val="5A3732BC"/>
    <w:rsid w:val="5A4D1E35"/>
    <w:rsid w:val="5A5B5D26"/>
    <w:rsid w:val="5A5D23AA"/>
    <w:rsid w:val="5A761F3F"/>
    <w:rsid w:val="5A8D66DC"/>
    <w:rsid w:val="5A8E6C41"/>
    <w:rsid w:val="5AAE4B72"/>
    <w:rsid w:val="5B037F3C"/>
    <w:rsid w:val="5B2E57C0"/>
    <w:rsid w:val="5B5753D2"/>
    <w:rsid w:val="5B6941BC"/>
    <w:rsid w:val="5B833CF8"/>
    <w:rsid w:val="5BA56DFE"/>
    <w:rsid w:val="5BCB7248"/>
    <w:rsid w:val="5BE94330"/>
    <w:rsid w:val="5C11114A"/>
    <w:rsid w:val="5C5F065B"/>
    <w:rsid w:val="5C8E2CEF"/>
    <w:rsid w:val="5C8F67BF"/>
    <w:rsid w:val="5C9A4891"/>
    <w:rsid w:val="5CB018CB"/>
    <w:rsid w:val="5D08272D"/>
    <w:rsid w:val="5D45481F"/>
    <w:rsid w:val="5D6F44A4"/>
    <w:rsid w:val="5E413D91"/>
    <w:rsid w:val="5E481F8E"/>
    <w:rsid w:val="5E752EBE"/>
    <w:rsid w:val="5E774BB2"/>
    <w:rsid w:val="5E962A5B"/>
    <w:rsid w:val="5EA66A16"/>
    <w:rsid w:val="5F963C07"/>
    <w:rsid w:val="5F9B56EA"/>
    <w:rsid w:val="5FFA2D3A"/>
    <w:rsid w:val="605C0082"/>
    <w:rsid w:val="606F26E5"/>
    <w:rsid w:val="614A0880"/>
    <w:rsid w:val="615644A4"/>
    <w:rsid w:val="617D55D8"/>
    <w:rsid w:val="61DD08E2"/>
    <w:rsid w:val="620D1B69"/>
    <w:rsid w:val="622C4CFB"/>
    <w:rsid w:val="624B04AF"/>
    <w:rsid w:val="6267229E"/>
    <w:rsid w:val="627C183B"/>
    <w:rsid w:val="628577E0"/>
    <w:rsid w:val="62B850B1"/>
    <w:rsid w:val="62D02D0B"/>
    <w:rsid w:val="62F37F59"/>
    <w:rsid w:val="630B58E1"/>
    <w:rsid w:val="63103F28"/>
    <w:rsid w:val="63134CAB"/>
    <w:rsid w:val="63282AC2"/>
    <w:rsid w:val="6352150E"/>
    <w:rsid w:val="63FE24EE"/>
    <w:rsid w:val="64215BBC"/>
    <w:rsid w:val="643123C1"/>
    <w:rsid w:val="64752564"/>
    <w:rsid w:val="648E59BB"/>
    <w:rsid w:val="64B10238"/>
    <w:rsid w:val="64BC01EB"/>
    <w:rsid w:val="6505434A"/>
    <w:rsid w:val="655707FC"/>
    <w:rsid w:val="65616874"/>
    <w:rsid w:val="65775B22"/>
    <w:rsid w:val="65D11E7C"/>
    <w:rsid w:val="65D75BA4"/>
    <w:rsid w:val="6619178A"/>
    <w:rsid w:val="66D1307E"/>
    <w:rsid w:val="66D41EA0"/>
    <w:rsid w:val="67E81E4D"/>
    <w:rsid w:val="680029E0"/>
    <w:rsid w:val="681762F4"/>
    <w:rsid w:val="684A2231"/>
    <w:rsid w:val="68600067"/>
    <w:rsid w:val="686E6F27"/>
    <w:rsid w:val="69080A16"/>
    <w:rsid w:val="69344034"/>
    <w:rsid w:val="69374710"/>
    <w:rsid w:val="694148C3"/>
    <w:rsid w:val="69511F4E"/>
    <w:rsid w:val="6A055367"/>
    <w:rsid w:val="6A0D5EE3"/>
    <w:rsid w:val="6A450DAF"/>
    <w:rsid w:val="6B1E603A"/>
    <w:rsid w:val="6BA5372F"/>
    <w:rsid w:val="6BAA7419"/>
    <w:rsid w:val="6BFD3458"/>
    <w:rsid w:val="6C1E029C"/>
    <w:rsid w:val="6C29130F"/>
    <w:rsid w:val="6C2A3C17"/>
    <w:rsid w:val="6C6475C8"/>
    <w:rsid w:val="6C9A46A6"/>
    <w:rsid w:val="6D781E34"/>
    <w:rsid w:val="6D88716D"/>
    <w:rsid w:val="6DAB6010"/>
    <w:rsid w:val="6E6D62A2"/>
    <w:rsid w:val="6E813EE8"/>
    <w:rsid w:val="6E9B7912"/>
    <w:rsid w:val="6EBC7D96"/>
    <w:rsid w:val="6ED459E0"/>
    <w:rsid w:val="6EFC675C"/>
    <w:rsid w:val="6F432B17"/>
    <w:rsid w:val="6F5F7B98"/>
    <w:rsid w:val="6F7E2971"/>
    <w:rsid w:val="6F856E2F"/>
    <w:rsid w:val="6F977F49"/>
    <w:rsid w:val="6F9839DC"/>
    <w:rsid w:val="6FC969C9"/>
    <w:rsid w:val="6FCD1CB9"/>
    <w:rsid w:val="6FF078A7"/>
    <w:rsid w:val="6FF97201"/>
    <w:rsid w:val="701A3346"/>
    <w:rsid w:val="706F300D"/>
    <w:rsid w:val="707F44CF"/>
    <w:rsid w:val="709712A0"/>
    <w:rsid w:val="70EA7663"/>
    <w:rsid w:val="71193970"/>
    <w:rsid w:val="712327E2"/>
    <w:rsid w:val="714409B3"/>
    <w:rsid w:val="715E598A"/>
    <w:rsid w:val="719F0F29"/>
    <w:rsid w:val="71AB38EC"/>
    <w:rsid w:val="71CA0FD9"/>
    <w:rsid w:val="71D56432"/>
    <w:rsid w:val="71EF3DD8"/>
    <w:rsid w:val="722E59ED"/>
    <w:rsid w:val="723A649E"/>
    <w:rsid w:val="72455CC7"/>
    <w:rsid w:val="724F64CE"/>
    <w:rsid w:val="72620A4E"/>
    <w:rsid w:val="726263EC"/>
    <w:rsid w:val="72656E9A"/>
    <w:rsid w:val="72715693"/>
    <w:rsid w:val="72744612"/>
    <w:rsid w:val="727617BD"/>
    <w:rsid w:val="729428AA"/>
    <w:rsid w:val="72DA5225"/>
    <w:rsid w:val="73000A69"/>
    <w:rsid w:val="733F4693"/>
    <w:rsid w:val="736E1778"/>
    <w:rsid w:val="739C4339"/>
    <w:rsid w:val="73AC1DF5"/>
    <w:rsid w:val="743578C1"/>
    <w:rsid w:val="747D3818"/>
    <w:rsid w:val="74A97747"/>
    <w:rsid w:val="74AE4B92"/>
    <w:rsid w:val="74B91D9B"/>
    <w:rsid w:val="74C11EDB"/>
    <w:rsid w:val="74D97E42"/>
    <w:rsid w:val="74EB4D2A"/>
    <w:rsid w:val="751C0AC1"/>
    <w:rsid w:val="75242691"/>
    <w:rsid w:val="753F3988"/>
    <w:rsid w:val="754F6912"/>
    <w:rsid w:val="75635569"/>
    <w:rsid w:val="75AC2413"/>
    <w:rsid w:val="75EF6FFA"/>
    <w:rsid w:val="76175271"/>
    <w:rsid w:val="76A77EEE"/>
    <w:rsid w:val="76B9169E"/>
    <w:rsid w:val="76CA1740"/>
    <w:rsid w:val="770E1D3B"/>
    <w:rsid w:val="77873D3C"/>
    <w:rsid w:val="781F0766"/>
    <w:rsid w:val="7847323B"/>
    <w:rsid w:val="788654C1"/>
    <w:rsid w:val="788D09BC"/>
    <w:rsid w:val="78BF0AD6"/>
    <w:rsid w:val="78CB76F8"/>
    <w:rsid w:val="79374770"/>
    <w:rsid w:val="79694493"/>
    <w:rsid w:val="79806EF2"/>
    <w:rsid w:val="79A45E6F"/>
    <w:rsid w:val="79D63FCF"/>
    <w:rsid w:val="79DD4482"/>
    <w:rsid w:val="79E62A1A"/>
    <w:rsid w:val="7A4A59F9"/>
    <w:rsid w:val="7ABA59C7"/>
    <w:rsid w:val="7ABB1DEA"/>
    <w:rsid w:val="7AF53B6F"/>
    <w:rsid w:val="7B0E2302"/>
    <w:rsid w:val="7B1E6465"/>
    <w:rsid w:val="7B352339"/>
    <w:rsid w:val="7B3E45F2"/>
    <w:rsid w:val="7B600E1D"/>
    <w:rsid w:val="7B81277A"/>
    <w:rsid w:val="7BAF4BF1"/>
    <w:rsid w:val="7C032DC1"/>
    <w:rsid w:val="7C1E325F"/>
    <w:rsid w:val="7C45231B"/>
    <w:rsid w:val="7C941A08"/>
    <w:rsid w:val="7CC03579"/>
    <w:rsid w:val="7D0139BA"/>
    <w:rsid w:val="7DB73D75"/>
    <w:rsid w:val="7DC2070D"/>
    <w:rsid w:val="7E057301"/>
    <w:rsid w:val="7E375022"/>
    <w:rsid w:val="7E4F799B"/>
    <w:rsid w:val="7E8F2BCB"/>
    <w:rsid w:val="7E90249F"/>
    <w:rsid w:val="7F073DC5"/>
    <w:rsid w:val="7F2C0897"/>
    <w:rsid w:val="7F462238"/>
    <w:rsid w:val="7F68565F"/>
    <w:rsid w:val="7F864D20"/>
    <w:rsid w:val="7F967F89"/>
    <w:rsid w:val="7FA77AA0"/>
    <w:rsid w:val="7FD544BF"/>
    <w:rsid w:val="7FEC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widowControl w:val="0"/>
      <w:spacing w:before="260" w:after="260" w:line="416" w:lineRule="auto"/>
      <w:jc w:val="both"/>
      <w:outlineLvl w:val="2"/>
    </w:pPr>
    <w:rPr>
      <w:rFonts w:ascii="等线" w:hAnsi="等线" w:eastAsia="等线" w:cs="Times New Roman"/>
      <w:b/>
      <w:bCs/>
      <w:kern w:val="2"/>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style>
  <w:style w:type="paragraph" w:styleId="6">
    <w:name w:val="Body Text"/>
    <w:basedOn w:val="1"/>
    <w:link w:val="31"/>
    <w:unhideWhenUsed/>
    <w:qFormat/>
    <w:uiPriority w:val="99"/>
    <w:pPr>
      <w:widowControl w:val="0"/>
      <w:spacing w:after="120"/>
      <w:jc w:val="both"/>
    </w:pPr>
    <w:rPr>
      <w:rFonts w:ascii="等线" w:hAnsi="等线" w:eastAsia="等线" w:cs="Times New Roman"/>
      <w:kern w:val="2"/>
      <w:sz w:val="21"/>
      <w:szCs w:val="22"/>
    </w:rPr>
  </w:style>
  <w:style w:type="paragraph" w:styleId="7">
    <w:name w:val="toc 3"/>
    <w:basedOn w:val="1"/>
    <w:next w:val="1"/>
    <w:unhideWhenUsed/>
    <w:qFormat/>
    <w:uiPriority w:val="39"/>
    <w:pPr>
      <w:widowControl w:val="0"/>
      <w:ind w:left="840" w:leftChars="400"/>
      <w:jc w:val="both"/>
    </w:pPr>
    <w:rPr>
      <w:rFonts w:ascii="等线" w:hAnsi="等线" w:eastAsia="等线" w:cs="Times New Roman"/>
      <w:kern w:val="2"/>
      <w:sz w:val="21"/>
      <w:szCs w:val="22"/>
    </w:rPr>
  </w:style>
  <w:style w:type="paragraph" w:styleId="8">
    <w:name w:val="Date"/>
    <w:basedOn w:val="1"/>
    <w:next w:val="1"/>
    <w:link w:val="26"/>
    <w:semiHidden/>
    <w:unhideWhenUsed/>
    <w:qFormat/>
    <w:uiPriority w:val="99"/>
    <w:pPr>
      <w:widowControl w:val="0"/>
      <w:ind w:left="100" w:leftChars="2500"/>
      <w:jc w:val="both"/>
    </w:pPr>
    <w:rPr>
      <w:rFonts w:ascii="等线" w:hAnsi="等线" w:eastAsia="等线" w:cs="Times New Roman"/>
      <w:kern w:val="2"/>
      <w:sz w:val="21"/>
      <w:szCs w:val="22"/>
    </w:rPr>
  </w:style>
  <w:style w:type="paragraph" w:styleId="9">
    <w:name w:val="Balloon Text"/>
    <w:basedOn w:val="1"/>
    <w:link w:val="25"/>
    <w:semiHidden/>
    <w:unhideWhenUsed/>
    <w:qFormat/>
    <w:uiPriority w:val="99"/>
    <w:pPr>
      <w:widowControl w:val="0"/>
      <w:jc w:val="both"/>
    </w:pPr>
    <w:rPr>
      <w:rFonts w:ascii="等线" w:hAnsi="等线" w:eastAsia="等线" w:cs="Times New Roman"/>
      <w:kern w:val="2"/>
      <w:sz w:val="18"/>
      <w:szCs w:val="18"/>
    </w:rPr>
  </w:style>
  <w:style w:type="paragraph" w:styleId="10">
    <w:name w:val="footer"/>
    <w:basedOn w:val="1"/>
    <w:link w:val="24"/>
    <w:unhideWhenUsed/>
    <w:qFormat/>
    <w:uiPriority w:val="99"/>
    <w:pPr>
      <w:widowControl w:val="0"/>
      <w:tabs>
        <w:tab w:val="center" w:pos="4153"/>
        <w:tab w:val="right" w:pos="8306"/>
      </w:tabs>
      <w:snapToGrid w:val="0"/>
    </w:pPr>
    <w:rPr>
      <w:rFonts w:ascii="等线" w:hAnsi="等线" w:eastAsia="等线" w:cs="Times New Roman"/>
      <w:kern w:val="2"/>
      <w:sz w:val="18"/>
      <w:szCs w:val="18"/>
    </w:rPr>
  </w:style>
  <w:style w:type="paragraph" w:styleId="11">
    <w:name w:val="header"/>
    <w:basedOn w:val="1"/>
    <w:link w:val="23"/>
    <w:unhideWhenUsed/>
    <w:qFormat/>
    <w:uiPriority w:val="99"/>
    <w:pPr>
      <w:widowControl w:val="0"/>
      <w:pBdr>
        <w:bottom w:val="single" w:color="auto" w:sz="6" w:space="1"/>
      </w:pBdr>
      <w:tabs>
        <w:tab w:val="center" w:pos="4153"/>
        <w:tab w:val="right" w:pos="8306"/>
      </w:tabs>
      <w:snapToGrid w:val="0"/>
      <w:jc w:val="center"/>
    </w:pPr>
    <w:rPr>
      <w:rFonts w:ascii="等线" w:hAnsi="等线" w:eastAsia="等线" w:cs="Times New Roman"/>
      <w:kern w:val="2"/>
      <w:sz w:val="18"/>
      <w:szCs w:val="18"/>
    </w:rPr>
  </w:style>
  <w:style w:type="paragraph" w:styleId="12">
    <w:name w:val="toc 1"/>
    <w:basedOn w:val="1"/>
    <w:next w:val="1"/>
    <w:unhideWhenUsed/>
    <w:qFormat/>
    <w:uiPriority w:val="39"/>
    <w:pPr>
      <w:widowControl w:val="0"/>
      <w:tabs>
        <w:tab w:val="right" w:leader="dot" w:pos="8724"/>
      </w:tabs>
      <w:spacing w:line="600" w:lineRule="exact"/>
      <w:jc w:val="both"/>
    </w:pPr>
    <w:rPr>
      <w:rFonts w:ascii="等线" w:hAnsi="等线" w:eastAsia="等线" w:cs="Times New Roman"/>
      <w:kern w:val="2"/>
      <w:sz w:val="21"/>
      <w:szCs w:val="22"/>
    </w:rPr>
  </w:style>
  <w:style w:type="paragraph" w:styleId="13">
    <w:name w:val="footnote text"/>
    <w:basedOn w:val="1"/>
    <w:link w:val="41"/>
    <w:semiHidden/>
    <w:unhideWhenUsed/>
    <w:qFormat/>
    <w:uiPriority w:val="99"/>
    <w:pPr>
      <w:widowControl w:val="0"/>
      <w:snapToGrid w:val="0"/>
    </w:pPr>
    <w:rPr>
      <w:rFonts w:ascii="等线" w:hAnsi="等线" w:eastAsia="等线" w:cs="Times New Roman"/>
      <w:kern w:val="2"/>
      <w:sz w:val="18"/>
      <w:szCs w:val="18"/>
    </w:rPr>
  </w:style>
  <w:style w:type="paragraph" w:styleId="14">
    <w:name w:val="toc 2"/>
    <w:basedOn w:val="1"/>
    <w:next w:val="1"/>
    <w:unhideWhenUsed/>
    <w:qFormat/>
    <w:uiPriority w:val="39"/>
    <w:pPr>
      <w:widowControl w:val="0"/>
      <w:tabs>
        <w:tab w:val="right" w:leader="dot" w:pos="8724"/>
      </w:tabs>
      <w:ind w:left="420" w:leftChars="200"/>
      <w:jc w:val="both"/>
    </w:pPr>
    <w:rPr>
      <w:rFonts w:ascii="方正楷体_GBK" w:hAnsi="方正楷体_GBK" w:eastAsia="方正楷体_GBK" w:cs="方正楷体_GBK"/>
      <w:sz w:val="21"/>
      <w:szCs w:val="22"/>
    </w:rPr>
  </w:style>
  <w:style w:type="paragraph" w:styleId="15">
    <w:name w:val="Body Text First Indent"/>
    <w:basedOn w:val="6"/>
    <w:link w:val="32"/>
    <w:qFormat/>
    <w:uiPriority w:val="0"/>
    <w:pPr>
      <w:ind w:firstLine="420" w:firstLineChars="100"/>
    </w:pPr>
    <w:rPr>
      <w:rFonts w:ascii="Times New Roman" w:hAnsi="Times New Roman" w:eastAsia="楷体"/>
      <w:sz w:val="28"/>
      <w:szCs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u w:val="single"/>
    </w:rPr>
  </w:style>
  <w:style w:type="character" w:styleId="20">
    <w:name w:val="annotation reference"/>
    <w:basedOn w:val="18"/>
    <w:semiHidden/>
    <w:unhideWhenUsed/>
    <w:qFormat/>
    <w:uiPriority w:val="99"/>
    <w:rPr>
      <w:sz w:val="21"/>
      <w:szCs w:val="21"/>
    </w:rPr>
  </w:style>
  <w:style w:type="character" w:styleId="21">
    <w:name w:val="footnote reference"/>
    <w:basedOn w:val="18"/>
    <w:semiHidden/>
    <w:unhideWhenUsed/>
    <w:qFormat/>
    <w:uiPriority w:val="99"/>
    <w:rPr>
      <w:vertAlign w:val="superscript"/>
    </w:rPr>
  </w:style>
  <w:style w:type="paragraph" w:styleId="22">
    <w:name w:val="List Paragraph"/>
    <w:basedOn w:val="1"/>
    <w:qFormat/>
    <w:uiPriority w:val="34"/>
    <w:pPr>
      <w:widowControl w:val="0"/>
      <w:ind w:firstLine="420" w:firstLineChars="200"/>
      <w:jc w:val="both"/>
    </w:pPr>
    <w:rPr>
      <w:rFonts w:ascii="等线" w:hAnsi="等线" w:eastAsia="等线" w:cs="Times New Roman"/>
      <w:kern w:val="2"/>
      <w:sz w:val="21"/>
      <w:szCs w:val="22"/>
    </w:rPr>
  </w:style>
  <w:style w:type="character" w:customStyle="1" w:styleId="23">
    <w:name w:val="页眉 字符"/>
    <w:basedOn w:val="18"/>
    <w:link w:val="11"/>
    <w:qFormat/>
    <w:uiPriority w:val="99"/>
    <w:rPr>
      <w:rFonts w:ascii="等线" w:hAnsi="等线" w:eastAsia="等线" w:cs="Times New Roman"/>
      <w:sz w:val="18"/>
      <w:szCs w:val="18"/>
    </w:rPr>
  </w:style>
  <w:style w:type="character" w:customStyle="1" w:styleId="24">
    <w:name w:val="页脚 字符"/>
    <w:basedOn w:val="18"/>
    <w:link w:val="10"/>
    <w:qFormat/>
    <w:uiPriority w:val="99"/>
    <w:rPr>
      <w:rFonts w:ascii="等线" w:hAnsi="等线" w:eastAsia="等线" w:cs="Times New Roman"/>
      <w:sz w:val="18"/>
      <w:szCs w:val="18"/>
    </w:rPr>
  </w:style>
  <w:style w:type="character" w:customStyle="1" w:styleId="25">
    <w:name w:val="批注框文本 字符"/>
    <w:basedOn w:val="18"/>
    <w:link w:val="9"/>
    <w:semiHidden/>
    <w:qFormat/>
    <w:uiPriority w:val="99"/>
    <w:rPr>
      <w:rFonts w:ascii="等线" w:hAnsi="等线" w:eastAsia="等线" w:cs="Times New Roman"/>
      <w:sz w:val="18"/>
      <w:szCs w:val="18"/>
    </w:rPr>
  </w:style>
  <w:style w:type="character" w:customStyle="1" w:styleId="26">
    <w:name w:val="日期 字符"/>
    <w:basedOn w:val="18"/>
    <w:link w:val="8"/>
    <w:semiHidden/>
    <w:qFormat/>
    <w:uiPriority w:val="99"/>
    <w:rPr>
      <w:rFonts w:ascii="等线" w:hAnsi="等线" w:eastAsia="等线" w:cs="Times New Roman"/>
    </w:rPr>
  </w:style>
  <w:style w:type="paragraph" w:customStyle="1" w:styleId="27">
    <w:name w:val="正文1"/>
    <w:basedOn w:val="1"/>
    <w:qFormat/>
    <w:uiPriority w:val="0"/>
    <w:pPr>
      <w:spacing w:before="240" w:after="240" w:line="300" w:lineRule="auto"/>
      <w:ind w:firstLine="200" w:firstLineChars="200"/>
    </w:pPr>
    <w:rPr>
      <w:rFonts w:ascii="Times New Roman" w:hAnsi="Times New Roman" w:eastAsia="仿宋"/>
      <w:sz w:val="28"/>
      <w:szCs w:val="28"/>
    </w:rPr>
  </w:style>
  <w:style w:type="character" w:customStyle="1" w:styleId="28">
    <w:name w:val="标题 1 字符"/>
    <w:basedOn w:val="18"/>
    <w:link w:val="2"/>
    <w:qFormat/>
    <w:uiPriority w:val="9"/>
    <w:rPr>
      <w:rFonts w:ascii="宋体" w:hAnsi="宋体" w:eastAsia="宋体" w:cs="宋体"/>
      <w:b/>
      <w:bCs/>
      <w:kern w:val="44"/>
      <w:sz w:val="44"/>
      <w:szCs w:val="44"/>
    </w:rPr>
  </w:style>
  <w:style w:type="character" w:customStyle="1" w:styleId="29">
    <w:name w:val="标题 2 字符"/>
    <w:basedOn w:val="18"/>
    <w:link w:val="3"/>
    <w:qFormat/>
    <w:uiPriority w:val="9"/>
    <w:rPr>
      <w:rFonts w:asciiTheme="majorHAnsi" w:hAnsiTheme="majorHAnsi" w:eastAsiaTheme="majorEastAsia" w:cstheme="majorBidi"/>
      <w:b/>
      <w:bCs/>
      <w:kern w:val="0"/>
      <w:sz w:val="32"/>
      <w:szCs w:val="32"/>
    </w:rPr>
  </w:style>
  <w:style w:type="character" w:customStyle="1" w:styleId="30">
    <w:name w:val="标题 3 字符"/>
    <w:basedOn w:val="18"/>
    <w:link w:val="4"/>
    <w:qFormat/>
    <w:uiPriority w:val="9"/>
    <w:rPr>
      <w:rFonts w:ascii="等线" w:hAnsi="等线" w:eastAsia="等线" w:cs="Times New Roman"/>
      <w:b/>
      <w:bCs/>
      <w:sz w:val="32"/>
      <w:szCs w:val="32"/>
    </w:rPr>
  </w:style>
  <w:style w:type="character" w:customStyle="1" w:styleId="31">
    <w:name w:val="正文文本 字符"/>
    <w:basedOn w:val="18"/>
    <w:link w:val="6"/>
    <w:qFormat/>
    <w:uiPriority w:val="99"/>
    <w:rPr>
      <w:rFonts w:ascii="等线" w:hAnsi="等线" w:eastAsia="等线" w:cs="Times New Roman"/>
    </w:rPr>
  </w:style>
  <w:style w:type="character" w:customStyle="1" w:styleId="32">
    <w:name w:val="正文首行缩进 字符"/>
    <w:basedOn w:val="31"/>
    <w:link w:val="15"/>
    <w:qFormat/>
    <w:uiPriority w:val="0"/>
    <w:rPr>
      <w:rFonts w:ascii="Times New Roman" w:hAnsi="Times New Roman" w:eastAsia="楷体" w:cs="Times New Roman"/>
      <w:sz w:val="28"/>
      <w:szCs w:val="24"/>
    </w:rPr>
  </w:style>
  <w:style w:type="character" w:customStyle="1" w:styleId="33">
    <w:name w:val="font01"/>
    <w:basedOn w:val="18"/>
    <w:qFormat/>
    <w:uiPriority w:val="0"/>
    <w:rPr>
      <w:rFonts w:hint="eastAsia" w:ascii="宋体" w:hAnsi="宋体" w:eastAsia="宋体" w:cs="宋体"/>
      <w:color w:val="000000"/>
      <w:sz w:val="22"/>
      <w:szCs w:val="22"/>
      <w:u w:val="none"/>
    </w:rPr>
  </w:style>
  <w:style w:type="character" w:customStyle="1" w:styleId="34">
    <w:name w:val="font11"/>
    <w:basedOn w:val="18"/>
    <w:qFormat/>
    <w:uiPriority w:val="0"/>
    <w:rPr>
      <w:rFonts w:hint="eastAsia" w:ascii="宋体" w:hAnsi="宋体" w:eastAsia="宋体" w:cs="宋体"/>
      <w:color w:val="000000"/>
      <w:sz w:val="24"/>
      <w:szCs w:val="24"/>
      <w:u w:val="none"/>
    </w:rPr>
  </w:style>
  <w:style w:type="character" w:customStyle="1" w:styleId="35">
    <w:name w:val="font21"/>
    <w:basedOn w:val="18"/>
    <w:qFormat/>
    <w:uiPriority w:val="0"/>
    <w:rPr>
      <w:rFonts w:hint="default" w:ascii="Times New Roman" w:hAnsi="Times New Roman" w:cs="Times New Roman"/>
      <w:color w:val="000000"/>
      <w:sz w:val="18"/>
      <w:szCs w:val="18"/>
      <w:u w:val="none"/>
    </w:rPr>
  </w:style>
  <w:style w:type="character" w:customStyle="1" w:styleId="36">
    <w:name w:val="font31"/>
    <w:basedOn w:val="18"/>
    <w:qFormat/>
    <w:uiPriority w:val="0"/>
    <w:rPr>
      <w:rFonts w:hint="default" w:ascii="Times New Roman" w:hAnsi="Times New Roman" w:cs="Times New Roman"/>
      <w:color w:val="000000"/>
      <w:sz w:val="18"/>
      <w:szCs w:val="18"/>
      <w:u w:val="none"/>
    </w:rPr>
  </w:style>
  <w:style w:type="character" w:customStyle="1" w:styleId="37">
    <w:name w:val="font41"/>
    <w:basedOn w:val="18"/>
    <w:qFormat/>
    <w:uiPriority w:val="0"/>
    <w:rPr>
      <w:rFonts w:hint="eastAsia" w:ascii="宋体" w:hAnsi="宋体" w:eastAsia="宋体" w:cs="宋体"/>
      <w:b/>
      <w:color w:val="000000"/>
      <w:sz w:val="18"/>
      <w:szCs w:val="18"/>
      <w:u w:val="none"/>
    </w:rPr>
  </w:style>
  <w:style w:type="character" w:customStyle="1" w:styleId="38">
    <w:name w:val="font51"/>
    <w:basedOn w:val="18"/>
    <w:qFormat/>
    <w:uiPriority w:val="0"/>
    <w:rPr>
      <w:rFonts w:hint="eastAsia" w:ascii="宋体" w:hAnsi="宋体" w:eastAsia="宋体" w:cs="宋体"/>
      <w:color w:val="000000"/>
      <w:sz w:val="18"/>
      <w:szCs w:val="18"/>
      <w:u w:val="none"/>
    </w:rPr>
  </w:style>
  <w:style w:type="character" w:customStyle="1" w:styleId="39">
    <w:name w:val="font71"/>
    <w:basedOn w:val="18"/>
    <w:qFormat/>
    <w:uiPriority w:val="0"/>
    <w:rPr>
      <w:rFonts w:hint="eastAsia" w:ascii="宋体" w:hAnsi="宋体" w:eastAsia="宋体" w:cs="宋体"/>
      <w:color w:val="000000"/>
      <w:sz w:val="15"/>
      <w:szCs w:val="15"/>
      <w:u w:val="none"/>
    </w:rPr>
  </w:style>
  <w:style w:type="paragraph" w:customStyle="1" w:styleId="40">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1">
    <w:name w:val="脚注文本 字符"/>
    <w:basedOn w:val="18"/>
    <w:link w:val="13"/>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25</Pages>
  <Words>1785</Words>
  <Characters>10179</Characters>
  <Lines>84</Lines>
  <Paragraphs>23</Paragraphs>
  <TotalTime>45</TotalTime>
  <ScaleCrop>false</ScaleCrop>
  <LinksUpToDate>false</LinksUpToDate>
  <CharactersWithSpaces>11941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2023-03-08T19:12:00Z</dcterms:created>
  <dc:creator>liu zengli</dc:creator>
  <cp:lastModifiedBy>user</cp:lastModifiedBy>
  <cp:lastPrinted>2022-11-10T16:09:00Z</cp:lastPrinted>
  <dcterms:modified xsi:type="dcterms:W3CDTF">2023-03-29T12:46:12Z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344691556_embed</vt:lpwstr>
  </property>
  <property fmtid="{D5CDD505-2E9C-101B-9397-08002B2CF9AE}" pid="3" name="KSOProductBuildVer">
    <vt:lpwstr>2052-11.8.2.10386</vt:lpwstr>
  </property>
  <property fmtid="{D5CDD505-2E9C-101B-9397-08002B2CF9AE}" pid="4" name="ICV">
    <vt:lpwstr>E7716C2B3FCC4A3395F5E87FCB29E8DE</vt:lpwstr>
  </property>
</Properties>
</file>