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黑体" w:cs="微软雅黑"/>
          <w:b w:val="0"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w w:val="1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30"/>
          <w:w w:val="100"/>
          <w:sz w:val="44"/>
          <w:szCs w:val="44"/>
          <w:shd w:val="clear" w:fill="FFFFFF"/>
        </w:rPr>
        <w:t>环评告知承诺制建设项目批复办理程序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  <w:t>一、申请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项目建设前，建设单位将《建设项目环境影响报告书（表）》（报批版盖章纸质件、电子版光盘各1份；若有删除不宜公开信息内容的还须提供删减后的电子版光盘1份）、建设项目环境影响报告书公众参与说明（盖章纸质件、电子版光盘各1份，环境影响报告表不需要）、主要污染物总量控制指标来源证明文件（需纳入污染物总量或重金属总量控制实施范围的建设项目，盖章纸质件、电子版光盘各1份）和《建设项目环评告知承诺审批申请表》（盖章纸质件、电子版PDF格式原件各1份）（附件3）等要件报送至审批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  <w:t>二、受理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申请材料齐全的建设单位，环评审批部门予以受理；申请材料不齐全的，一次性告知建设单位需补正的内容和时限，逾期未补正的不予受理；明确不符合环评告知承诺制改革试点要求的建设项目，依法予以退回。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  <w:t>三、审批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环评审批部门受理后，并依法完成相关公示后（报告书、报告表受理和拟审批公示同步进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行，公示时间合并，分别为10个工作日、5个工作日），可不经评估、审查直接做出审批决定。（样本见附件4）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30"/>
          <w:sz w:val="32"/>
          <w:szCs w:val="32"/>
          <w:shd w:val="clear" w:fill="FFFFFF"/>
        </w:rPr>
        <w:t>四、公告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7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环评审批部门作出审批决定后，应将已作出告知承诺审批决定的建设项目进行公告，接受社会监督。涉及国家秘密、商业秘密、个人隐私，以及公开后可能危及国家安全、公共安全、经济安全、社会稳定的信息，不予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6381"/>
    <w:rsid w:val="0EA06381"/>
    <w:rsid w:val="1B0A436F"/>
    <w:rsid w:val="22F55D63"/>
    <w:rsid w:val="60437E08"/>
    <w:rsid w:val="7B6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2021-03-16T03:54:00Z</dcterms:created>
  <dc:creator>Administrator</dc:creator>
  <cp:lastModifiedBy>Administrator</cp:lastModifiedBy>
  <cp:lastPrinted>2021-03-23T04:24:51Z</cp:lastPrinted>
  <dcterms:modified xsi:type="dcterms:W3CDTF">2021-03-23T04:25:48Z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F9B3DE1445F84C8A963144A03E6DA835</vt:lpwstr>
  </property>
</Properties>
</file>