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和田地区统计局2021年度政府信息公开工作报告</w:t>
      </w:r>
    </w:p>
    <w:p>
      <w:pPr>
        <w:spacing w:line="480" w:lineRule="exact"/>
        <w:jc w:val="center"/>
        <w:rPr>
          <w:rFonts w:hint="eastAsia" w:ascii="方正仿宋简体" w:hAnsi="仿宋_GB2312" w:eastAsia="方正仿宋简体" w:cs="仿宋_GB2312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hint="eastAsia"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本报告根据《中华人民共和国政府信息公开条例》（以下简称《条例》）编制。全文包括政务公开工作总体情况，主动公开政府信息情况，收到和处理政府信息公开申请情况，政府信息公开行政复议、行政诉讼情况，存在的主要问题及改进情况，其他需要报告的事项6个部分，并附统计表。本报告所列数据统计期限为2021年1月1日至2021年12月31日。</w:t>
      </w:r>
    </w:p>
    <w:p>
      <w:pPr>
        <w:spacing w:line="480" w:lineRule="exact"/>
        <w:ind w:firstLine="640" w:firstLineChars="200"/>
        <w:rPr>
          <w:rFonts w:hint="eastAsia" w:ascii="方正仿宋简体" w:hAnsi="黑体" w:eastAsia="方正仿宋简体" w:cs="黑体"/>
          <w:sz w:val="32"/>
          <w:szCs w:val="32"/>
        </w:rPr>
      </w:pPr>
      <w:r>
        <w:rPr>
          <w:rFonts w:hint="eastAsia" w:ascii="方正仿宋简体" w:hAnsi="黑体" w:eastAsia="方正仿宋简体" w:cs="黑体"/>
          <w:sz w:val="32"/>
          <w:szCs w:val="32"/>
        </w:rPr>
        <w:t>一、总体情况</w:t>
      </w:r>
    </w:p>
    <w:p>
      <w:pPr>
        <w:spacing w:line="480" w:lineRule="exact"/>
        <w:ind w:firstLine="640" w:firstLineChars="200"/>
        <w:rPr>
          <w:rFonts w:hint="eastAsia"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2021年，在地委、行署的坚强领导下，地区统计局不断完善政府信息公开工作机制，规范信息公开内容、流程，增强信息公开实效，保障了人民群众知情权、参与权、表达权和监督权，发挥了统计信息对经济社会发展的服务保障作用。</w:t>
      </w:r>
    </w:p>
    <w:p>
      <w:pPr>
        <w:spacing w:line="480" w:lineRule="exact"/>
        <w:ind w:firstLine="643" w:firstLineChars="200"/>
        <w:rPr>
          <w:rFonts w:hint="eastAsia"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楷体_GB2312" w:eastAsia="方正仿宋简体" w:cs="楷体_GB2312"/>
          <w:b/>
          <w:bCs/>
          <w:sz w:val="32"/>
          <w:szCs w:val="32"/>
        </w:rPr>
        <w:t>（一）按进度公开统计数据。</w:t>
      </w:r>
      <w:r>
        <w:rPr>
          <w:rFonts w:hint="eastAsia" w:ascii="方正仿宋简体" w:hAnsi="仿宋_GB2312" w:eastAsia="方正仿宋简体" w:cs="仿宋_GB2312"/>
          <w:sz w:val="32"/>
          <w:szCs w:val="32"/>
        </w:rPr>
        <w:t>按月发布和田统计月报；发布2021年和田地区国民经济和社会发展统计公报。</w:t>
      </w:r>
    </w:p>
    <w:p>
      <w:pPr>
        <w:spacing w:line="480" w:lineRule="exact"/>
        <w:ind w:firstLine="643" w:firstLineChars="200"/>
        <w:rPr>
          <w:rFonts w:hint="eastAsia"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楷体_GB2312" w:eastAsia="方正仿宋简体" w:cs="楷体_GB2312"/>
          <w:b/>
          <w:bCs/>
          <w:sz w:val="32"/>
          <w:szCs w:val="32"/>
        </w:rPr>
        <w:t>（二）加强统计数据解读和回应关切。</w:t>
      </w:r>
      <w:r>
        <w:rPr>
          <w:rFonts w:hint="eastAsia" w:ascii="方正仿宋简体" w:hAnsi="仿宋_GB2312" w:eastAsia="方正仿宋简体" w:cs="仿宋_GB2312"/>
          <w:sz w:val="32"/>
          <w:szCs w:val="32"/>
        </w:rPr>
        <w:t>充分用好网站和新媒体宣传阵地，向社会公众发布地区经济运行情况，解读统计制度方法和数据生产过程，积极宣传统计法治精神，普及统计调查知识，回应社会关切。</w:t>
      </w:r>
    </w:p>
    <w:p>
      <w:pPr>
        <w:spacing w:line="480" w:lineRule="exact"/>
        <w:ind w:firstLine="643" w:firstLineChars="200"/>
        <w:rPr>
          <w:rFonts w:hint="eastAsia"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楷体_GB2312" w:eastAsia="方正仿宋简体" w:cs="楷体_GB2312"/>
          <w:b/>
          <w:bCs/>
          <w:sz w:val="32"/>
          <w:szCs w:val="32"/>
        </w:rPr>
        <w:t>（三）深入推进执行公开。</w:t>
      </w:r>
      <w:r>
        <w:rPr>
          <w:rFonts w:hint="eastAsia" w:ascii="方正仿宋简体" w:hAnsi="仿宋_GB2312" w:eastAsia="方正仿宋简体" w:cs="仿宋_GB2312"/>
          <w:sz w:val="32"/>
          <w:szCs w:val="32"/>
        </w:rPr>
        <w:t>坚持“公开为常态、不公开为例外”的原则，按照法律、法规和规章，结合“权</w:t>
      </w:r>
      <w:r>
        <w:rPr>
          <w:rFonts w:hint="eastAsia" w:ascii="方正仿宋简体" w:hAnsi="仿宋_GB2312" w:eastAsia="方正仿宋简体" w:cs="仿宋_GB2312"/>
          <w:sz w:val="32"/>
          <w:szCs w:val="32"/>
          <w:lang w:eastAsia="zh-CN"/>
        </w:rPr>
        <w:t>力</w:t>
      </w:r>
      <w:r>
        <w:rPr>
          <w:rFonts w:hint="eastAsia" w:ascii="方正仿宋简体" w:hAnsi="仿宋_GB2312" w:eastAsia="方正仿宋简体" w:cs="仿宋_GB2312"/>
          <w:sz w:val="32"/>
          <w:szCs w:val="32"/>
        </w:rPr>
        <w:t>清单”和“责任清单”的推进落实，将本局行政许可和行政处罚等信息规范、完整、清晰、准确地向社会公开，确保公示信息准确、合法、无遗漏。</w:t>
      </w:r>
    </w:p>
    <w:p>
      <w:pPr>
        <w:spacing w:line="480" w:lineRule="exact"/>
        <w:ind w:firstLine="643" w:firstLineChars="200"/>
        <w:rPr>
          <w:rFonts w:hint="eastAsia"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楷体_GB2312" w:eastAsia="方正仿宋简体" w:cs="楷体_GB2312"/>
          <w:b/>
          <w:bCs/>
          <w:sz w:val="32"/>
          <w:szCs w:val="32"/>
        </w:rPr>
        <w:t>（四）深化重点领域信息公开。</w:t>
      </w:r>
      <w:r>
        <w:rPr>
          <w:rFonts w:hint="eastAsia" w:ascii="方正仿宋简体" w:hAnsi="仿宋_GB2312" w:eastAsia="方正仿宋简体" w:cs="仿宋_GB2312"/>
          <w:sz w:val="32"/>
          <w:szCs w:val="32"/>
        </w:rPr>
        <w:t>持续完善行政许可、行政奖励等对外政务服务事项公开，及时维护好“国家企业信用信息平台”“双公示平台”等政务服务平台，确保信息公开的高质量与时效性。落实统计标准和统计调查项目信息公开，落实财政资金信息公开，严格按照《财政部关于深入推进地方预决算公开工作的通知》，及时主动公开</w:t>
      </w:r>
      <w:r>
        <w:rPr>
          <w:rFonts w:hint="eastAsia" w:ascii="方正仿宋简体" w:hAnsi="仿宋_GB2312" w:eastAsia="方正仿宋简体" w:cs="仿宋_GB2312"/>
          <w:sz w:val="32"/>
          <w:szCs w:val="32"/>
          <w:lang w:eastAsia="zh-CN"/>
        </w:rPr>
        <w:t>和田地区统计</w:t>
      </w:r>
      <w:r>
        <w:rPr>
          <w:rFonts w:hint="eastAsia" w:ascii="方正仿宋简体" w:hAnsi="仿宋_GB2312" w:eastAsia="方正仿宋简体" w:cs="仿宋_GB2312"/>
          <w:sz w:val="32"/>
          <w:szCs w:val="32"/>
        </w:rPr>
        <w:t>局财务预算、决算信息。</w:t>
      </w:r>
    </w:p>
    <w:p>
      <w:pPr>
        <w:spacing w:line="480" w:lineRule="exact"/>
        <w:ind w:firstLine="643" w:firstLineChars="200"/>
        <w:rPr>
          <w:rFonts w:hint="eastAsia"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楷体_GB2312" w:eastAsia="方正仿宋简体" w:cs="楷体_GB2312"/>
          <w:b/>
          <w:bCs/>
          <w:sz w:val="32"/>
          <w:szCs w:val="32"/>
        </w:rPr>
        <w:t>（五）优化政府信息公开平台。</w:t>
      </w:r>
      <w:r>
        <w:rPr>
          <w:rFonts w:hint="eastAsia" w:ascii="方正仿宋简体" w:hAnsi="仿宋_GB2312" w:eastAsia="方正仿宋简体" w:cs="仿宋_GB2312"/>
          <w:sz w:val="32"/>
          <w:szCs w:val="32"/>
        </w:rPr>
        <w:t>加强门户网站建设，完善门户网站版块及相关功能，协调软件开发公司对发布系统进行安全加固。配合推进政府网</w:t>
      </w:r>
      <w:bookmarkStart w:id="0" w:name="_GoBack"/>
      <w:bookmarkEnd w:id="0"/>
      <w:r>
        <w:rPr>
          <w:rFonts w:hint="eastAsia" w:ascii="方正仿宋简体" w:hAnsi="仿宋_GB2312" w:eastAsia="方正仿宋简体" w:cs="仿宋_GB2312"/>
          <w:sz w:val="32"/>
          <w:szCs w:val="32"/>
        </w:rPr>
        <w:t>站集约化建设,优化和重新设计栏目和页面，完成网上服务事项栏目调整,</w:t>
      </w:r>
      <w:r>
        <w:rPr>
          <w:rFonts w:hint="eastAsia" w:ascii="方正仿宋简体" w:hAnsi="仿宋_GB2312" w:eastAsia="仿宋_GB2312" w:cs="仿宋_GB2312"/>
          <w:sz w:val="32"/>
          <w:szCs w:val="32"/>
        </w:rPr>
        <w:t> </w:t>
      </w:r>
      <w:r>
        <w:rPr>
          <w:rFonts w:hint="eastAsia" w:ascii="方正仿宋简体" w:hAnsi="仿宋_GB2312" w:eastAsia="方正仿宋简体" w:cs="仿宋_GB2312"/>
          <w:sz w:val="32"/>
          <w:szCs w:val="32"/>
        </w:rPr>
        <w:t>整合服务事项。</w:t>
      </w:r>
    </w:p>
    <w:p>
      <w:pPr>
        <w:spacing w:line="520" w:lineRule="exact"/>
        <w:ind w:firstLine="640" w:firstLineChars="200"/>
        <w:rPr>
          <w:rFonts w:hint="eastAsia" w:ascii="方正仿宋简体" w:hAnsi="黑体" w:eastAsia="方正仿宋简体" w:cs="黑体"/>
          <w:sz w:val="32"/>
          <w:szCs w:val="32"/>
        </w:rPr>
      </w:pPr>
      <w:r>
        <w:rPr>
          <w:rFonts w:hint="eastAsia" w:ascii="方正仿宋简体" w:hAnsi="黑体" w:eastAsia="方正仿宋简体" w:cs="黑体"/>
          <w:sz w:val="32"/>
          <w:szCs w:val="32"/>
        </w:rPr>
        <w:t>二、主动公开政府信息情况 </w:t>
      </w:r>
    </w:p>
    <w:tbl>
      <w:tblPr>
        <w:tblStyle w:val="8"/>
        <w:tblW w:w="86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8"/>
        <w:gridCol w:w="1856"/>
        <w:gridCol w:w="1888"/>
        <w:gridCol w:w="2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8682" w:type="dxa"/>
            <w:gridSpan w:val="4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708" w:type="dxa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信息内容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本年</w:t>
            </w:r>
            <w:r>
              <w:rPr>
                <w:rFonts w:hint="eastAsia" w:ascii="方正仿宋简体" w:eastAsia="方正仿宋简体"/>
                <w:kern w:val="0"/>
                <w:sz w:val="24"/>
              </w:rPr>
              <w:t>制发件数</w:t>
            </w:r>
          </w:p>
        </w:tc>
        <w:tc>
          <w:tcPr>
            <w:tcW w:w="1888" w:type="dxa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本年废止件数</w:t>
            </w:r>
          </w:p>
        </w:tc>
        <w:tc>
          <w:tcPr>
            <w:tcW w:w="2230" w:type="dxa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708" w:type="dxa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规章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1888" w:type="dxa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2708" w:type="dxa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规范性文件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1888" w:type="dxa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82" w:type="dxa"/>
            <w:gridSpan w:val="4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  <w:jc w:val="center"/>
        </w:trPr>
        <w:tc>
          <w:tcPr>
            <w:tcW w:w="2708" w:type="dxa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信息内容</w:t>
            </w:r>
          </w:p>
        </w:tc>
        <w:tc>
          <w:tcPr>
            <w:tcW w:w="5974" w:type="dxa"/>
            <w:gridSpan w:val="3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2708" w:type="dxa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行政许可</w:t>
            </w:r>
          </w:p>
        </w:tc>
        <w:tc>
          <w:tcPr>
            <w:tcW w:w="5974" w:type="dxa"/>
            <w:gridSpan w:val="3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682" w:type="dxa"/>
            <w:gridSpan w:val="4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708" w:type="dxa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信息内容</w:t>
            </w:r>
          </w:p>
        </w:tc>
        <w:tc>
          <w:tcPr>
            <w:tcW w:w="5974" w:type="dxa"/>
            <w:gridSpan w:val="3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2708" w:type="dxa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行政处罚</w:t>
            </w:r>
          </w:p>
        </w:tc>
        <w:tc>
          <w:tcPr>
            <w:tcW w:w="5974" w:type="dxa"/>
            <w:gridSpan w:val="3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2708" w:type="dxa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行政强制</w:t>
            </w:r>
          </w:p>
        </w:tc>
        <w:tc>
          <w:tcPr>
            <w:tcW w:w="5974" w:type="dxa"/>
            <w:gridSpan w:val="3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682" w:type="dxa"/>
            <w:gridSpan w:val="4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708" w:type="dxa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信息内容</w:t>
            </w:r>
          </w:p>
        </w:tc>
        <w:tc>
          <w:tcPr>
            <w:tcW w:w="5974" w:type="dxa"/>
            <w:gridSpan w:val="3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2708" w:type="dxa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行政事业性收费</w:t>
            </w:r>
          </w:p>
        </w:tc>
        <w:tc>
          <w:tcPr>
            <w:tcW w:w="5974" w:type="dxa"/>
            <w:gridSpan w:val="3"/>
            <w:shd w:val="clear" w:color="auto" w:fill="auto"/>
            <w:vAlign w:val="center"/>
          </w:tcPr>
          <w:p>
            <w:pPr>
              <w:widowControl/>
              <w:spacing w:after="144"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</w:tr>
    </w:tbl>
    <w:p>
      <w:pPr>
        <w:spacing w:line="520" w:lineRule="exact"/>
        <w:ind w:firstLine="640" w:firstLineChars="200"/>
        <w:rPr>
          <w:rFonts w:hint="eastAsia" w:ascii="方正仿宋简体" w:hAnsi="黑体" w:eastAsia="方正仿宋简体" w:cs="黑体"/>
          <w:sz w:val="32"/>
          <w:szCs w:val="32"/>
        </w:rPr>
      </w:pPr>
      <w:r>
        <w:rPr>
          <w:rFonts w:hint="eastAsia" w:ascii="方正仿宋简体" w:hAnsi="黑体" w:eastAsia="方正仿宋简体" w:cs="黑体"/>
          <w:sz w:val="32"/>
          <w:szCs w:val="32"/>
        </w:rPr>
        <w:t>三、收到和处理政府信息公开申请情况 </w:t>
      </w:r>
    </w:p>
    <w:tbl>
      <w:tblPr>
        <w:tblStyle w:val="8"/>
        <w:tblW w:w="8956" w:type="dxa"/>
        <w:jc w:val="center"/>
        <w:tblInd w:w="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7"/>
        <w:gridCol w:w="878"/>
        <w:gridCol w:w="3377"/>
        <w:gridCol w:w="456"/>
        <w:gridCol w:w="707"/>
        <w:gridCol w:w="707"/>
        <w:gridCol w:w="706"/>
        <w:gridCol w:w="719"/>
        <w:gridCol w:w="453"/>
        <w:gridCol w:w="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4752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4204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2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45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自然人</w:t>
            </w:r>
          </w:p>
        </w:tc>
        <w:tc>
          <w:tcPr>
            <w:tcW w:w="3292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法人或其他组织</w:t>
            </w:r>
          </w:p>
        </w:tc>
        <w:tc>
          <w:tcPr>
            <w:tcW w:w="45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4752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45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商业企业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科研机构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社会公益组织</w:t>
            </w:r>
          </w:p>
        </w:tc>
        <w:tc>
          <w:tcPr>
            <w:tcW w:w="71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法律服务机构</w:t>
            </w:r>
          </w:p>
        </w:tc>
        <w:tc>
          <w:tcPr>
            <w:tcW w:w="45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其他</w:t>
            </w:r>
          </w:p>
        </w:tc>
        <w:tc>
          <w:tcPr>
            <w:tcW w:w="45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4752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一、本年新收政府信息公开申请数量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71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45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2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二、上年结转政府信息公开申请数量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71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45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497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三、本年度办理结果</w:t>
            </w:r>
          </w:p>
        </w:tc>
        <w:tc>
          <w:tcPr>
            <w:tcW w:w="4255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楷体" w:eastAsia="方正仿宋简体" w:cs="楷体"/>
                <w:kern w:val="0"/>
                <w:sz w:val="24"/>
              </w:rPr>
              <w:t>（一）予以公开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71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45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4255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楷体" w:eastAsia="方正仿宋简体" w:cs="楷体"/>
                <w:kern w:val="0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71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45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87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楷体" w:eastAsia="方正仿宋简体" w:cs="楷体"/>
                <w:kern w:val="0"/>
                <w:sz w:val="24"/>
              </w:rPr>
              <w:t>（三）不予公开</w:t>
            </w: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楷体" w:eastAsia="方正仿宋简体" w:cs="楷体"/>
                <w:kern w:val="0"/>
                <w:sz w:val="24"/>
              </w:rPr>
              <w:t>1.属于国家秘密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71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45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87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楷体" w:eastAsia="方正仿宋简体" w:cs="楷体"/>
                <w:kern w:val="0"/>
                <w:sz w:val="24"/>
              </w:rPr>
              <w:t>2.其他法律行政法规禁止公开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71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45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87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楷体" w:eastAsia="方正仿宋简体" w:cs="楷体"/>
                <w:kern w:val="0"/>
                <w:sz w:val="24"/>
              </w:rPr>
              <w:t>3.危及“三安全一稳定”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71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45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87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楷体" w:eastAsia="方正仿宋简体" w:cs="楷体"/>
                <w:kern w:val="0"/>
                <w:sz w:val="24"/>
              </w:rPr>
              <w:t>4.保护第三方合法权益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71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45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87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楷体" w:eastAsia="方正仿宋简体" w:cs="楷体"/>
                <w:kern w:val="0"/>
                <w:sz w:val="24"/>
              </w:rPr>
              <w:t>5.属于三类内部事务信息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71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45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87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楷体" w:eastAsia="方正仿宋简体" w:cs="楷体"/>
                <w:kern w:val="0"/>
                <w:sz w:val="24"/>
              </w:rPr>
              <w:t>6.属于四类过程性信息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71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45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87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楷体" w:eastAsia="方正仿宋简体" w:cs="楷体"/>
                <w:kern w:val="0"/>
                <w:sz w:val="24"/>
              </w:rPr>
              <w:t>7.属于行政执法案卷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71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45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87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楷体" w:eastAsia="方正仿宋简体" w:cs="楷体"/>
                <w:kern w:val="0"/>
                <w:sz w:val="24"/>
              </w:rPr>
              <w:t>8.属于行政查询事项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71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45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87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楷体" w:eastAsia="方正仿宋简体" w:cs="楷体"/>
                <w:kern w:val="0"/>
                <w:sz w:val="24"/>
              </w:rPr>
              <w:t>（四）无法提供</w:t>
            </w: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楷体" w:eastAsia="方正仿宋简体" w:cs="楷体"/>
                <w:kern w:val="0"/>
                <w:sz w:val="24"/>
              </w:rPr>
              <w:t>1.本机关不掌握相关政府信息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71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45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87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楷体" w:eastAsia="方正仿宋简体" w:cs="楷体"/>
                <w:kern w:val="0"/>
                <w:sz w:val="24"/>
              </w:rPr>
              <w:t>2.没有现成信息需要另行制作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71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45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87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楷体" w:eastAsia="方正仿宋简体" w:cs="楷体"/>
                <w:kern w:val="0"/>
                <w:sz w:val="24"/>
              </w:rPr>
              <w:t>3.补正后申请内容仍不明确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71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45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87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楷体" w:eastAsia="方正仿宋简体" w:cs="楷体"/>
                <w:kern w:val="0"/>
                <w:sz w:val="24"/>
              </w:rPr>
              <w:t>（五）不予处理</w:t>
            </w: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楷体" w:eastAsia="方正仿宋简体" w:cs="楷体"/>
                <w:kern w:val="0"/>
                <w:sz w:val="24"/>
              </w:rPr>
              <w:t>1.信访举报投诉类申请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71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45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87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楷体" w:eastAsia="方正仿宋简体" w:cs="楷体"/>
                <w:kern w:val="0"/>
                <w:sz w:val="24"/>
              </w:rPr>
              <w:t>2.重复申请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71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45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87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楷体" w:eastAsia="方正仿宋简体" w:cs="楷体"/>
                <w:kern w:val="0"/>
                <w:sz w:val="24"/>
              </w:rPr>
              <w:t>3.要求提供公开出版物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71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45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87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37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楷体" w:eastAsia="方正仿宋简体" w:cs="楷体"/>
                <w:kern w:val="0"/>
                <w:sz w:val="24"/>
              </w:rPr>
              <w:t>4.无正当理由大量反复申请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71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45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878" w:type="dxa"/>
            <w:vMerge w:val="continue"/>
            <w:tcBorders>
              <w:bottom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377" w:type="dxa"/>
            <w:tcBorders>
              <w:bottom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楷体" w:eastAsia="方正仿宋简体" w:cs="楷体"/>
                <w:kern w:val="0"/>
                <w:sz w:val="24"/>
              </w:rPr>
              <w:t>5.要求行政机关确认或重新出具已获取信息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71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45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497" w:type="dxa"/>
            <w:vMerge w:val="continue"/>
            <w:tcBorders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8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楷体" w:eastAsia="方正仿宋简体" w:cs="楷体"/>
                <w:kern w:val="0"/>
                <w:sz w:val="24"/>
              </w:rPr>
              <w:t>（六）其他处理</w:t>
            </w:r>
          </w:p>
        </w:tc>
        <w:tc>
          <w:tcPr>
            <w:tcW w:w="33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方正仿宋简体" w:hAnsi="楷体" w:eastAsia="方正仿宋简体" w:cs="楷体"/>
                <w:kern w:val="0"/>
                <w:sz w:val="24"/>
              </w:rPr>
            </w:pPr>
            <w:r>
              <w:rPr>
                <w:rFonts w:hint="eastAsia" w:ascii="方正仿宋简体" w:hAnsi="楷体" w:eastAsia="方正仿宋简体" w:cs="楷体"/>
                <w:kern w:val="0"/>
                <w:sz w:val="24"/>
              </w:rPr>
              <w:t>1.申请人无正当理由逾期不补正、行政机关不再处理其政府信息公开申请</w:t>
            </w:r>
          </w:p>
        </w:tc>
        <w:tc>
          <w:tcPr>
            <w:tcW w:w="456" w:type="dxa"/>
            <w:tcBorders>
              <w:lef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71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45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7" w:type="dxa"/>
            <w:vMerge w:val="continue"/>
            <w:tcBorders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方正仿宋简体" w:hAnsi="楷体" w:eastAsia="方正仿宋简体" w:cs="楷体"/>
                <w:kern w:val="0"/>
                <w:sz w:val="24"/>
              </w:rPr>
            </w:pPr>
          </w:p>
        </w:tc>
        <w:tc>
          <w:tcPr>
            <w:tcW w:w="3377" w:type="dxa"/>
            <w:tcBorders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方正仿宋简体" w:hAnsi="楷体" w:eastAsia="方正仿宋简体" w:cs="楷体"/>
                <w:kern w:val="0"/>
                <w:sz w:val="24"/>
              </w:rPr>
            </w:pPr>
            <w:r>
              <w:rPr>
                <w:rFonts w:hint="eastAsia" w:ascii="方正仿宋简体" w:hAnsi="楷体" w:eastAsia="方正仿宋简体" w:cs="楷体"/>
                <w:kern w:val="0"/>
                <w:sz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456" w:type="dxa"/>
            <w:tcBorders>
              <w:lef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 w:cs="Calibri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 w:cs="Calibri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 w:cs="Calibri"/>
                <w:kern w:val="0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 w:cs="Calibri"/>
                <w:kern w:val="0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71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 w:cs="Calibri"/>
                <w:kern w:val="0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45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 w:cs="Calibri"/>
                <w:kern w:val="0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 w:cs="Calibri"/>
                <w:kern w:val="0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7" w:type="dxa"/>
            <w:vMerge w:val="continue"/>
            <w:tcBorders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8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方正仿宋简体" w:hAnsi="楷体" w:eastAsia="方正仿宋简体" w:cs="楷体"/>
                <w:kern w:val="0"/>
                <w:sz w:val="24"/>
              </w:rPr>
            </w:pPr>
          </w:p>
        </w:tc>
        <w:tc>
          <w:tcPr>
            <w:tcW w:w="33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方正仿宋简体" w:hAnsi="楷体" w:eastAsia="方正仿宋简体" w:cs="楷体"/>
                <w:kern w:val="0"/>
                <w:sz w:val="24"/>
              </w:rPr>
            </w:pPr>
            <w:r>
              <w:rPr>
                <w:rFonts w:hint="eastAsia" w:ascii="方正仿宋简体" w:hAnsi="楷体" w:eastAsia="方正仿宋简体" w:cs="楷体"/>
                <w:kern w:val="0"/>
                <w:sz w:val="24"/>
              </w:rPr>
              <w:t>3.其他</w:t>
            </w:r>
          </w:p>
        </w:tc>
        <w:tc>
          <w:tcPr>
            <w:tcW w:w="456" w:type="dxa"/>
            <w:tcBorders>
              <w:lef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 w:cs="Calibri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 w:cs="Calibri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 w:cs="Calibri"/>
                <w:kern w:val="0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 w:cs="Calibri"/>
                <w:kern w:val="0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71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 w:cs="Calibri"/>
                <w:kern w:val="0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45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 w:cs="Calibri"/>
                <w:kern w:val="0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 w:cs="Calibri"/>
                <w:kern w:val="0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  <w:jc w:val="center"/>
        </w:trPr>
        <w:tc>
          <w:tcPr>
            <w:tcW w:w="49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4255" w:type="dxa"/>
            <w:gridSpan w:val="2"/>
            <w:tcBorders>
              <w:top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楷体" w:eastAsia="方正仿宋简体" w:cs="楷体"/>
                <w:kern w:val="0"/>
                <w:sz w:val="24"/>
              </w:rPr>
              <w:t>（七）总计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71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45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2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lef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四、结转下年度继续办理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70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71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45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  <w:tc>
          <w:tcPr>
            <w:tcW w:w="45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44"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 w:cs="Calibri"/>
                <w:kern w:val="0"/>
                <w:sz w:val="24"/>
              </w:rPr>
              <w:t>0</w:t>
            </w:r>
            <w:r>
              <w:rPr>
                <w:rFonts w:hint="eastAsia" w:eastAsia="方正仿宋简体" w:cs="Calibri"/>
                <w:kern w:val="0"/>
                <w:sz w:val="24"/>
              </w:rPr>
              <w:t> </w:t>
            </w:r>
          </w:p>
        </w:tc>
      </w:tr>
    </w:tbl>
    <w:p>
      <w:pPr>
        <w:spacing w:line="520" w:lineRule="exact"/>
        <w:ind w:firstLine="640" w:firstLineChars="200"/>
        <w:rPr>
          <w:rFonts w:hint="eastAsia" w:ascii="方正仿宋简体" w:hAnsi="黑体" w:eastAsia="方正仿宋简体" w:cs="黑体"/>
          <w:sz w:val="32"/>
          <w:szCs w:val="32"/>
        </w:rPr>
      </w:pPr>
      <w:r>
        <w:rPr>
          <w:rFonts w:hint="eastAsia" w:ascii="方正仿宋简体" w:hAnsi="黑体" w:eastAsia="方正仿宋简体" w:cs="黑体"/>
          <w:sz w:val="32"/>
          <w:szCs w:val="32"/>
        </w:rPr>
        <w:t>四、政府信息公开行政复议、行政诉讼情况</w:t>
      </w:r>
    </w:p>
    <w:tbl>
      <w:tblPr>
        <w:tblStyle w:val="8"/>
        <w:tblW w:w="8931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6"/>
        <w:gridCol w:w="600"/>
        <w:gridCol w:w="700"/>
        <w:gridCol w:w="375"/>
        <w:gridCol w:w="538"/>
        <w:gridCol w:w="675"/>
        <w:gridCol w:w="512"/>
        <w:gridCol w:w="550"/>
        <w:gridCol w:w="588"/>
        <w:gridCol w:w="525"/>
        <w:gridCol w:w="705"/>
        <w:gridCol w:w="470"/>
        <w:gridCol w:w="700"/>
        <w:gridCol w:w="512"/>
        <w:gridCol w:w="82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69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ind w:firstLine="420"/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hAnsi="微软雅黑" w:eastAsia="方正仿宋简体" w:cs="微软雅黑"/>
                <w:color w:val="333333"/>
                <w:sz w:val="16"/>
                <w:szCs w:val="16"/>
              </w:rPr>
              <w:t>行政复议</w:t>
            </w:r>
          </w:p>
        </w:tc>
        <w:tc>
          <w:tcPr>
            <w:tcW w:w="6062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ind w:firstLine="420"/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hAnsi="微软雅黑" w:eastAsia="方正仿宋简体" w:cs="微软雅黑"/>
                <w:color w:val="333333"/>
                <w:sz w:val="16"/>
                <w:szCs w:val="16"/>
              </w:rPr>
              <w:t>行政诉讼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jc w:val="both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hAnsi="微软雅黑" w:eastAsia="方正仿宋简体" w:cs="微软雅黑"/>
                <w:color w:val="333333"/>
                <w:sz w:val="16"/>
                <w:szCs w:val="16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jc w:val="both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hAnsi="微软雅黑" w:eastAsia="方正仿宋简体" w:cs="微软雅黑"/>
                <w:color w:val="333333"/>
                <w:sz w:val="16"/>
                <w:szCs w:val="16"/>
              </w:rPr>
              <w:t>结果纠正</w:t>
            </w:r>
          </w:p>
        </w:tc>
        <w:tc>
          <w:tcPr>
            <w:tcW w:w="7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jc w:val="both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hAnsi="微软雅黑" w:eastAsia="方正仿宋简体" w:cs="微软雅黑"/>
                <w:color w:val="333333"/>
                <w:sz w:val="16"/>
                <w:szCs w:val="16"/>
              </w:rPr>
              <w:t>其他结果</w:t>
            </w:r>
          </w:p>
        </w:tc>
        <w:tc>
          <w:tcPr>
            <w:tcW w:w="3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jc w:val="both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hAnsi="微软雅黑" w:eastAsia="方正仿宋简体" w:cs="微软雅黑"/>
                <w:color w:val="333333"/>
                <w:sz w:val="16"/>
                <w:szCs w:val="16"/>
              </w:rPr>
              <w:t>尚未审结</w:t>
            </w:r>
          </w:p>
        </w:tc>
        <w:tc>
          <w:tcPr>
            <w:tcW w:w="53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jc w:val="both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hAnsi="微软雅黑" w:eastAsia="方正仿宋简体" w:cs="微软雅黑"/>
                <w:color w:val="333333"/>
                <w:sz w:val="16"/>
                <w:szCs w:val="16"/>
              </w:rPr>
              <w:t>总计</w:t>
            </w:r>
          </w:p>
        </w:tc>
        <w:tc>
          <w:tcPr>
            <w:tcW w:w="285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ind w:firstLine="420"/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hAnsi="微软雅黑" w:eastAsia="方正仿宋简体" w:cs="微软雅黑"/>
                <w:color w:val="333333"/>
                <w:sz w:val="16"/>
                <w:szCs w:val="16"/>
              </w:rPr>
              <w:t>未经复议直接起诉</w:t>
            </w:r>
          </w:p>
        </w:tc>
        <w:tc>
          <w:tcPr>
            <w:tcW w:w="321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ind w:firstLine="420"/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hAnsi="微软雅黑" w:eastAsia="方正仿宋简体" w:cs="微软雅黑"/>
                <w:color w:val="333333"/>
                <w:sz w:val="16"/>
                <w:szCs w:val="16"/>
              </w:rPr>
              <w:t>复议后起诉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简体" w:hAnsi="微软雅黑" w:eastAsia="方正仿宋简体" w:cs="微软雅黑"/>
                <w:color w:val="333333"/>
                <w:sz w:val="16"/>
                <w:szCs w:val="16"/>
              </w:rPr>
            </w:pPr>
          </w:p>
        </w:tc>
        <w:tc>
          <w:tcPr>
            <w:tcW w:w="6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简体" w:hAnsi="微软雅黑" w:eastAsia="方正仿宋简体" w:cs="微软雅黑"/>
                <w:color w:val="333333"/>
                <w:sz w:val="16"/>
                <w:szCs w:val="16"/>
              </w:rPr>
            </w:pPr>
          </w:p>
        </w:tc>
        <w:tc>
          <w:tcPr>
            <w:tcW w:w="7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简体" w:hAnsi="微软雅黑" w:eastAsia="方正仿宋简体" w:cs="微软雅黑"/>
                <w:color w:val="333333"/>
                <w:sz w:val="16"/>
                <w:szCs w:val="16"/>
              </w:rPr>
            </w:pPr>
          </w:p>
        </w:tc>
        <w:tc>
          <w:tcPr>
            <w:tcW w:w="3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简体" w:hAnsi="微软雅黑" w:eastAsia="方正仿宋简体" w:cs="微软雅黑"/>
                <w:color w:val="333333"/>
                <w:sz w:val="16"/>
                <w:szCs w:val="16"/>
              </w:rPr>
            </w:pPr>
          </w:p>
        </w:tc>
        <w:tc>
          <w:tcPr>
            <w:tcW w:w="53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方正仿宋简体" w:hAnsi="微软雅黑" w:eastAsia="方正仿宋简体" w:cs="微软雅黑"/>
                <w:color w:val="333333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jc w:val="both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hAnsi="微软雅黑" w:eastAsia="方正仿宋简体" w:cs="微软雅黑"/>
                <w:color w:val="333333"/>
                <w:sz w:val="16"/>
                <w:szCs w:val="16"/>
              </w:rPr>
              <w:t>结果维持</w:t>
            </w:r>
          </w:p>
        </w:tc>
        <w:tc>
          <w:tcPr>
            <w:tcW w:w="5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jc w:val="both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hAnsi="微软雅黑" w:eastAsia="方正仿宋简体" w:cs="微软雅黑"/>
                <w:color w:val="333333"/>
                <w:sz w:val="16"/>
                <w:szCs w:val="16"/>
              </w:rPr>
              <w:t>结果纠正</w:t>
            </w:r>
          </w:p>
        </w:tc>
        <w:tc>
          <w:tcPr>
            <w:tcW w:w="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jc w:val="both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hAnsi="微软雅黑" w:eastAsia="方正仿宋简体" w:cs="微软雅黑"/>
                <w:color w:val="333333"/>
                <w:sz w:val="16"/>
                <w:szCs w:val="16"/>
              </w:rPr>
              <w:t>其他结果</w:t>
            </w:r>
          </w:p>
        </w:tc>
        <w:tc>
          <w:tcPr>
            <w:tcW w:w="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jc w:val="both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hAnsi="微软雅黑" w:eastAsia="方正仿宋简体" w:cs="微软雅黑"/>
                <w:color w:val="333333"/>
                <w:sz w:val="16"/>
                <w:szCs w:val="16"/>
              </w:rPr>
              <w:t>尚未审结</w:t>
            </w:r>
          </w:p>
        </w:tc>
        <w:tc>
          <w:tcPr>
            <w:tcW w:w="5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jc w:val="both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hAnsi="微软雅黑" w:eastAsia="方正仿宋简体" w:cs="微软雅黑"/>
                <w:color w:val="333333"/>
                <w:sz w:val="16"/>
                <w:szCs w:val="16"/>
              </w:rPr>
              <w:t>总计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jc w:val="both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hAnsi="微软雅黑" w:eastAsia="方正仿宋简体" w:cs="微软雅黑"/>
                <w:color w:val="333333"/>
                <w:sz w:val="16"/>
                <w:szCs w:val="16"/>
              </w:rPr>
              <w:t>结果维持</w:t>
            </w:r>
          </w:p>
        </w:tc>
        <w:tc>
          <w:tcPr>
            <w:tcW w:w="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jc w:val="both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hAnsi="微软雅黑" w:eastAsia="方正仿宋简体" w:cs="微软雅黑"/>
                <w:color w:val="333333"/>
                <w:sz w:val="16"/>
                <w:szCs w:val="16"/>
              </w:rPr>
              <w:t>结果纠正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jc w:val="both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hAnsi="微软雅黑" w:eastAsia="方正仿宋简体" w:cs="微软雅黑"/>
                <w:color w:val="333333"/>
                <w:sz w:val="16"/>
                <w:szCs w:val="16"/>
              </w:rPr>
              <w:t>其他结果</w:t>
            </w:r>
          </w:p>
        </w:tc>
        <w:tc>
          <w:tcPr>
            <w:tcW w:w="5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jc w:val="both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hAnsi="微软雅黑" w:eastAsia="方正仿宋简体" w:cs="微软雅黑"/>
                <w:color w:val="333333"/>
                <w:sz w:val="16"/>
                <w:szCs w:val="16"/>
              </w:rPr>
              <w:t>尚未审结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jc w:val="both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hAnsi="微软雅黑" w:eastAsia="方正仿宋简体" w:cs="微软雅黑"/>
                <w:color w:val="333333"/>
                <w:sz w:val="16"/>
                <w:szCs w:val="16"/>
              </w:rPr>
              <w:t>总计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ind w:firstLine="420"/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hAnsi="微软雅黑" w:eastAsia="方正仿宋简体" w:cs="微软雅黑"/>
                <w:color w:val="333333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ind w:firstLine="420"/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hAnsi="微软雅黑" w:eastAsia="方正仿宋简体" w:cs="微软雅黑"/>
                <w:color w:val="333333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ind w:firstLine="420"/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hAnsi="微软雅黑" w:eastAsia="方正仿宋简体" w:cs="微软雅黑"/>
                <w:color w:val="333333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ind w:firstLine="420"/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hAnsi="微软雅黑" w:eastAsia="方正仿宋简体" w:cs="微软雅黑"/>
                <w:color w:val="333333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ind w:firstLine="420"/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hAnsi="微软雅黑" w:eastAsia="方正仿宋简体" w:cs="微软雅黑"/>
                <w:color w:val="333333"/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ind w:firstLine="420"/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hAnsi="微软雅黑" w:eastAsia="方正仿宋简体" w:cs="微软雅黑"/>
                <w:color w:val="333333"/>
                <w:sz w:val="16"/>
                <w:szCs w:val="16"/>
              </w:rPr>
              <w:t>0</w:t>
            </w:r>
          </w:p>
        </w:tc>
        <w:tc>
          <w:tcPr>
            <w:tcW w:w="5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ind w:firstLine="420"/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hAnsi="微软雅黑" w:eastAsia="方正仿宋简体" w:cs="微软雅黑"/>
                <w:color w:val="333333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ind w:firstLine="420"/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hAnsi="微软雅黑" w:eastAsia="方正仿宋简体" w:cs="微软雅黑"/>
                <w:color w:val="333333"/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ind w:firstLine="420"/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hAnsi="微软雅黑" w:eastAsia="方正仿宋简体" w:cs="微软雅黑"/>
                <w:color w:val="333333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ind w:firstLine="420"/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hAnsi="微软雅黑" w:eastAsia="方正仿宋简体" w:cs="微软雅黑"/>
                <w:color w:val="333333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ind w:firstLine="420"/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hAnsi="微软雅黑" w:eastAsia="方正仿宋简体" w:cs="微软雅黑"/>
                <w:color w:val="333333"/>
                <w:sz w:val="16"/>
                <w:szCs w:val="16"/>
              </w:rPr>
              <w:t>0</w:t>
            </w:r>
          </w:p>
        </w:tc>
        <w:tc>
          <w:tcPr>
            <w:tcW w:w="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ind w:firstLine="420"/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hAnsi="微软雅黑" w:eastAsia="方正仿宋简体" w:cs="微软雅黑"/>
                <w:color w:val="333333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ind w:firstLine="420"/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hAnsi="微软雅黑" w:eastAsia="方正仿宋简体" w:cs="微软雅黑"/>
                <w:color w:val="333333"/>
                <w:sz w:val="16"/>
                <w:szCs w:val="16"/>
              </w:rPr>
              <w:t>0</w:t>
            </w:r>
          </w:p>
        </w:tc>
        <w:tc>
          <w:tcPr>
            <w:tcW w:w="5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ind w:firstLine="420"/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hAnsi="微软雅黑" w:eastAsia="方正仿宋简体" w:cs="微软雅黑"/>
                <w:color w:val="333333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17" w:lineRule="atLeast"/>
              <w:ind w:firstLine="420"/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hAnsi="微软雅黑" w:eastAsia="方正仿宋简体" w:cs="微软雅黑"/>
                <w:color w:val="333333"/>
                <w:sz w:val="16"/>
                <w:szCs w:val="16"/>
              </w:rPr>
              <w:t>0</w:t>
            </w:r>
          </w:p>
        </w:tc>
      </w:tr>
    </w:tbl>
    <w:p>
      <w:pPr>
        <w:spacing w:line="480" w:lineRule="exact"/>
        <w:ind w:firstLine="640" w:firstLineChars="200"/>
        <w:rPr>
          <w:rFonts w:hint="eastAsia" w:ascii="方正仿宋简体" w:hAnsi="黑体" w:eastAsia="方正仿宋简体" w:cs="黑体"/>
          <w:sz w:val="32"/>
          <w:szCs w:val="32"/>
        </w:rPr>
      </w:pPr>
      <w:r>
        <w:rPr>
          <w:rFonts w:hint="eastAsia" w:ascii="方正仿宋简体" w:hAnsi="黑体" w:eastAsia="方正仿宋简体" w:cs="黑体"/>
          <w:sz w:val="32"/>
          <w:szCs w:val="32"/>
        </w:rPr>
        <w:t>五、政府信息公开工作存在的主要问题及改进情况</w:t>
      </w:r>
    </w:p>
    <w:p>
      <w:pPr>
        <w:spacing w:line="480" w:lineRule="exact"/>
        <w:ind w:firstLine="640" w:firstLineChars="200"/>
        <w:rPr>
          <w:rFonts w:hint="eastAsia"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2021年，和田地区统计局政府信息公开工作按照有关要求有序推进，取得了积极成效，但还存在一些不足。</w:t>
      </w:r>
      <w:r>
        <w:rPr>
          <w:rFonts w:hint="eastAsia" w:ascii="方正仿宋简体" w:hAnsi="仿宋_GB2312" w:eastAsia="方正仿宋简体" w:cs="仿宋_GB2312"/>
          <w:b/>
          <w:bCs/>
          <w:sz w:val="32"/>
          <w:szCs w:val="32"/>
        </w:rPr>
        <w:t>一是</w:t>
      </w:r>
      <w:r>
        <w:rPr>
          <w:rFonts w:hint="eastAsia" w:ascii="方正仿宋简体" w:hAnsi="仿宋_GB2312" w:eastAsia="方正仿宋简体" w:cs="仿宋_GB2312"/>
          <w:sz w:val="32"/>
          <w:szCs w:val="32"/>
        </w:rPr>
        <w:t>主动公开的内容不够丰富，实效性有待加强，公开的深度和广度需要进一步拓展。</w:t>
      </w:r>
      <w:r>
        <w:rPr>
          <w:rFonts w:hint="eastAsia" w:ascii="方正仿宋简体" w:hAnsi="仿宋_GB2312" w:eastAsia="方正仿宋简体" w:cs="仿宋_GB2312"/>
          <w:b/>
          <w:bCs/>
          <w:sz w:val="32"/>
          <w:szCs w:val="32"/>
        </w:rPr>
        <w:t>二是</w:t>
      </w:r>
      <w:r>
        <w:rPr>
          <w:rFonts w:hint="eastAsia" w:ascii="方正仿宋简体" w:hAnsi="仿宋_GB2312" w:eastAsia="方正仿宋简体" w:cs="仿宋_GB2312"/>
          <w:sz w:val="32"/>
          <w:szCs w:val="32"/>
        </w:rPr>
        <w:t>政务信息公开的形式不够丰富，新媒体的作用发挥还不够充分。</w:t>
      </w:r>
      <w:r>
        <w:rPr>
          <w:rFonts w:hint="eastAsia" w:ascii="方正仿宋简体" w:hAnsi="仿宋_GB2312" w:eastAsia="方正仿宋简体" w:cs="仿宋_GB2312"/>
          <w:b/>
          <w:bCs/>
          <w:sz w:val="32"/>
          <w:szCs w:val="32"/>
        </w:rPr>
        <w:t>三是</w:t>
      </w:r>
      <w:r>
        <w:rPr>
          <w:rFonts w:hint="eastAsia" w:ascii="方正仿宋简体" w:hAnsi="仿宋_GB2312" w:eastAsia="方正仿宋简体" w:cs="仿宋_GB2312"/>
          <w:sz w:val="32"/>
          <w:szCs w:val="32"/>
        </w:rPr>
        <w:t>信息发布还不够及时，特别是信息解读做的还不够。</w:t>
      </w:r>
    </w:p>
    <w:p>
      <w:pPr>
        <w:spacing w:line="480" w:lineRule="exact"/>
        <w:ind w:firstLine="640" w:firstLineChars="200"/>
        <w:rPr>
          <w:rFonts w:hint="eastAsia"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下一步，和田地区统计局将严格落实党中央、国务院和自治区党委、人民政府的安排部署和地委、行署关于全面推进政务公开工作要求，认真贯彻落实《中华人民共和国政府信息公开条例》，以增强统计数据发布解读和统计服务能力为核心，持续加大政府信息公开力度，以公开促落实，以公开促规范，以公开促服务，不断提高政府信息公开工作的实效。</w:t>
      </w:r>
    </w:p>
    <w:p>
      <w:pPr>
        <w:spacing w:line="480" w:lineRule="exact"/>
        <w:ind w:firstLine="640" w:firstLineChars="200"/>
        <w:rPr>
          <w:rFonts w:hint="eastAsia" w:ascii="方正仿宋简体" w:hAnsi="黑体" w:eastAsia="方正仿宋简体" w:cs="黑体"/>
          <w:sz w:val="32"/>
          <w:szCs w:val="32"/>
        </w:rPr>
      </w:pPr>
      <w:r>
        <w:rPr>
          <w:rFonts w:hint="eastAsia" w:ascii="方正仿宋简体" w:hAnsi="黑体" w:eastAsia="方正仿宋简体" w:cs="黑体"/>
          <w:sz w:val="32"/>
          <w:szCs w:val="32"/>
        </w:rPr>
        <w:t>六、其他需要报告的事项</w:t>
      </w:r>
    </w:p>
    <w:p>
      <w:pPr>
        <w:spacing w:line="480" w:lineRule="exact"/>
        <w:ind w:firstLine="640" w:firstLineChars="200"/>
        <w:rPr>
          <w:rFonts w:hint="eastAsia"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由于职能职责特点，和田地区统计局制发的政策性文件、规范性文件比较少，日常政策解读工作主要针对统计数据、指标进行。</w:t>
      </w:r>
    </w:p>
    <w:p>
      <w:pPr>
        <w:spacing w:line="480" w:lineRule="exact"/>
        <w:rPr>
          <w:rFonts w:hint="eastAsia" w:ascii="方正仿宋简体" w:hAnsi="仿宋_GB2312" w:eastAsia="方正仿宋简体" w:cs="仿宋_GB2312"/>
          <w:sz w:val="32"/>
          <w:szCs w:val="32"/>
        </w:rPr>
      </w:pPr>
    </w:p>
    <w:p>
      <w:pPr>
        <w:spacing w:line="480" w:lineRule="exact"/>
        <w:ind w:firstLine="640" w:firstLineChars="200"/>
        <w:jc w:val="center"/>
        <w:rPr>
          <w:rFonts w:hint="eastAsia"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和田地区统计局</w:t>
      </w:r>
    </w:p>
    <w:p>
      <w:pPr>
        <w:spacing w:line="480" w:lineRule="exact"/>
        <w:ind w:firstLine="640" w:firstLineChars="200"/>
        <w:jc w:val="center"/>
        <w:rPr>
          <w:rFonts w:hint="eastAsia"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2022年1月25日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84A7E50"/>
    <w:rsid w:val="003925A7"/>
    <w:rsid w:val="003B7E12"/>
    <w:rsid w:val="00413E19"/>
    <w:rsid w:val="00641E23"/>
    <w:rsid w:val="0064761F"/>
    <w:rsid w:val="007A6082"/>
    <w:rsid w:val="00931864"/>
    <w:rsid w:val="00DC4BB4"/>
    <w:rsid w:val="00E3191B"/>
    <w:rsid w:val="00E51D55"/>
    <w:rsid w:val="00EF5E8D"/>
    <w:rsid w:val="00FB348C"/>
    <w:rsid w:val="00FE1154"/>
    <w:rsid w:val="05CF6C26"/>
    <w:rsid w:val="05D04082"/>
    <w:rsid w:val="092A6FC0"/>
    <w:rsid w:val="1491730A"/>
    <w:rsid w:val="1A002E91"/>
    <w:rsid w:val="1AA367C6"/>
    <w:rsid w:val="1B6E0C93"/>
    <w:rsid w:val="21530A85"/>
    <w:rsid w:val="24E966EE"/>
    <w:rsid w:val="284A7E50"/>
    <w:rsid w:val="2CFE1B9D"/>
    <w:rsid w:val="33E561E4"/>
    <w:rsid w:val="3D26249A"/>
    <w:rsid w:val="3FCB5353"/>
    <w:rsid w:val="49626EF3"/>
    <w:rsid w:val="4A516DD6"/>
    <w:rsid w:val="50030518"/>
    <w:rsid w:val="5A5E38DC"/>
    <w:rsid w:val="5F360A7F"/>
    <w:rsid w:val="62BD3D57"/>
    <w:rsid w:val="63406154"/>
    <w:rsid w:val="6DB66919"/>
    <w:rsid w:val="6F8E56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  <w:style w:type="character" w:customStyle="1" w:styleId="9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394</Words>
  <Characters>2248</Characters>
  <Lines>18</Lines>
  <Paragraphs>5</Paragraphs>
  <TotalTime>16</TotalTime>
  <ScaleCrop>false</ScaleCrop>
  <LinksUpToDate>false</LinksUpToDate>
  <CharactersWithSpaces>2637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2021-02-04T04:41:00Z</dcterms:created>
  <dc:creator>Administrator</dc:creator>
  <cp:lastModifiedBy>dzblh</cp:lastModifiedBy>
  <cp:lastPrinted>2021-02-26T04:48:00Z</cp:lastPrinted>
  <dcterms:modified xsi:type="dcterms:W3CDTF">2022-02-11T10:03:55Z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