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7C" w:rsidRDefault="006F04A2">
      <w:pPr>
        <w:spacing w:line="60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附件</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w:t>
      </w:r>
    </w:p>
    <w:p w:rsidR="000F307C" w:rsidRDefault="000F307C">
      <w:pPr>
        <w:spacing w:line="600" w:lineRule="exact"/>
        <w:jc w:val="center"/>
        <w:rPr>
          <w:rFonts w:asciiTheme="majorEastAsia" w:eastAsiaTheme="majorEastAsia" w:hAnsiTheme="majorEastAsia" w:cs="宋体"/>
          <w:b/>
          <w:bCs/>
          <w:kern w:val="0"/>
          <w:sz w:val="44"/>
          <w:szCs w:val="36"/>
        </w:rPr>
      </w:pPr>
    </w:p>
    <w:p w:rsidR="000F307C" w:rsidRDefault="006F04A2">
      <w:pPr>
        <w:spacing w:line="600" w:lineRule="exact"/>
        <w:jc w:val="center"/>
        <w:rPr>
          <w:rFonts w:asciiTheme="majorEastAsia" w:eastAsiaTheme="majorEastAsia" w:hAnsiTheme="majorEastAsia" w:cs="宋体"/>
          <w:b/>
          <w:bCs/>
          <w:kern w:val="0"/>
          <w:sz w:val="44"/>
          <w:szCs w:val="36"/>
        </w:rPr>
      </w:pPr>
      <w:r>
        <w:rPr>
          <w:rFonts w:ascii="方正小标宋简体" w:eastAsia="方正小标宋简体" w:hAnsi="方正小标宋简体" w:cs="方正小标宋简体" w:hint="eastAsia"/>
          <w:kern w:val="0"/>
          <w:sz w:val="44"/>
          <w:szCs w:val="36"/>
        </w:rPr>
        <w:t>和田地区财政衔接推进乡村振兴补助资金</w:t>
      </w:r>
      <w:r>
        <w:rPr>
          <w:rFonts w:ascii="方正小标宋简体" w:eastAsia="方正小标宋简体" w:hAnsi="方正小标宋简体" w:cs="方正小标宋简体" w:hint="eastAsia"/>
          <w:kern w:val="0"/>
          <w:sz w:val="44"/>
          <w:szCs w:val="36"/>
        </w:rPr>
        <w:t>管理</w:t>
      </w:r>
      <w:r>
        <w:rPr>
          <w:rFonts w:ascii="方正小标宋简体" w:eastAsia="方正小标宋简体" w:hAnsi="方正小标宋简体" w:cs="方正小标宋简体" w:hint="eastAsia"/>
          <w:kern w:val="0"/>
          <w:sz w:val="44"/>
          <w:szCs w:val="36"/>
        </w:rPr>
        <w:t>实施细则</w:t>
      </w:r>
    </w:p>
    <w:p w:rsidR="000F307C" w:rsidRDefault="000F307C">
      <w:pPr>
        <w:spacing w:line="600" w:lineRule="exact"/>
        <w:jc w:val="center"/>
        <w:rPr>
          <w:rFonts w:asciiTheme="majorEastAsia" w:eastAsiaTheme="majorEastAsia" w:hAnsiTheme="majorEastAsia" w:cs="宋体"/>
          <w:b/>
          <w:bCs/>
          <w:kern w:val="0"/>
          <w:sz w:val="44"/>
          <w:szCs w:val="36"/>
        </w:rPr>
      </w:pPr>
    </w:p>
    <w:p w:rsidR="000F307C" w:rsidRDefault="006F04A2">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第一章</w:t>
      </w:r>
      <w:r>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总则</w:t>
      </w:r>
    </w:p>
    <w:p w:rsidR="000F307C" w:rsidRDefault="006F04A2" w:rsidP="00C26935">
      <w:pPr>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第一条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贯彻党中央、国务院关于实现巩固拓展脱贫攻坚成果同乡村振兴有效衔接的决策部署，落实《中华人民共和国预算法》《中央财政衔接推进乡村振兴补助资金管理办法》等有关规定</w:t>
      </w:r>
      <w:r>
        <w:rPr>
          <w:rFonts w:ascii="仿宋_GB2312" w:eastAsia="仿宋_GB2312" w:hAnsi="仿宋" w:cs="Times New Roman" w:hint="eastAsia"/>
          <w:snapToGrid w:val="0"/>
          <w:spacing w:val="6"/>
          <w:kern w:val="0"/>
          <w:sz w:val="32"/>
          <w:szCs w:val="32"/>
        </w:rPr>
        <w:t>,</w:t>
      </w:r>
      <w:r>
        <w:rPr>
          <w:rFonts w:ascii="仿宋_GB2312" w:eastAsia="仿宋_GB2312" w:hAnsi="仿宋" w:cs="Times New Roman" w:hint="eastAsia"/>
          <w:snapToGrid w:val="0"/>
          <w:spacing w:val="6"/>
          <w:kern w:val="0"/>
          <w:sz w:val="32"/>
          <w:szCs w:val="32"/>
        </w:rPr>
        <w:t>加强过渡期财政衔接推进乡村振兴补助资金（以下简称衔接资金）管理，</w:t>
      </w:r>
      <w:r>
        <w:rPr>
          <w:rFonts w:ascii="仿宋_GB2312" w:eastAsia="仿宋_GB2312" w:hAnsi="仿宋" w:cs="Times New Roman" w:hint="eastAsia"/>
          <w:snapToGrid w:val="0"/>
          <w:spacing w:val="6"/>
          <w:kern w:val="0"/>
          <w:sz w:val="32"/>
          <w:szCs w:val="32"/>
        </w:rPr>
        <w:t>根据</w:t>
      </w:r>
      <w:r>
        <w:rPr>
          <w:rFonts w:ascii="仿宋_GB2312" w:eastAsia="仿宋_GB2312" w:hAnsi="仿宋_GB2312" w:hint="eastAsia"/>
          <w:sz w:val="32"/>
        </w:rPr>
        <w:t>自治区</w:t>
      </w:r>
      <w:r>
        <w:rPr>
          <w:rFonts w:ascii="仿宋_GB2312" w:eastAsia="仿宋_GB2312" w:hAnsi="仿宋_GB2312" w:hint="eastAsia"/>
          <w:sz w:val="32"/>
        </w:rPr>
        <w:t>财政</w:t>
      </w:r>
      <w:r>
        <w:rPr>
          <w:rFonts w:ascii="仿宋_GB2312" w:eastAsia="仿宋_GB2312" w:hAnsi="仿宋_GB2312" w:hint="eastAsia"/>
          <w:sz w:val="32"/>
        </w:rPr>
        <w:t>厅</w:t>
      </w:r>
      <w:r>
        <w:rPr>
          <w:rFonts w:ascii="仿宋_GB2312" w:eastAsia="仿宋_GB2312" w:hAnsi="仿宋_GB2312" w:hint="eastAsia"/>
          <w:sz w:val="32"/>
        </w:rPr>
        <w:t>、</w:t>
      </w:r>
      <w:r>
        <w:rPr>
          <w:rFonts w:ascii="仿宋_GB2312" w:eastAsia="仿宋_GB2312" w:hAnsi="仿宋_GB2312" w:hint="eastAsia"/>
          <w:sz w:val="32"/>
        </w:rPr>
        <w:t>乡村振兴局</w:t>
      </w:r>
      <w:r>
        <w:rPr>
          <w:rFonts w:ascii="仿宋_GB2312" w:eastAsia="仿宋_GB2312" w:hAnsi="仿宋_GB2312" w:hint="eastAsia"/>
          <w:sz w:val="32"/>
        </w:rPr>
        <w:t>、发改委等</w:t>
      </w:r>
      <w:r>
        <w:rPr>
          <w:rFonts w:ascii="仿宋_GB2312" w:eastAsia="仿宋_GB2312" w:hAnsi="仿宋_GB2312" w:hint="eastAsia"/>
          <w:sz w:val="32"/>
        </w:rPr>
        <w:t>6</w:t>
      </w:r>
      <w:r>
        <w:rPr>
          <w:rFonts w:ascii="仿宋_GB2312" w:eastAsia="仿宋_GB2312" w:hAnsi="仿宋_GB2312" w:hint="eastAsia"/>
          <w:sz w:val="32"/>
        </w:rPr>
        <w:t>厅局</w:t>
      </w:r>
      <w:r>
        <w:rPr>
          <w:rFonts w:ascii="仿宋_GB2312" w:eastAsia="仿宋_GB2312" w:hAnsi="仿宋_GB2312" w:hint="eastAsia"/>
          <w:sz w:val="32"/>
        </w:rPr>
        <w:t>委</w:t>
      </w:r>
      <w:r>
        <w:rPr>
          <w:rFonts w:ascii="仿宋_GB2312" w:eastAsia="仿宋_GB2312" w:hAnsi="仿宋_GB2312" w:hint="eastAsia"/>
          <w:sz w:val="32"/>
        </w:rPr>
        <w:t>《</w:t>
      </w:r>
      <w:r>
        <w:rPr>
          <w:rFonts w:ascii="仿宋_GB2312" w:eastAsia="仿宋_GB2312" w:hAnsi="仿宋_GB2312" w:hint="eastAsia"/>
          <w:sz w:val="32"/>
        </w:rPr>
        <w:t>关于印发</w:t>
      </w:r>
      <w:r>
        <w:rPr>
          <w:rFonts w:ascii="仿宋_GB2312" w:eastAsia="仿宋_GB2312" w:hAnsi="仿宋_GB2312" w:cs="仿宋_GB2312" w:hint="eastAsia"/>
          <w:sz w:val="32"/>
        </w:rPr>
        <w:t>&lt;</w:t>
      </w:r>
      <w:r>
        <w:rPr>
          <w:rFonts w:ascii="仿宋_GB2312" w:eastAsia="仿宋_GB2312" w:hAnsi="仿宋_GB2312" w:hint="eastAsia"/>
          <w:sz w:val="32"/>
        </w:rPr>
        <w:t>新疆维吾尔自治区财政衔接推进乡村振兴补助资金管理办法</w:t>
      </w:r>
      <w:r>
        <w:rPr>
          <w:rFonts w:ascii="仿宋_GB2312" w:eastAsia="仿宋_GB2312" w:hAnsi="仿宋_GB2312" w:cs="仿宋_GB2312" w:hint="eastAsia"/>
          <w:sz w:val="32"/>
        </w:rPr>
        <w:t>&gt;</w:t>
      </w:r>
      <w:r>
        <w:rPr>
          <w:rFonts w:ascii="仿宋_GB2312" w:eastAsia="仿宋_GB2312" w:hAnsi="仿宋_GB2312" w:hint="eastAsia"/>
          <w:sz w:val="32"/>
        </w:rPr>
        <w:t>的通知</w:t>
      </w:r>
      <w:r>
        <w:rPr>
          <w:rFonts w:ascii="仿宋_GB2312" w:eastAsia="仿宋_GB2312" w:hAnsi="仿宋_GB2312" w:hint="eastAsia"/>
          <w:sz w:val="32"/>
        </w:rPr>
        <w:t>》</w:t>
      </w:r>
      <w:bookmarkStart w:id="0" w:name="_GoBack"/>
      <w:bookmarkEnd w:id="0"/>
      <w:r>
        <w:rPr>
          <w:rFonts w:ascii="仿宋_GB2312" w:eastAsia="仿宋_GB2312" w:hAnsi="仿宋" w:cs="Times New Roman" w:hint="eastAsia"/>
          <w:snapToGrid w:val="0"/>
          <w:spacing w:val="6"/>
          <w:kern w:val="0"/>
          <w:sz w:val="32"/>
          <w:szCs w:val="32"/>
        </w:rPr>
        <w:t>，</w:t>
      </w:r>
      <w:r>
        <w:rPr>
          <w:rFonts w:ascii="仿宋_GB2312" w:eastAsia="仿宋_GB2312" w:hAnsi="仿宋" w:cs="宋体" w:hint="eastAsia"/>
          <w:kern w:val="0"/>
          <w:sz w:val="32"/>
          <w:szCs w:val="32"/>
        </w:rPr>
        <w:t>结合</w:t>
      </w:r>
      <w:r>
        <w:rPr>
          <w:rFonts w:ascii="仿宋_GB2312" w:eastAsia="仿宋_GB2312" w:hAnsi="仿宋" w:cs="宋体" w:hint="eastAsia"/>
          <w:kern w:val="0"/>
          <w:sz w:val="32"/>
          <w:szCs w:val="32"/>
        </w:rPr>
        <w:t>和田</w:t>
      </w:r>
      <w:r>
        <w:rPr>
          <w:rFonts w:ascii="仿宋_GB2312" w:eastAsia="仿宋_GB2312" w:hAnsi="仿宋" w:cs="宋体" w:hint="eastAsia"/>
          <w:kern w:val="0"/>
          <w:sz w:val="32"/>
          <w:szCs w:val="32"/>
        </w:rPr>
        <w:t>地</w:t>
      </w:r>
      <w:r>
        <w:rPr>
          <w:rFonts w:ascii="仿宋_GB2312" w:eastAsia="仿宋_GB2312" w:hAnsi="仿宋" w:cs="宋体" w:hint="eastAsia"/>
          <w:kern w:val="0"/>
          <w:sz w:val="32"/>
          <w:szCs w:val="32"/>
        </w:rPr>
        <w:t>区实际</w:t>
      </w:r>
      <w:r>
        <w:rPr>
          <w:rFonts w:ascii="仿宋_GB2312" w:eastAsia="仿宋_GB2312" w:hAnsi="仿宋" w:cs="Times New Roman" w:hint="eastAsia"/>
          <w:snapToGrid w:val="0"/>
          <w:spacing w:val="6"/>
          <w:kern w:val="0"/>
          <w:sz w:val="32"/>
          <w:szCs w:val="32"/>
        </w:rPr>
        <w:t>,</w:t>
      </w:r>
      <w:r>
        <w:rPr>
          <w:rFonts w:ascii="仿宋_GB2312" w:eastAsia="仿宋_GB2312" w:hAnsi="仿宋" w:cs="宋体" w:hint="eastAsia"/>
          <w:kern w:val="0"/>
          <w:sz w:val="32"/>
          <w:szCs w:val="32"/>
        </w:rPr>
        <w:t>制定本</w:t>
      </w:r>
      <w:r>
        <w:rPr>
          <w:rFonts w:ascii="仿宋_GB2312" w:eastAsia="仿宋_GB2312" w:hAnsi="仿宋" w:cs="宋体" w:hint="eastAsia"/>
          <w:kern w:val="0"/>
          <w:sz w:val="32"/>
          <w:szCs w:val="32"/>
        </w:rPr>
        <w:t>实施细则</w:t>
      </w:r>
      <w:r>
        <w:rPr>
          <w:rFonts w:ascii="仿宋_GB2312" w:eastAsia="仿宋_GB2312" w:hAnsi="仿宋" w:cs="宋体" w:hint="eastAsia"/>
          <w:kern w:val="0"/>
          <w:sz w:val="32"/>
          <w:szCs w:val="32"/>
        </w:rPr>
        <w:t>。</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第二条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本</w:t>
      </w:r>
      <w:r>
        <w:rPr>
          <w:rFonts w:ascii="仿宋_GB2312" w:eastAsia="仿宋_GB2312" w:hAnsi="仿宋" w:cs="宋体" w:hint="eastAsia"/>
          <w:kern w:val="0"/>
          <w:sz w:val="32"/>
          <w:szCs w:val="32"/>
        </w:rPr>
        <w:t>实施细则</w:t>
      </w:r>
      <w:r>
        <w:rPr>
          <w:rFonts w:ascii="仿宋_GB2312" w:eastAsia="仿宋_GB2312" w:hAnsi="仿宋" w:cs="宋体" w:hint="eastAsia"/>
          <w:kern w:val="0"/>
          <w:sz w:val="32"/>
          <w:szCs w:val="32"/>
        </w:rPr>
        <w:t>所称衔接资金是指中央</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自治区</w:t>
      </w:r>
      <w:r>
        <w:rPr>
          <w:rFonts w:ascii="仿宋_GB2312" w:eastAsia="仿宋_GB2312" w:hAnsi="仿宋" w:cs="宋体" w:hint="eastAsia"/>
          <w:kern w:val="0"/>
          <w:sz w:val="32"/>
          <w:szCs w:val="32"/>
        </w:rPr>
        <w:t>、地区、县市</w:t>
      </w:r>
      <w:r>
        <w:rPr>
          <w:rFonts w:ascii="仿宋_GB2312" w:eastAsia="仿宋_GB2312" w:hAnsi="仿宋" w:cs="宋体" w:hint="eastAsia"/>
          <w:kern w:val="0"/>
          <w:sz w:val="32"/>
          <w:szCs w:val="32"/>
        </w:rPr>
        <w:t>通过财政公共预算安排，用于支持</w:t>
      </w:r>
      <w:r>
        <w:rPr>
          <w:rFonts w:ascii="仿宋_GB2312" w:eastAsia="仿宋_GB2312" w:hAnsi="仿宋" w:cs="宋体" w:hint="eastAsia"/>
          <w:kern w:val="0"/>
          <w:sz w:val="32"/>
          <w:szCs w:val="32"/>
        </w:rPr>
        <w:t>本</w:t>
      </w:r>
      <w:r>
        <w:rPr>
          <w:rFonts w:ascii="仿宋_GB2312" w:eastAsia="仿宋_GB2312" w:hAnsi="仿宋" w:cs="宋体" w:hint="eastAsia"/>
          <w:kern w:val="0"/>
          <w:sz w:val="32"/>
          <w:szCs w:val="32"/>
        </w:rPr>
        <w:t>地巩固拓展脱贫攻坚成果同推进乡村振兴有效衔接的资金。</w:t>
      </w:r>
    </w:p>
    <w:p w:rsidR="000F307C" w:rsidRDefault="006F04A2">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第二章</w:t>
      </w:r>
      <w:r>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资金使用</w:t>
      </w:r>
    </w:p>
    <w:p w:rsidR="000F307C" w:rsidRDefault="006F04A2" w:rsidP="00C26935">
      <w:pPr>
        <w:ind w:firstLineChars="200" w:firstLine="640"/>
        <w:rPr>
          <w:rFonts w:ascii="仿宋" w:eastAsia="仿宋" w:hAnsi="仿宋" w:cs="仿宋"/>
          <w:sz w:val="32"/>
          <w:szCs w:val="32"/>
        </w:rPr>
      </w:pPr>
      <w:r>
        <w:rPr>
          <w:rFonts w:ascii="仿宋_GB2312" w:eastAsia="仿宋_GB2312" w:hAnsi="仿宋" w:cs="仿宋" w:hint="eastAsia"/>
          <w:b/>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衔接资金应当统筹安排使用，形成合力，主要用于支持以下三个方面：</w:t>
      </w:r>
    </w:p>
    <w:p w:rsidR="000F307C" w:rsidRDefault="006F04A2" w:rsidP="00C26935">
      <w:pPr>
        <w:snapToGrid w:val="0"/>
        <w:spacing w:line="600" w:lineRule="exact"/>
        <w:ind w:firstLineChars="200" w:firstLine="640"/>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（一）支持巩固拓展脱贫攻坚成果。</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bCs/>
          <w:kern w:val="0"/>
          <w:sz w:val="32"/>
          <w:szCs w:val="32"/>
        </w:rPr>
        <w:t>1.</w:t>
      </w:r>
      <w:r>
        <w:rPr>
          <w:rFonts w:ascii="仿宋_GB2312" w:eastAsia="仿宋_GB2312" w:hAnsi="仿宋" w:cs="宋体" w:hint="eastAsia"/>
          <w:b/>
          <w:bCs/>
          <w:kern w:val="0"/>
          <w:sz w:val="32"/>
          <w:szCs w:val="32"/>
        </w:rPr>
        <w:t>健全防止返贫致贫监测和帮扶机制，</w:t>
      </w:r>
      <w:r>
        <w:rPr>
          <w:rFonts w:ascii="仿宋_GB2312" w:eastAsia="仿宋_GB2312" w:hAnsi="仿宋" w:cs="宋体" w:hint="eastAsia"/>
          <w:kern w:val="0"/>
          <w:sz w:val="32"/>
          <w:szCs w:val="32"/>
        </w:rPr>
        <w:t>加强监测预警，强化</w:t>
      </w:r>
      <w:r>
        <w:rPr>
          <w:rFonts w:ascii="仿宋_GB2312" w:eastAsia="仿宋_GB2312" w:hAnsi="仿宋" w:cs="宋体" w:hint="eastAsia"/>
          <w:kern w:val="0"/>
          <w:sz w:val="32"/>
          <w:szCs w:val="32"/>
        </w:rPr>
        <w:lastRenderedPageBreak/>
        <w:t>及时帮扶，对监测帮扶对象采取有针对性的预防性措施和事后帮扶措施。可安排产业发展、小额信贷贴息、生产经营和劳动技能培训、公益岗位补助等支出。低保、医保、养老保险、临时救助等综合保障措施，通过原资金渠道支持。监测预警工作经费通过各级</w:t>
      </w:r>
      <w:r>
        <w:rPr>
          <w:rFonts w:ascii="仿宋_GB2312" w:eastAsia="仿宋_GB2312" w:hAnsi="仿宋" w:cs="宋体" w:hint="eastAsia"/>
          <w:kern w:val="0"/>
          <w:sz w:val="32"/>
          <w:szCs w:val="32"/>
        </w:rPr>
        <w:t>部门预算安排。</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bCs/>
          <w:kern w:val="0"/>
          <w:sz w:val="32"/>
          <w:szCs w:val="32"/>
        </w:rPr>
        <w:t>2.</w:t>
      </w:r>
      <w:r>
        <w:rPr>
          <w:rFonts w:ascii="仿宋_GB2312" w:eastAsia="仿宋_GB2312" w:hAnsi="仿宋" w:cs="宋体" w:hint="eastAsia"/>
          <w:b/>
          <w:bCs/>
          <w:kern w:val="0"/>
          <w:sz w:val="32"/>
          <w:szCs w:val="32"/>
        </w:rPr>
        <w:t>“十三五”易地扶贫搬迁后续扶持。</w:t>
      </w:r>
      <w:r>
        <w:rPr>
          <w:rFonts w:ascii="仿宋_GB2312" w:eastAsia="仿宋_GB2312" w:hAnsi="仿宋" w:cs="宋体" w:hint="eastAsia"/>
          <w:kern w:val="0"/>
          <w:sz w:val="32"/>
          <w:szCs w:val="32"/>
        </w:rPr>
        <w:t>支持实施带动搬迁群众发展的项目，对集中安置区聘用搬迁群众的公共服务岗位</w:t>
      </w:r>
      <w:r>
        <w:rPr>
          <w:rFonts w:ascii="仿宋_GB2312" w:eastAsia="仿宋_GB2312" w:hAnsi="仿宋" w:cs="宋体" w:hint="eastAsia"/>
          <w:kern w:val="0"/>
          <w:sz w:val="32"/>
          <w:szCs w:val="32"/>
        </w:rPr>
        <w:t>等费用予以适当补助。对规划内的易地扶贫搬迁贷款和调整规范易地扶贫搬迁融资方式后的地方政府债券按规定予以贴息补助。</w:t>
      </w:r>
    </w:p>
    <w:p w:rsidR="000F307C" w:rsidRDefault="006F04A2" w:rsidP="00C26935">
      <w:pPr>
        <w:snapToGrid w:val="0"/>
        <w:spacing w:line="600" w:lineRule="exact"/>
        <w:ind w:firstLineChars="200" w:firstLine="640"/>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（二）支持衔接推进乡村振兴。</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bCs/>
          <w:kern w:val="0"/>
          <w:sz w:val="32"/>
          <w:szCs w:val="32"/>
        </w:rPr>
        <w:t>1.</w:t>
      </w:r>
      <w:r>
        <w:rPr>
          <w:rFonts w:ascii="仿宋_GB2312" w:eastAsia="仿宋_GB2312" w:hAnsi="仿宋" w:cs="宋体" w:hint="eastAsia"/>
          <w:b/>
          <w:bCs/>
          <w:kern w:val="0"/>
          <w:sz w:val="32"/>
          <w:szCs w:val="32"/>
        </w:rPr>
        <w:t>培育和壮大脱贫地区特色优势产业。</w:t>
      </w:r>
      <w:r>
        <w:rPr>
          <w:rFonts w:ascii="仿宋_GB2312" w:eastAsia="仿宋_GB2312" w:hAnsi="仿宋" w:cs="宋体" w:hint="eastAsia"/>
          <w:kern w:val="0"/>
          <w:sz w:val="32"/>
          <w:szCs w:val="32"/>
        </w:rPr>
        <w:t>年度到县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的中央衔接资金原则上不低于</w:t>
      </w:r>
      <w:r>
        <w:rPr>
          <w:rFonts w:ascii="仿宋_GB2312" w:eastAsia="仿宋_GB2312" w:hAnsi="仿宋" w:cs="宋体" w:hint="eastAsia"/>
          <w:kern w:val="0"/>
          <w:sz w:val="32"/>
          <w:szCs w:val="32"/>
        </w:rPr>
        <w:t>50%</w:t>
      </w:r>
      <w:r>
        <w:rPr>
          <w:rFonts w:ascii="仿宋_GB2312" w:eastAsia="仿宋_GB2312" w:hAnsi="仿宋" w:cs="宋体" w:hint="eastAsia"/>
          <w:kern w:val="0"/>
          <w:sz w:val="32"/>
          <w:szCs w:val="32"/>
        </w:rPr>
        <w:t>用于支持特色产业发展，并逐年提</w:t>
      </w:r>
      <w:r>
        <w:rPr>
          <w:rFonts w:ascii="仿宋_GB2312" w:eastAsia="仿宋_GB2312" w:hAnsi="仿宋" w:cs="宋体" w:hint="eastAsia"/>
          <w:kern w:val="0"/>
          <w:sz w:val="32"/>
          <w:szCs w:val="32"/>
        </w:rPr>
        <w:t>高资金占比。支持农业品种培优、品质提升、品牌打造。推动产销对接和消费帮扶，解决农产品“卖难”问题。支持必要的产业配套基础设施建设。支持脱贫村发展壮大村级集体经济和支持欠发达国有农牧林场发展国有经济。</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bCs/>
          <w:kern w:val="0"/>
          <w:sz w:val="32"/>
          <w:szCs w:val="32"/>
        </w:rPr>
        <w:t>2.</w:t>
      </w:r>
      <w:r>
        <w:rPr>
          <w:rFonts w:ascii="仿宋_GB2312" w:eastAsia="仿宋_GB2312" w:hAnsi="仿宋" w:cs="宋体" w:hint="eastAsia"/>
          <w:b/>
          <w:bCs/>
          <w:kern w:val="0"/>
          <w:sz w:val="32"/>
          <w:szCs w:val="32"/>
        </w:rPr>
        <w:t>补齐必要的农村人居环境整治和小型公益性基础设施建设短板。</w:t>
      </w:r>
      <w:r>
        <w:rPr>
          <w:rFonts w:ascii="仿宋_GB2312" w:eastAsia="仿宋_GB2312" w:hAnsi="仿宋" w:cs="宋体" w:hint="eastAsia"/>
          <w:kern w:val="0"/>
          <w:sz w:val="32"/>
          <w:szCs w:val="32"/>
        </w:rPr>
        <w:t>主要包括水、电、路、网等农业生产配套设施，污水垃圾清运处理等小型公益性生活设施，以及农户庭院整治、三区分离、改厨改厕、住房加固节能改造等。教育、卫生、养老服务、文化等农村基本公共服务通过原资金渠道支持。</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bCs/>
          <w:kern w:val="0"/>
          <w:sz w:val="32"/>
          <w:szCs w:val="32"/>
        </w:rPr>
        <w:lastRenderedPageBreak/>
        <w:t>3.</w:t>
      </w:r>
      <w:r>
        <w:rPr>
          <w:rFonts w:ascii="仿宋_GB2312" w:eastAsia="仿宋_GB2312" w:hAnsi="仿宋" w:cs="宋体" w:hint="eastAsia"/>
          <w:b/>
          <w:bCs/>
          <w:kern w:val="0"/>
          <w:sz w:val="32"/>
          <w:szCs w:val="32"/>
        </w:rPr>
        <w:t>确保衔接资金完成实施兴边富民行动、</w:t>
      </w:r>
      <w:r>
        <w:rPr>
          <w:rFonts w:ascii="仿宋_GB2312" w:eastAsia="仿宋_GB2312" w:hAnsi="仿宋" w:cs="宋体" w:hint="eastAsia"/>
          <w:kern w:val="0"/>
          <w:sz w:val="32"/>
          <w:szCs w:val="32"/>
        </w:rPr>
        <w:t>人口较少民</w:t>
      </w:r>
      <w:r>
        <w:rPr>
          <w:rFonts w:ascii="仿宋_GB2312" w:eastAsia="仿宋_GB2312" w:hAnsi="仿宋" w:cs="宋体" w:hint="eastAsia"/>
          <w:kern w:val="0"/>
          <w:sz w:val="32"/>
          <w:szCs w:val="32"/>
        </w:rPr>
        <w:t>族发展、少数民族特色产业和民族村寨发展、</w:t>
      </w:r>
      <w:r>
        <w:rPr>
          <w:rFonts w:ascii="仿宋_GB2312" w:eastAsia="仿宋_GB2312" w:hAnsi="仿宋" w:cs="宋体" w:hint="eastAsia"/>
          <w:kern w:val="0"/>
          <w:sz w:val="32"/>
          <w:szCs w:val="32"/>
        </w:rPr>
        <w:t>以工代赈项目，欠发达国有农牧林场专项任务。</w:t>
      </w:r>
    </w:p>
    <w:p w:rsidR="000F307C" w:rsidRDefault="006F04A2" w:rsidP="00C26935">
      <w:pPr>
        <w:tabs>
          <w:tab w:val="left" w:pos="2160"/>
        </w:tabs>
        <w:snapToGrid w:val="0"/>
        <w:spacing w:line="54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bCs/>
          <w:kern w:val="0"/>
          <w:sz w:val="32"/>
          <w:szCs w:val="32"/>
        </w:rPr>
        <w:t>（三）</w:t>
      </w:r>
      <w:r>
        <w:rPr>
          <w:rFonts w:ascii="仿宋_GB2312" w:eastAsia="仿宋_GB2312" w:hAnsi="仿宋" w:cs="宋体" w:hint="eastAsia"/>
          <w:b/>
          <w:bCs/>
          <w:kern w:val="0"/>
          <w:sz w:val="32"/>
          <w:szCs w:val="32"/>
        </w:rPr>
        <w:t>符合</w:t>
      </w:r>
      <w:r>
        <w:rPr>
          <w:rFonts w:ascii="仿宋_GB2312" w:eastAsia="仿宋_GB2312" w:hAnsi="仿宋" w:cs="宋体" w:hint="eastAsia"/>
          <w:b/>
          <w:bCs/>
          <w:kern w:val="0"/>
          <w:sz w:val="32"/>
          <w:szCs w:val="32"/>
        </w:rPr>
        <w:t>巩固拓展脱贫攻坚成果同乡村振兴有效衔接的其他相关支出。</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第四条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衔接资金不得用于与巩固拓展脱贫攻坚成果和推进脱贫地区乡村振兴无关的支出。包括：</w:t>
      </w:r>
    </w:p>
    <w:p w:rsidR="000F307C" w:rsidRDefault="006F04A2">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单位基本支出；</w:t>
      </w:r>
    </w:p>
    <w:p w:rsidR="000F307C" w:rsidRDefault="006F04A2">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交通工具及通讯设备；</w:t>
      </w:r>
    </w:p>
    <w:p w:rsidR="000F307C" w:rsidRDefault="006F04A2">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w:t>
      </w:r>
      <w:r>
        <w:rPr>
          <w:rFonts w:ascii="仿宋_GB2312" w:eastAsia="仿宋_GB2312" w:hAnsi="仿宋" w:cs="宋体" w:hint="eastAsia"/>
          <w:kern w:val="0"/>
          <w:sz w:val="32"/>
          <w:szCs w:val="32"/>
        </w:rPr>
        <w:t>修建楼堂馆所；</w:t>
      </w:r>
    </w:p>
    <w:p w:rsidR="000F307C" w:rsidRDefault="006F04A2">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w:t>
      </w:r>
      <w:r>
        <w:rPr>
          <w:rFonts w:ascii="仿宋_GB2312" w:eastAsia="仿宋_GB2312" w:hAnsi="仿宋" w:cs="宋体" w:hint="eastAsia"/>
          <w:kern w:val="0"/>
          <w:sz w:val="32"/>
          <w:szCs w:val="32"/>
        </w:rPr>
        <w:t>各种奖金津贴和福利补助；</w:t>
      </w:r>
    </w:p>
    <w:p w:rsidR="000F307C" w:rsidRDefault="006F04A2">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5.</w:t>
      </w:r>
      <w:r>
        <w:rPr>
          <w:rFonts w:ascii="仿宋_GB2312" w:eastAsia="仿宋_GB2312" w:hAnsi="仿宋" w:cs="宋体" w:hint="eastAsia"/>
          <w:kern w:val="0"/>
          <w:sz w:val="32"/>
          <w:szCs w:val="32"/>
        </w:rPr>
        <w:t>偿还债务和垫资；</w:t>
      </w:r>
    </w:p>
    <w:p w:rsidR="000F307C" w:rsidRDefault="006F04A2">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6.</w:t>
      </w:r>
      <w:r>
        <w:rPr>
          <w:rFonts w:ascii="仿宋_GB2312" w:eastAsia="仿宋_GB2312" w:hAnsi="仿宋" w:cs="宋体" w:hint="eastAsia"/>
          <w:kern w:val="0"/>
          <w:sz w:val="32"/>
          <w:szCs w:val="32"/>
        </w:rPr>
        <w:t>弥补企业亏损；</w:t>
      </w:r>
    </w:p>
    <w:p w:rsidR="000F307C" w:rsidRDefault="006F04A2">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7.</w:t>
      </w:r>
      <w:r>
        <w:rPr>
          <w:rFonts w:ascii="仿宋_GB2312" w:eastAsia="仿宋_GB2312" w:hAnsi="仿宋" w:cs="宋体" w:hint="eastAsia"/>
          <w:kern w:val="0"/>
          <w:sz w:val="32"/>
          <w:szCs w:val="32"/>
        </w:rPr>
        <w:t>城市基础设施建设；</w:t>
      </w:r>
    </w:p>
    <w:p w:rsidR="000F307C" w:rsidRDefault="006F04A2">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8.</w:t>
      </w:r>
      <w:r>
        <w:rPr>
          <w:rFonts w:ascii="仿宋_GB2312" w:eastAsia="仿宋_GB2312" w:hAnsi="仿宋" w:cs="宋体" w:hint="eastAsia"/>
          <w:color w:val="000000" w:themeColor="text1"/>
          <w:kern w:val="0"/>
          <w:sz w:val="32"/>
          <w:szCs w:val="32"/>
        </w:rPr>
        <w:t>其他与巩固拓展脱贫攻坚成果同乡村振兴无关的支出。</w:t>
      </w:r>
    </w:p>
    <w:p w:rsidR="000F307C" w:rsidRDefault="006F04A2">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偿还易地扶贫搬迁长期低息贷款按有关计划执行；用于易地扶贫搬迁的地方政府债券资金按有关规定执行。</w:t>
      </w:r>
    </w:p>
    <w:p w:rsidR="000F307C" w:rsidRDefault="006F04A2">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w:t>
      </w:r>
      <w:r>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资金管理</w:t>
      </w:r>
    </w:p>
    <w:p w:rsidR="000F307C" w:rsidRDefault="006F04A2" w:rsidP="00C26935">
      <w:pPr>
        <w:snapToGrid w:val="0"/>
        <w:spacing w:line="600" w:lineRule="exact"/>
        <w:ind w:firstLineChars="196" w:firstLine="628"/>
        <w:jc w:val="left"/>
        <w:rPr>
          <w:rFonts w:ascii="黑体" w:eastAsia="黑体" w:hAnsi="黑体" w:cs="宋体"/>
          <w:kern w:val="0"/>
          <w:sz w:val="32"/>
          <w:szCs w:val="32"/>
        </w:rPr>
      </w:pPr>
      <w:r>
        <w:rPr>
          <w:rFonts w:ascii="仿宋_GB2312" w:eastAsia="仿宋_GB2312" w:hAnsi="仿宋" w:cs="宋体" w:hint="eastAsia"/>
          <w:b/>
          <w:kern w:val="0"/>
          <w:sz w:val="32"/>
          <w:szCs w:val="32"/>
        </w:rPr>
        <w:t>第五条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各级财政部门要根据巩固拓展脱贫攻坚成果同乡村振兴有效衔接的任务需要及财力情况，每年预算安排一定规模的本级衔接资金，保持投入力度总体稳定。</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lastRenderedPageBreak/>
        <w:t>第六条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衔接资金安排应综合考虑脱贫县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规模和分布，兼顾脱贫县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和非贫困县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的实际情况，对国家和自治区乡村振兴重点帮扶县予以倾斜。衔接资金项目审批权限下放到县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级，强化县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级管理责任，县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级可统筹安排不超过</w:t>
      </w:r>
      <w:r>
        <w:rPr>
          <w:rFonts w:ascii="仿宋_GB2312" w:eastAsia="仿宋_GB2312" w:hAnsi="仿宋" w:cs="宋体" w:hint="eastAsia"/>
          <w:kern w:val="0"/>
          <w:sz w:val="32"/>
          <w:szCs w:val="32"/>
        </w:rPr>
        <w:t>30%</w:t>
      </w:r>
      <w:r>
        <w:rPr>
          <w:rFonts w:ascii="仿宋_GB2312" w:eastAsia="仿宋_GB2312" w:hAnsi="仿宋" w:cs="宋体" w:hint="eastAsia"/>
          <w:kern w:val="0"/>
          <w:sz w:val="32"/>
          <w:szCs w:val="32"/>
        </w:rPr>
        <w:t>的到县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衔接资金，支持非贫困村发展产业、</w:t>
      </w:r>
      <w:r>
        <w:rPr>
          <w:rFonts w:ascii="仿宋_GB2312" w:eastAsia="仿宋_GB2312" w:hAnsi="仿宋" w:cs="宋体" w:hint="eastAsia"/>
          <w:kern w:val="0"/>
          <w:sz w:val="32"/>
          <w:szCs w:val="32"/>
        </w:rPr>
        <w:t>补齐必要的基础设施短板及县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级乡村振兴规划相关项目。</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第七条</w:t>
      </w:r>
      <w:r>
        <w:rPr>
          <w:rFonts w:ascii="仿宋_GB2312" w:eastAsia="仿宋_GB2312" w:hAnsi="仿宋" w:cs="宋体" w:hint="eastAsia"/>
          <w:kern w:val="0"/>
          <w:sz w:val="32"/>
          <w:szCs w:val="32"/>
        </w:rPr>
        <w:t>各</w:t>
      </w:r>
      <w:r>
        <w:rPr>
          <w:rFonts w:ascii="仿宋_GB2312" w:eastAsia="仿宋_GB2312" w:hAnsi="仿宋" w:cs="宋体" w:hint="eastAsia"/>
          <w:kern w:val="0"/>
          <w:sz w:val="32"/>
          <w:szCs w:val="32"/>
        </w:rPr>
        <w:t>县市</w:t>
      </w:r>
      <w:r>
        <w:rPr>
          <w:rFonts w:ascii="仿宋_GB2312" w:eastAsia="仿宋_GB2312" w:hAnsi="仿宋" w:cs="宋体" w:hint="eastAsia"/>
          <w:kern w:val="0"/>
          <w:sz w:val="32"/>
          <w:szCs w:val="32"/>
        </w:rPr>
        <w:t>要建立完善巩固拓展脱贫攻坚成果和乡村振兴项目库，提前做好项目储备，严格项目论证入库，衔接资金支持的项目原则上要从项目库选择，且符合本办法要求。属于政府采购管理范围的项目，执行政府采购相关规定。村级微小型项目可按照村民民主议事方式直接委托村级组织自建自营。各</w:t>
      </w:r>
      <w:r>
        <w:rPr>
          <w:rFonts w:ascii="仿宋_GB2312" w:eastAsia="仿宋_GB2312" w:hAnsi="仿宋" w:cs="宋体" w:hint="eastAsia"/>
          <w:kern w:val="0"/>
          <w:sz w:val="32"/>
          <w:szCs w:val="32"/>
        </w:rPr>
        <w:t>县市行业主管部门</w:t>
      </w:r>
      <w:r>
        <w:rPr>
          <w:rFonts w:ascii="仿宋_GB2312" w:eastAsia="仿宋_GB2312" w:hAnsi="仿宋" w:cs="宋体" w:hint="eastAsia"/>
          <w:kern w:val="0"/>
          <w:sz w:val="32"/>
          <w:szCs w:val="32"/>
        </w:rPr>
        <w:t>要加强衔接资金和项目管理，落实绩效管理要求，全面推行公开公示制度，加快预算执行，提高资金使用效益。</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w:t>
      </w:r>
      <w:r>
        <w:rPr>
          <w:rFonts w:ascii="仿宋_GB2312" w:eastAsia="仿宋_GB2312" w:hAnsi="仿宋" w:cs="宋体" w:hint="eastAsia"/>
          <w:b/>
          <w:kern w:val="0"/>
          <w:sz w:val="32"/>
          <w:szCs w:val="32"/>
        </w:rPr>
        <w:t>八</w:t>
      </w:r>
      <w:r>
        <w:rPr>
          <w:rFonts w:ascii="仿宋_GB2312" w:eastAsia="仿宋_GB2312" w:hAnsi="仿宋" w:cs="宋体" w:hint="eastAsia"/>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各</w:t>
      </w:r>
      <w:r>
        <w:rPr>
          <w:rFonts w:ascii="仿宋_GB2312" w:eastAsia="仿宋_GB2312" w:hAnsi="仿宋" w:cs="宋体" w:hint="eastAsia"/>
          <w:kern w:val="0"/>
          <w:sz w:val="32"/>
          <w:szCs w:val="32"/>
        </w:rPr>
        <w:t>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可根据衔接资金项目管理工作需要，从衔接资金中，按最高不超过</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的比例据实列支项目管理费。项目管理费主要用于项目前期设计、评审、招标、监理以及验收等与项目管理相关的支出。</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w:t>
      </w:r>
      <w:r>
        <w:rPr>
          <w:rFonts w:ascii="仿宋_GB2312" w:eastAsia="仿宋_GB2312" w:hAnsi="仿宋" w:cs="宋体" w:hint="eastAsia"/>
          <w:b/>
          <w:kern w:val="0"/>
          <w:sz w:val="32"/>
          <w:szCs w:val="32"/>
        </w:rPr>
        <w:t>九</w:t>
      </w:r>
      <w:r>
        <w:rPr>
          <w:rFonts w:ascii="仿宋_GB2312" w:eastAsia="仿宋_GB2312" w:hAnsi="仿宋" w:cs="宋体" w:hint="eastAsia"/>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各</w:t>
      </w:r>
      <w:r>
        <w:rPr>
          <w:rFonts w:ascii="仿宋_GB2312" w:eastAsia="仿宋_GB2312" w:hAnsi="仿宋" w:cs="宋体" w:hint="eastAsia"/>
          <w:kern w:val="0"/>
          <w:sz w:val="32"/>
          <w:szCs w:val="32"/>
        </w:rPr>
        <w:t>县市</w:t>
      </w:r>
      <w:r>
        <w:rPr>
          <w:rFonts w:ascii="仿宋_GB2312" w:eastAsia="仿宋_GB2312" w:hAnsi="仿宋" w:cs="宋体" w:hint="eastAsia"/>
          <w:strike/>
          <w:kern w:val="0"/>
          <w:sz w:val="32"/>
          <w:szCs w:val="32"/>
        </w:rPr>
        <w:t>级</w:t>
      </w:r>
      <w:r>
        <w:rPr>
          <w:rFonts w:ascii="仿宋_GB2312" w:eastAsia="仿宋_GB2312" w:hAnsi="仿宋" w:cs="宋体" w:hint="eastAsia"/>
          <w:kern w:val="0"/>
          <w:sz w:val="32"/>
          <w:szCs w:val="32"/>
        </w:rPr>
        <w:t>财政部门负责预算安排、审核资金分配建议方案和下达资金，</w:t>
      </w:r>
      <w:r>
        <w:rPr>
          <w:rFonts w:ascii="仿宋_GB2312" w:eastAsia="仿宋_GB2312" w:hAnsi="仿宋" w:cs="宋体" w:hint="eastAsia"/>
          <w:kern w:val="0"/>
          <w:sz w:val="32"/>
          <w:szCs w:val="32"/>
        </w:rPr>
        <w:t>会同</w:t>
      </w:r>
      <w:r>
        <w:rPr>
          <w:rFonts w:ascii="仿宋_GB2312" w:eastAsia="仿宋_GB2312" w:hAnsi="仿宋" w:cs="宋体" w:hint="eastAsia"/>
          <w:kern w:val="0"/>
          <w:sz w:val="32"/>
          <w:szCs w:val="32"/>
        </w:rPr>
        <w:t>各级乡村振兴、发展改革、民委、农业农村、林草等行业主管部门（以下简称行业主管部门）加强资金监管和绩效管理。各级行业主管部门负责提出资金分配建议方案、</w:t>
      </w:r>
      <w:r>
        <w:rPr>
          <w:rFonts w:ascii="仿宋_GB2312" w:eastAsia="仿宋_GB2312" w:hAnsi="仿宋" w:cs="宋体" w:hint="eastAsia"/>
          <w:kern w:val="0"/>
          <w:sz w:val="32"/>
          <w:szCs w:val="32"/>
        </w:rPr>
        <w:lastRenderedPageBreak/>
        <w:t>资金和项目使用管理、绩效管理、监督管理等工作，按照权责对等原则落实监管责任。</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第十条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地</w:t>
      </w:r>
      <w:r>
        <w:rPr>
          <w:rFonts w:ascii="仿宋_GB2312" w:eastAsia="仿宋_GB2312" w:hAnsi="仿宋" w:cs="宋体" w:hint="eastAsia"/>
          <w:kern w:val="0"/>
          <w:sz w:val="32"/>
          <w:szCs w:val="32"/>
        </w:rPr>
        <w:t>区</w:t>
      </w:r>
      <w:r>
        <w:rPr>
          <w:rFonts w:ascii="仿宋_GB2312" w:eastAsia="仿宋_GB2312" w:hAnsi="仿宋" w:cs="宋体" w:hint="eastAsia"/>
          <w:kern w:val="0"/>
          <w:sz w:val="32"/>
          <w:szCs w:val="32"/>
        </w:rPr>
        <w:t>财政部门在收到资金文件后，要及</w:t>
      </w:r>
      <w:r>
        <w:rPr>
          <w:rFonts w:ascii="仿宋_GB2312" w:eastAsia="仿宋_GB2312" w:hAnsi="仿宋" w:cs="宋体" w:hint="eastAsia"/>
          <w:kern w:val="0"/>
          <w:sz w:val="32"/>
          <w:szCs w:val="32"/>
        </w:rPr>
        <w:t>时书面通知同级行业主管部门，在</w:t>
      </w:r>
      <w:r>
        <w:rPr>
          <w:rFonts w:ascii="仿宋_GB2312" w:eastAsia="仿宋_GB2312" w:hAnsi="仿宋" w:cs="宋体" w:hint="eastAsia"/>
          <w:kern w:val="0"/>
          <w:sz w:val="32"/>
          <w:szCs w:val="32"/>
        </w:rPr>
        <w:t>5</w:t>
      </w:r>
      <w:r>
        <w:rPr>
          <w:rFonts w:ascii="仿宋_GB2312" w:eastAsia="仿宋_GB2312" w:hAnsi="仿宋" w:cs="宋体" w:hint="eastAsia"/>
          <w:kern w:val="0"/>
          <w:sz w:val="32"/>
          <w:szCs w:val="32"/>
        </w:rPr>
        <w:t>日内将指标或资金及时下达到有关</w:t>
      </w:r>
      <w:r>
        <w:rPr>
          <w:rFonts w:ascii="仿宋_GB2312" w:eastAsia="仿宋_GB2312" w:hAnsi="仿宋" w:cs="宋体" w:hint="eastAsia"/>
          <w:kern w:val="0"/>
          <w:sz w:val="32"/>
          <w:szCs w:val="32"/>
        </w:rPr>
        <w:t>县</w:t>
      </w:r>
      <w:r>
        <w:rPr>
          <w:rFonts w:ascii="仿宋_GB2312" w:eastAsia="仿宋_GB2312" w:hAnsi="仿宋" w:cs="宋体" w:hint="eastAsia"/>
          <w:kern w:val="0"/>
          <w:sz w:val="32"/>
          <w:szCs w:val="32"/>
        </w:rPr>
        <w:t>市。县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财政部门在收到资金文件后，要及时书面通知同级行业主管部门，并由县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行业主管部门会同财政部门根据年度巩固拓展脱贫攻坚成果同乡村振兴有效衔接工作任务，从项目库中遴选项目</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及时拟定年度项目计划或资金使用方案，并逐级上报行业主管部门备案。</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Pr>
          <w:rFonts w:ascii="仿宋_GB2312" w:eastAsia="仿宋_GB2312" w:hAnsi="仿宋" w:cs="宋体" w:hint="eastAsia"/>
          <w:b/>
          <w:kern w:val="0"/>
          <w:sz w:val="32"/>
          <w:szCs w:val="32"/>
        </w:rPr>
        <w:t>一</w:t>
      </w:r>
      <w:r>
        <w:rPr>
          <w:rFonts w:ascii="仿宋_GB2312" w:eastAsia="仿宋_GB2312" w:hAnsi="仿宋" w:cs="宋体" w:hint="eastAsia"/>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地、县</w:t>
      </w:r>
      <w:r>
        <w:rPr>
          <w:rFonts w:ascii="仿宋_GB2312" w:eastAsia="仿宋_GB2312" w:hAnsi="仿宋" w:cs="宋体" w:hint="eastAsia"/>
          <w:kern w:val="0"/>
          <w:sz w:val="32"/>
          <w:szCs w:val="32"/>
        </w:rPr>
        <w:t>财政部门按照工作职责和工作要求，对衔接资金使用管理情况进行监管。</w:t>
      </w:r>
      <w:r>
        <w:rPr>
          <w:rFonts w:ascii="仿宋_GB2312" w:eastAsia="仿宋_GB2312" w:hAnsi="仿宋" w:cs="宋体" w:hint="eastAsia"/>
          <w:kern w:val="0"/>
          <w:sz w:val="32"/>
          <w:szCs w:val="32"/>
        </w:rPr>
        <w:t>地、县</w:t>
      </w:r>
      <w:r>
        <w:rPr>
          <w:rFonts w:ascii="仿宋_GB2312" w:eastAsia="仿宋_GB2312" w:hAnsi="仿宋" w:cs="宋体" w:hint="eastAsia"/>
          <w:kern w:val="0"/>
          <w:sz w:val="32"/>
          <w:szCs w:val="32"/>
        </w:rPr>
        <w:t>财政和行业主管部门按要求配合审计、纪检监察、检察机关做好衔接资金和项目的审计、检查等工作。</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Pr>
          <w:rFonts w:ascii="仿宋_GB2312" w:eastAsia="仿宋_GB2312" w:hAnsi="仿宋" w:cs="宋体" w:hint="eastAsia"/>
          <w:b/>
          <w:kern w:val="0"/>
          <w:sz w:val="32"/>
          <w:szCs w:val="32"/>
        </w:rPr>
        <w:t>二</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衔接资金实行国库集中支付管理。</w:t>
      </w:r>
      <w:r>
        <w:rPr>
          <w:rFonts w:ascii="仿宋_GB2312" w:eastAsia="仿宋_GB2312" w:hAnsi="仿宋" w:cs="宋体" w:hint="eastAsia"/>
          <w:kern w:val="0"/>
          <w:sz w:val="32"/>
          <w:szCs w:val="32"/>
        </w:rPr>
        <w:t>地、县</w:t>
      </w:r>
      <w:r>
        <w:rPr>
          <w:rFonts w:ascii="仿宋_GB2312" w:eastAsia="仿宋_GB2312" w:hAnsi="仿宋" w:cs="宋体" w:hint="eastAsia"/>
          <w:kern w:val="0"/>
          <w:sz w:val="32"/>
          <w:szCs w:val="32"/>
        </w:rPr>
        <w:t>财政部门应当按照国库集中支付制度的有关规定和政府采购程序</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及时办理资金拨付手续。县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级行业主管部门根据项目的实际情况</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可采取工程竣工决算后一次性支付或按工程进度分批次申请支付项目资金。经县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级行业主管部门出具审核意见后</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级财政部门可预付部分项目启动资金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比例由县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级根据实际自行确定。预付资金在项目资金支付时抵扣。预付资金总额合计原则上不超过应付该项目资金总额的</w:t>
      </w:r>
      <w:r>
        <w:rPr>
          <w:rFonts w:ascii="仿宋_GB2312" w:eastAsia="仿宋_GB2312" w:hAnsi="仿宋" w:cs="宋体" w:hint="eastAsia"/>
          <w:kern w:val="0"/>
          <w:sz w:val="32"/>
          <w:szCs w:val="32"/>
        </w:rPr>
        <w:t>50%</w:t>
      </w:r>
      <w:r>
        <w:rPr>
          <w:rFonts w:ascii="仿宋_GB2312" w:eastAsia="仿宋_GB2312" w:hAnsi="仿宋" w:cs="宋体" w:hint="eastAsia"/>
          <w:kern w:val="0"/>
          <w:sz w:val="32"/>
          <w:szCs w:val="32"/>
        </w:rPr>
        <w:t>，其中：基础建设类项目预付资金</w:t>
      </w:r>
      <w:r>
        <w:rPr>
          <w:rFonts w:ascii="仿宋_GB2312" w:eastAsia="仿宋_GB2312" w:hAnsi="仿宋" w:cs="宋体" w:hint="eastAsia"/>
          <w:kern w:val="0"/>
          <w:sz w:val="32"/>
          <w:szCs w:val="32"/>
        </w:rPr>
        <w:lastRenderedPageBreak/>
        <w:t>原则上不超过合同金额的</w:t>
      </w:r>
      <w:r>
        <w:rPr>
          <w:rFonts w:ascii="仿宋_GB2312" w:eastAsia="仿宋_GB2312" w:hAnsi="仿宋" w:cs="宋体" w:hint="eastAsia"/>
          <w:kern w:val="0"/>
          <w:sz w:val="32"/>
          <w:szCs w:val="32"/>
        </w:rPr>
        <w:t>30%</w:t>
      </w:r>
      <w:r>
        <w:rPr>
          <w:rFonts w:ascii="仿宋_GB2312" w:eastAsia="仿宋_GB2312" w:hAnsi="仿宋" w:cs="宋体" w:hint="eastAsia"/>
          <w:kern w:val="0"/>
          <w:sz w:val="32"/>
          <w:szCs w:val="32"/>
        </w:rPr>
        <w:t>。</w:t>
      </w:r>
      <w:r>
        <w:rPr>
          <w:rFonts w:ascii="仿宋_GB2312" w:eastAsia="仿宋_GB2312" w:hAnsi="仿宋" w:cs="Times New Roman" w:hint="eastAsia"/>
          <w:sz w:val="32"/>
          <w:szCs w:val="32"/>
        </w:rPr>
        <w:t>项目资金支付后</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在审计或检查中发现资金使用</w:t>
      </w:r>
      <w:r>
        <w:rPr>
          <w:rFonts w:ascii="仿宋_GB2312" w:eastAsia="仿宋_GB2312" w:hAnsi="仿宋" w:cs="Times New Roman" w:hint="eastAsia"/>
          <w:sz w:val="32"/>
          <w:szCs w:val="32"/>
        </w:rPr>
        <w:t>存在违法违规问题的，应及时追回、收回。</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Pr>
          <w:rFonts w:ascii="仿宋_GB2312" w:eastAsia="仿宋_GB2312" w:hAnsi="仿宋" w:cs="宋体" w:hint="eastAsia"/>
          <w:b/>
          <w:kern w:val="0"/>
          <w:sz w:val="32"/>
          <w:szCs w:val="32"/>
        </w:rPr>
        <w:t>三</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各</w:t>
      </w:r>
      <w:r>
        <w:rPr>
          <w:rFonts w:ascii="仿宋_GB2312" w:eastAsia="仿宋_GB2312" w:hAnsi="仿宋" w:cs="宋体" w:hint="eastAsia"/>
          <w:kern w:val="0"/>
          <w:sz w:val="32"/>
          <w:szCs w:val="32"/>
        </w:rPr>
        <w:t>县市</w:t>
      </w:r>
      <w:r>
        <w:rPr>
          <w:rFonts w:ascii="仿宋_GB2312" w:eastAsia="仿宋_GB2312" w:hAnsi="仿宋" w:cs="宋体" w:hint="eastAsia"/>
          <w:kern w:val="0"/>
          <w:sz w:val="32"/>
          <w:szCs w:val="32"/>
        </w:rPr>
        <w:t>衔接资金执行进度纳入</w:t>
      </w:r>
      <w:r>
        <w:rPr>
          <w:rFonts w:ascii="仿宋_GB2312" w:eastAsia="仿宋_GB2312" w:hAnsi="仿宋" w:cs="宋体" w:hint="eastAsia"/>
          <w:kern w:val="0"/>
          <w:sz w:val="32"/>
          <w:szCs w:val="32"/>
        </w:rPr>
        <w:t>自治区</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地</w:t>
      </w:r>
      <w:r>
        <w:rPr>
          <w:rFonts w:ascii="仿宋_GB2312" w:eastAsia="仿宋_GB2312" w:hAnsi="仿宋" w:cs="宋体" w:hint="eastAsia"/>
          <w:kern w:val="0"/>
          <w:sz w:val="32"/>
          <w:szCs w:val="32"/>
        </w:rPr>
        <w:t>区衔接资金绩效考评内容，严禁虚列支出、以拨代支虚增预算执行进度。</w:t>
      </w:r>
      <w:r>
        <w:rPr>
          <w:rFonts w:ascii="仿宋_GB2312" w:eastAsia="仿宋_GB2312" w:hAnsi="仿宋" w:cs="宋体" w:hint="eastAsia"/>
          <w:kern w:val="0"/>
          <w:sz w:val="32"/>
          <w:szCs w:val="32"/>
        </w:rPr>
        <w:t>各县市</w:t>
      </w:r>
      <w:r>
        <w:rPr>
          <w:rFonts w:ascii="仿宋_GB2312" w:eastAsia="仿宋_GB2312" w:hAnsi="仿宋" w:cs="宋体" w:hint="eastAsia"/>
          <w:kern w:val="0"/>
          <w:sz w:val="32"/>
          <w:szCs w:val="32"/>
        </w:rPr>
        <w:t>要定期清理盘活历年结转结余资金，上年结转结余资金按照自治区关于结转结余资金管理的相关规定执行。</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Pr>
          <w:rFonts w:ascii="仿宋_GB2312" w:eastAsia="仿宋_GB2312" w:hAnsi="仿宋" w:cs="宋体" w:hint="eastAsia"/>
          <w:b/>
          <w:kern w:val="0"/>
          <w:sz w:val="32"/>
          <w:szCs w:val="32"/>
        </w:rPr>
        <w:t>四</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继续按规定开展统筹整合使用财政涉农资金试点工作的脱贫县</w:t>
      </w:r>
      <w:r>
        <w:rPr>
          <w:rFonts w:ascii="仿宋_GB2312" w:eastAsia="仿宋_GB2312" w:hAnsi="仿宋" w:cs="宋体" w:hint="eastAsia"/>
          <w:kern w:val="0"/>
          <w:sz w:val="32"/>
          <w:szCs w:val="32"/>
        </w:rPr>
        <w:t>市</w:t>
      </w:r>
      <w:r>
        <w:rPr>
          <w:rFonts w:ascii="仿宋_GB2312" w:eastAsia="仿宋_GB2312" w:hAnsi="仿宋" w:cs="宋体" w:hint="eastAsia"/>
          <w:kern w:val="0"/>
          <w:sz w:val="32"/>
          <w:szCs w:val="32"/>
        </w:rPr>
        <w:t>，衔接资金使用按照涉农资金统筹整合有关要求执行。</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Pr>
          <w:rFonts w:ascii="仿宋_GB2312" w:eastAsia="仿宋_GB2312" w:hAnsi="仿宋" w:cs="宋体" w:hint="eastAsia"/>
          <w:b/>
          <w:kern w:val="0"/>
          <w:sz w:val="32"/>
          <w:szCs w:val="32"/>
        </w:rPr>
        <w:t>五</w:t>
      </w:r>
      <w:r>
        <w:rPr>
          <w:rFonts w:ascii="仿宋_GB2312" w:eastAsia="仿宋_GB2312" w:hAnsi="仿宋" w:cs="宋体" w:hint="eastAsia"/>
          <w:b/>
          <w:kern w:val="0"/>
          <w:sz w:val="32"/>
          <w:szCs w:val="32"/>
        </w:rPr>
        <w:t>条</w:t>
      </w:r>
      <w:r>
        <w:rPr>
          <w:rFonts w:ascii="仿宋_GB2312" w:eastAsia="仿宋_GB2312" w:hAnsi="仿宋" w:cs="宋体" w:hint="eastAsia"/>
          <w:kern w:val="0"/>
          <w:sz w:val="32"/>
          <w:szCs w:val="32"/>
        </w:rPr>
        <w:t>地、县</w:t>
      </w:r>
      <w:r>
        <w:rPr>
          <w:rFonts w:ascii="仿宋_GB2312" w:eastAsia="仿宋_GB2312" w:hAnsi="仿宋" w:cs="宋体" w:hint="eastAsia"/>
          <w:kern w:val="0"/>
          <w:sz w:val="32"/>
          <w:szCs w:val="32"/>
        </w:rPr>
        <w:t>财政和行业主管部门及其工作人员在衔接资金分配、使用管理等工作中，存在违反本办法规定，以及滥用职权、玩忽职守、徇私舞弊等违法违纪行为的，按照国家有关规定追究相应责任</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涉嫌犯罪的，移送有关国家机关处理。</w:t>
      </w:r>
    </w:p>
    <w:p w:rsidR="000F307C" w:rsidRDefault="006F04A2">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第四章</w:t>
      </w:r>
      <w:r>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附则</w:t>
      </w:r>
    </w:p>
    <w:p w:rsidR="000F307C" w:rsidRDefault="006F04A2" w:rsidP="00C26935">
      <w:pPr>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b/>
          <w:kern w:val="0"/>
          <w:sz w:val="32"/>
          <w:szCs w:val="32"/>
        </w:rPr>
        <w:t>第十</w:t>
      </w:r>
      <w:r>
        <w:rPr>
          <w:rFonts w:ascii="仿宋_GB2312" w:eastAsia="仿宋_GB2312" w:hAnsi="仿宋" w:cs="宋体" w:hint="eastAsia"/>
          <w:b/>
          <w:kern w:val="0"/>
          <w:sz w:val="32"/>
          <w:szCs w:val="32"/>
        </w:rPr>
        <w:t>六</w:t>
      </w:r>
      <w:r>
        <w:rPr>
          <w:rFonts w:ascii="仿宋_GB2312" w:eastAsia="仿宋_GB2312" w:hAnsi="仿宋" w:cs="宋体" w:hint="eastAsia"/>
          <w:b/>
          <w:kern w:val="0"/>
          <w:sz w:val="32"/>
          <w:szCs w:val="32"/>
        </w:rPr>
        <w:t>条</w:t>
      </w:r>
      <w:r>
        <w:rPr>
          <w:rFonts w:ascii="仿宋_GB2312" w:eastAsia="仿宋_GB2312" w:hAnsi="仿宋" w:cs="宋体" w:hint="eastAsia"/>
          <w:b/>
          <w:kern w:val="0"/>
          <w:sz w:val="32"/>
          <w:szCs w:val="32"/>
        </w:rPr>
        <w:t xml:space="preserve"> </w:t>
      </w:r>
      <w:r>
        <w:rPr>
          <w:rFonts w:ascii="仿宋_GB2312" w:eastAsia="仿宋_GB2312" w:hAnsi="仿宋" w:cs="宋体" w:hint="eastAsia"/>
          <w:kern w:val="0"/>
          <w:sz w:val="32"/>
          <w:szCs w:val="32"/>
        </w:rPr>
        <w:t>各</w:t>
      </w:r>
      <w:r>
        <w:rPr>
          <w:rFonts w:ascii="仿宋_GB2312" w:eastAsia="仿宋_GB2312" w:hAnsi="仿宋" w:cs="宋体" w:hint="eastAsia"/>
          <w:kern w:val="0"/>
          <w:sz w:val="32"/>
          <w:szCs w:val="32"/>
        </w:rPr>
        <w:t>县市</w:t>
      </w:r>
      <w:r>
        <w:rPr>
          <w:rFonts w:ascii="仿宋_GB2312" w:eastAsia="仿宋_GB2312" w:hAnsi="仿宋" w:cs="宋体" w:hint="eastAsia"/>
          <w:kern w:val="0"/>
          <w:sz w:val="32"/>
          <w:szCs w:val="32"/>
        </w:rPr>
        <w:t>乡村振兴领导小组</w:t>
      </w:r>
      <w:r>
        <w:rPr>
          <w:rFonts w:ascii="仿宋_GB2312" w:eastAsia="仿宋_GB2312" w:hAnsi="仿宋" w:cs="宋体" w:hint="eastAsia"/>
          <w:kern w:val="0"/>
          <w:sz w:val="32"/>
          <w:szCs w:val="32"/>
        </w:rPr>
        <w:t>可根据本办法</w:t>
      </w:r>
      <w:r>
        <w:rPr>
          <w:rFonts w:ascii="仿宋_GB2312" w:eastAsia="仿宋_GB2312" w:hAnsi="仿宋" w:cs="宋体" w:hint="eastAsia"/>
          <w:kern w:val="0"/>
          <w:sz w:val="32"/>
          <w:szCs w:val="32"/>
        </w:rPr>
        <w:t>，统筹协调相关部门</w:t>
      </w:r>
      <w:r>
        <w:rPr>
          <w:rFonts w:ascii="仿宋_GB2312" w:eastAsia="仿宋_GB2312" w:hAnsi="仿宋" w:cs="宋体" w:hint="eastAsia"/>
          <w:kern w:val="0"/>
          <w:sz w:val="32"/>
          <w:szCs w:val="32"/>
        </w:rPr>
        <w:t>制定</w:t>
      </w:r>
      <w:r>
        <w:rPr>
          <w:rFonts w:ascii="仿宋_GB2312" w:eastAsia="仿宋_GB2312" w:hAnsi="仿宋" w:cs="宋体" w:hint="eastAsia"/>
          <w:kern w:val="0"/>
          <w:sz w:val="32"/>
          <w:szCs w:val="32"/>
        </w:rPr>
        <w:t>本县市</w:t>
      </w:r>
      <w:r>
        <w:rPr>
          <w:rFonts w:ascii="仿宋_GB2312" w:eastAsia="仿宋_GB2312" w:hAnsi="仿宋" w:cs="宋体" w:hint="eastAsia"/>
          <w:kern w:val="0"/>
          <w:sz w:val="32"/>
          <w:szCs w:val="32"/>
        </w:rPr>
        <w:t>实施细则，报</w:t>
      </w:r>
      <w:r>
        <w:rPr>
          <w:rFonts w:ascii="仿宋_GB2312" w:eastAsia="仿宋_GB2312" w:hAnsi="仿宋" w:cs="宋体" w:hint="eastAsia"/>
          <w:kern w:val="0"/>
          <w:sz w:val="32"/>
          <w:szCs w:val="32"/>
        </w:rPr>
        <w:t>地</w:t>
      </w:r>
      <w:r>
        <w:rPr>
          <w:rFonts w:ascii="仿宋_GB2312" w:eastAsia="仿宋_GB2312" w:hAnsi="仿宋" w:cs="宋体" w:hint="eastAsia"/>
          <w:kern w:val="0"/>
          <w:sz w:val="32"/>
          <w:szCs w:val="32"/>
        </w:rPr>
        <w:t>区</w:t>
      </w:r>
      <w:r>
        <w:rPr>
          <w:rFonts w:ascii="仿宋_GB2312" w:eastAsia="仿宋_GB2312" w:hAnsi="仿宋" w:cs="宋体" w:hint="eastAsia"/>
          <w:kern w:val="0"/>
          <w:sz w:val="32"/>
          <w:szCs w:val="32"/>
        </w:rPr>
        <w:t>相关部门</w:t>
      </w:r>
      <w:r>
        <w:rPr>
          <w:rFonts w:ascii="仿宋_GB2312" w:eastAsia="仿宋_GB2312" w:hAnsi="仿宋" w:cs="宋体" w:hint="eastAsia"/>
          <w:kern w:val="0"/>
          <w:sz w:val="32"/>
          <w:szCs w:val="32"/>
        </w:rPr>
        <w:t>备案。</w:t>
      </w:r>
    </w:p>
    <w:p w:rsidR="000F307C" w:rsidRDefault="006F04A2" w:rsidP="00C26935">
      <w:pPr>
        <w:pStyle w:val="a6"/>
        <w:spacing w:before="0" w:beforeAutospacing="0" w:after="0" w:afterAutospacing="0" w:line="600" w:lineRule="exact"/>
        <w:ind w:firstLineChars="200" w:firstLine="664"/>
        <w:jc w:val="both"/>
        <w:rPr>
          <w:rFonts w:ascii="仿宋_GB2312" w:hAnsi="仿宋"/>
          <w:sz w:val="32"/>
          <w:szCs w:val="32"/>
        </w:rPr>
      </w:pPr>
      <w:r>
        <w:rPr>
          <w:rFonts w:ascii="仿宋_GB2312" w:hAnsi="仿宋" w:cs="宋体" w:hint="eastAsia"/>
          <w:b/>
          <w:sz w:val="32"/>
          <w:szCs w:val="32"/>
        </w:rPr>
        <w:t>第十八条</w:t>
      </w:r>
      <w:r>
        <w:rPr>
          <w:rFonts w:ascii="仿宋_GB2312" w:hAnsi="仿宋" w:cs="宋体" w:hint="eastAsia"/>
          <w:sz w:val="32"/>
          <w:szCs w:val="32"/>
        </w:rPr>
        <w:t xml:space="preserve"> </w:t>
      </w:r>
      <w:r>
        <w:rPr>
          <w:rFonts w:ascii="仿宋_GB2312" w:hAnsi="仿宋" w:cs="宋体" w:hint="eastAsia"/>
          <w:sz w:val="32"/>
          <w:szCs w:val="32"/>
        </w:rPr>
        <w:t>本办法自</w:t>
      </w:r>
      <w:r>
        <w:rPr>
          <w:rFonts w:ascii="仿宋_GB2312" w:hAnsi="仿宋" w:cs="宋体" w:hint="eastAsia"/>
          <w:sz w:val="32"/>
          <w:szCs w:val="32"/>
        </w:rPr>
        <w:t>2021</w:t>
      </w:r>
      <w:r>
        <w:rPr>
          <w:rFonts w:ascii="仿宋_GB2312" w:hAnsi="仿宋" w:cs="宋体" w:hint="eastAsia"/>
          <w:sz w:val="32"/>
          <w:szCs w:val="32"/>
        </w:rPr>
        <w:t>年</w:t>
      </w:r>
      <w:r>
        <w:rPr>
          <w:rFonts w:ascii="仿宋_GB2312" w:hAnsi="仿宋" w:cs="宋体" w:hint="eastAsia"/>
          <w:sz w:val="32"/>
          <w:szCs w:val="32"/>
        </w:rPr>
        <w:t>9</w:t>
      </w:r>
      <w:r>
        <w:rPr>
          <w:rFonts w:ascii="仿宋_GB2312" w:hAnsi="仿宋" w:cs="宋体" w:hint="eastAsia"/>
          <w:sz w:val="32"/>
          <w:szCs w:val="32"/>
        </w:rPr>
        <w:t>月</w:t>
      </w:r>
      <w:r>
        <w:rPr>
          <w:rFonts w:ascii="仿宋_GB2312" w:hAnsi="仿宋" w:cs="宋体" w:hint="eastAsia"/>
          <w:sz w:val="32"/>
          <w:szCs w:val="32"/>
        </w:rPr>
        <w:t>10</w:t>
      </w:r>
      <w:r>
        <w:rPr>
          <w:rFonts w:ascii="仿宋_GB2312" w:hAnsi="仿宋" w:cs="宋体" w:hint="eastAsia"/>
          <w:sz w:val="32"/>
          <w:szCs w:val="32"/>
        </w:rPr>
        <w:t>日起施行，由</w:t>
      </w:r>
      <w:r>
        <w:rPr>
          <w:rFonts w:ascii="仿宋_GB2312" w:hAnsi="仿宋" w:cs="宋体" w:hint="eastAsia"/>
          <w:sz w:val="32"/>
          <w:szCs w:val="32"/>
        </w:rPr>
        <w:t>地</w:t>
      </w:r>
      <w:r>
        <w:rPr>
          <w:rFonts w:ascii="仿宋_GB2312" w:hAnsi="仿宋" w:cs="宋体" w:hint="eastAsia"/>
          <w:sz w:val="32"/>
          <w:szCs w:val="32"/>
        </w:rPr>
        <w:t>区财政</w:t>
      </w:r>
      <w:r>
        <w:rPr>
          <w:rFonts w:ascii="仿宋_GB2312" w:hAnsi="仿宋" w:cs="宋体" w:hint="eastAsia"/>
          <w:sz w:val="32"/>
          <w:szCs w:val="32"/>
        </w:rPr>
        <w:t>局</w:t>
      </w:r>
      <w:r>
        <w:rPr>
          <w:rFonts w:ascii="仿宋_GB2312" w:hAnsi="仿宋" w:cs="宋体" w:hint="eastAsia"/>
          <w:sz w:val="32"/>
          <w:szCs w:val="32"/>
        </w:rPr>
        <w:t>会同行业主管部门负责解释。</w:t>
      </w:r>
      <w:r>
        <w:rPr>
          <w:rFonts w:ascii="仿宋_GB2312" w:hAnsi="仿宋" w:hint="eastAsia"/>
          <w:sz w:val="32"/>
          <w:szCs w:val="32"/>
        </w:rPr>
        <w:t>地</w:t>
      </w:r>
      <w:r>
        <w:rPr>
          <w:rFonts w:ascii="仿宋_GB2312" w:hAnsi="仿宋" w:hint="eastAsia"/>
          <w:sz w:val="32"/>
          <w:szCs w:val="32"/>
        </w:rPr>
        <w:t>区其他有关财政专项扶贫资金管理的制度、办法及规定与本办法不符的，执行本办法。</w:t>
      </w:r>
    </w:p>
    <w:p w:rsidR="000F307C" w:rsidRDefault="000F307C">
      <w:pPr>
        <w:snapToGrid w:val="0"/>
        <w:spacing w:line="600" w:lineRule="exact"/>
        <w:ind w:firstLineChars="200" w:firstLine="640"/>
        <w:rPr>
          <w:rFonts w:ascii="仿宋_GB2312" w:eastAsia="仿宋_GB2312" w:hAnsi="仿宋" w:cs="宋体"/>
          <w:kern w:val="0"/>
          <w:sz w:val="32"/>
          <w:szCs w:val="32"/>
        </w:rPr>
      </w:pPr>
    </w:p>
    <w:p w:rsidR="000F307C" w:rsidRDefault="000F307C"/>
    <w:sectPr w:rsidR="000F307C" w:rsidSect="000F307C">
      <w:footerReference w:type="even" r:id="rId7"/>
      <w:footerReference w:type="default" r:id="rId8"/>
      <w:pgSz w:w="11906" w:h="16838"/>
      <w:pgMar w:top="2098" w:right="1418" w:bottom="1928" w:left="1588" w:header="851" w:footer="992" w:gutter="0"/>
      <w:pgNumType w:fmt="numberInDash"/>
      <w:cols w:space="425"/>
      <w:docGrid w:type="lines" w:linePitch="435"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4A2" w:rsidRDefault="006F04A2" w:rsidP="000F307C">
      <w:r>
        <w:separator/>
      </w:r>
    </w:p>
  </w:endnote>
  <w:endnote w:type="continuationSeparator" w:id="1">
    <w:p w:rsidR="006F04A2" w:rsidRDefault="006F04A2" w:rsidP="000F3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7C" w:rsidRDefault="000F307C">
    <w:pPr>
      <w:pStyle w:val="a4"/>
      <w:rPr>
        <w:rFonts w:ascii="宋体" w:eastAsia="宋体" w:hAnsi="宋体"/>
        <w:sz w:val="28"/>
        <w:szCs w:val="28"/>
      </w:rPr>
    </w:pPr>
    <w:r>
      <w:rPr>
        <w:rFonts w:ascii="宋体" w:eastAsia="宋体" w:hAnsi="宋体"/>
        <w:sz w:val="28"/>
        <w:szCs w:val="28"/>
      </w:rPr>
      <w:fldChar w:fldCharType="begin"/>
    </w:r>
    <w:r w:rsidR="006F04A2">
      <w:rPr>
        <w:rFonts w:ascii="宋体" w:eastAsia="宋体" w:hAnsi="宋体"/>
        <w:sz w:val="28"/>
        <w:szCs w:val="28"/>
      </w:rPr>
      <w:instrText>PAGE   \* MERGEFORMAT</w:instrText>
    </w:r>
    <w:r>
      <w:rPr>
        <w:rFonts w:ascii="宋体" w:eastAsia="宋体" w:hAnsi="宋体"/>
        <w:sz w:val="28"/>
        <w:szCs w:val="28"/>
      </w:rPr>
      <w:fldChar w:fldCharType="separate"/>
    </w:r>
    <w:r w:rsidR="006F04A2">
      <w:rPr>
        <w:rFonts w:ascii="宋体" w:eastAsia="宋体" w:hAnsi="宋体"/>
        <w:sz w:val="28"/>
        <w:szCs w:val="28"/>
        <w:lang w:val="zh-CN"/>
      </w:rPr>
      <w:t>-</w:t>
    </w:r>
    <w:r w:rsidR="006F04A2">
      <w:rPr>
        <w:rFonts w:ascii="宋体" w:eastAsia="宋体" w:hAnsi="宋体"/>
        <w:sz w:val="28"/>
        <w:szCs w:val="28"/>
      </w:rPr>
      <w:t xml:space="preserve"> 4 -</w:t>
    </w:r>
    <w:r>
      <w:rPr>
        <w:rFonts w:ascii="宋体" w:eastAsia="宋体" w:hAnsi="宋体"/>
        <w:sz w:val="28"/>
        <w:szCs w:val="28"/>
      </w:rPr>
      <w:fldChar w:fldCharType="end"/>
    </w:r>
  </w:p>
  <w:p w:rsidR="000F307C" w:rsidRDefault="000F307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087088"/>
    </w:sdtPr>
    <w:sdtContent>
      <w:p w:rsidR="000F307C" w:rsidRDefault="000F307C">
        <w:pPr>
          <w:pStyle w:val="a4"/>
          <w:jc w:val="center"/>
        </w:pPr>
        <w:r>
          <w:fldChar w:fldCharType="begin"/>
        </w:r>
        <w:r w:rsidR="006F04A2">
          <w:instrText>PAGE   \* MERGEFORMAT</w:instrText>
        </w:r>
        <w:r>
          <w:fldChar w:fldCharType="separate"/>
        </w:r>
        <w:r w:rsidR="004B4CCD" w:rsidRPr="004B4CCD">
          <w:rPr>
            <w:noProof/>
            <w:lang w:val="zh-CN"/>
          </w:rPr>
          <w:t>-</w:t>
        </w:r>
        <w:r w:rsidR="004B4CCD">
          <w:rPr>
            <w:noProof/>
          </w:rPr>
          <w:t xml:space="preserve"> 3 -</w:t>
        </w:r>
        <w:r>
          <w:fldChar w:fldCharType="end"/>
        </w:r>
      </w:p>
    </w:sdtContent>
  </w:sdt>
  <w:p w:rsidR="000F307C" w:rsidRDefault="000F307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4A2" w:rsidRDefault="006F04A2" w:rsidP="000F307C">
      <w:r>
        <w:separator/>
      </w:r>
    </w:p>
  </w:footnote>
  <w:footnote w:type="continuationSeparator" w:id="1">
    <w:p w:rsidR="006F04A2" w:rsidRDefault="006F04A2" w:rsidP="000F3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0F87"/>
    <w:rsid w:val="00070690"/>
    <w:rsid w:val="000F307C"/>
    <w:rsid w:val="003E0405"/>
    <w:rsid w:val="004B4CCD"/>
    <w:rsid w:val="00651126"/>
    <w:rsid w:val="00687253"/>
    <w:rsid w:val="006F04A2"/>
    <w:rsid w:val="00805DC9"/>
    <w:rsid w:val="00831330"/>
    <w:rsid w:val="008600C6"/>
    <w:rsid w:val="00863B7C"/>
    <w:rsid w:val="00947CC0"/>
    <w:rsid w:val="00BA0E52"/>
    <w:rsid w:val="00BD66BF"/>
    <w:rsid w:val="00C07E30"/>
    <w:rsid w:val="00C26935"/>
    <w:rsid w:val="00C46CBF"/>
    <w:rsid w:val="00CB1E98"/>
    <w:rsid w:val="00D06B40"/>
    <w:rsid w:val="00E126E8"/>
    <w:rsid w:val="00E664B3"/>
    <w:rsid w:val="00EF207B"/>
    <w:rsid w:val="00F13D9D"/>
    <w:rsid w:val="00FD0F87"/>
    <w:rsid w:val="08011F97"/>
    <w:rsid w:val="08C95D96"/>
    <w:rsid w:val="0D203F35"/>
    <w:rsid w:val="0D6C6CC5"/>
    <w:rsid w:val="0F3C11D7"/>
    <w:rsid w:val="11FC2410"/>
    <w:rsid w:val="122F780B"/>
    <w:rsid w:val="152935D3"/>
    <w:rsid w:val="1648324C"/>
    <w:rsid w:val="19B10E70"/>
    <w:rsid w:val="1D252BCA"/>
    <w:rsid w:val="2CA20610"/>
    <w:rsid w:val="2F363B92"/>
    <w:rsid w:val="35A41CFF"/>
    <w:rsid w:val="389F7157"/>
    <w:rsid w:val="3B9F0236"/>
    <w:rsid w:val="3FD16593"/>
    <w:rsid w:val="40864704"/>
    <w:rsid w:val="44906E33"/>
    <w:rsid w:val="454C4546"/>
    <w:rsid w:val="4BBF4CFC"/>
    <w:rsid w:val="4C252C2A"/>
    <w:rsid w:val="4CB974DE"/>
    <w:rsid w:val="4DD904A4"/>
    <w:rsid w:val="562A19FB"/>
    <w:rsid w:val="5C184803"/>
    <w:rsid w:val="5D2842DB"/>
    <w:rsid w:val="60A40BBC"/>
    <w:rsid w:val="612F282E"/>
    <w:rsid w:val="639201CD"/>
    <w:rsid w:val="69F63EFF"/>
    <w:rsid w:val="6C280B53"/>
    <w:rsid w:val="6E561862"/>
    <w:rsid w:val="6F99634C"/>
    <w:rsid w:val="71D568F3"/>
    <w:rsid w:val="755F6563"/>
    <w:rsid w:val="77592FC6"/>
    <w:rsid w:val="78D73BDF"/>
    <w:rsid w:val="7EE12B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7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F307C"/>
    <w:rPr>
      <w:sz w:val="18"/>
      <w:szCs w:val="18"/>
    </w:rPr>
  </w:style>
  <w:style w:type="paragraph" w:styleId="a4">
    <w:name w:val="footer"/>
    <w:basedOn w:val="a"/>
    <w:link w:val="Char0"/>
    <w:uiPriority w:val="99"/>
    <w:unhideWhenUsed/>
    <w:qFormat/>
    <w:rsid w:val="000F307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F307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F307C"/>
    <w:pPr>
      <w:spacing w:before="100" w:beforeAutospacing="1" w:after="100" w:afterAutospacing="1"/>
      <w:jc w:val="left"/>
    </w:pPr>
    <w:rPr>
      <w:rFonts w:ascii="Calibri" w:eastAsia="仿宋_GB2312" w:hAnsi="Calibri" w:cs="Times New Roman"/>
      <w:snapToGrid w:val="0"/>
      <w:spacing w:val="6"/>
      <w:kern w:val="0"/>
      <w:sz w:val="24"/>
    </w:rPr>
  </w:style>
  <w:style w:type="character" w:customStyle="1" w:styleId="Char0">
    <w:name w:val="页脚 Char"/>
    <w:basedOn w:val="a0"/>
    <w:link w:val="a4"/>
    <w:uiPriority w:val="99"/>
    <w:qFormat/>
    <w:rsid w:val="000F307C"/>
    <w:rPr>
      <w:sz w:val="18"/>
      <w:szCs w:val="18"/>
    </w:rPr>
  </w:style>
  <w:style w:type="character" w:customStyle="1" w:styleId="Char">
    <w:name w:val="批注框文本 Char"/>
    <w:basedOn w:val="a0"/>
    <w:link w:val="a3"/>
    <w:uiPriority w:val="99"/>
    <w:semiHidden/>
    <w:qFormat/>
    <w:rsid w:val="000F307C"/>
    <w:rPr>
      <w:sz w:val="18"/>
      <w:szCs w:val="18"/>
    </w:rPr>
  </w:style>
  <w:style w:type="character" w:customStyle="1" w:styleId="Char1">
    <w:name w:val="页眉 Char"/>
    <w:basedOn w:val="a0"/>
    <w:link w:val="a5"/>
    <w:uiPriority w:val="99"/>
    <w:qFormat/>
    <w:rsid w:val="000F307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426</Words>
  <Characters>2429</Characters>
  <Application>Microsoft Office Word</Application>
  <DocSecurity>0</DocSecurity>
  <Lines>20</Lines>
  <Paragraphs>5</Paragraphs>
  <ScaleCrop>false</ScaleCrop>
  <Company>Microsoft</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WYJ</dc:creator>
  <cp:lastModifiedBy>PC</cp:lastModifiedBy>
  <cp:revision>13</cp:revision>
  <dcterms:created xsi:type="dcterms:W3CDTF">2021-05-31T17:24:00Z</dcterms:created>
  <dcterms:modified xsi:type="dcterms:W3CDTF">2021-09-22T11:55:00Z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